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59" w:lineRule="auto" w:before="59"/>
        <w:ind w:left="145" w:right="151" w:firstLine="0"/>
        <w:jc w:val="center"/>
        <w:rPr>
          <w:b/>
          <w:sz w:val="32"/>
        </w:rPr>
      </w:pPr>
      <w:r>
        <w:rPr>
          <w:b/>
          <w:sz w:val="32"/>
        </w:rPr>
        <w:t>EFFECT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INCOME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INEQUALITY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ON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HEALTH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OUTCOMES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AND HEALTH-SEEKING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BEHAVIOUR IN NIGERIA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286"/>
        <w:ind w:left="151" w:right="146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1" w:right="150" w:firstLine="0"/>
        <w:jc w:val="center"/>
        <w:rPr>
          <w:sz w:val="28"/>
        </w:rPr>
      </w:pPr>
      <w:r>
        <w:rPr>
          <w:sz w:val="28"/>
        </w:rPr>
        <w:t>Timothy</w:t>
      </w:r>
      <w:r>
        <w:rPr>
          <w:spacing w:val="-7"/>
          <w:sz w:val="28"/>
        </w:rPr>
        <w:t> </w:t>
      </w:r>
      <w:r>
        <w:rPr>
          <w:sz w:val="28"/>
        </w:rPr>
        <w:t>Oladayo,</w:t>
      </w:r>
      <w:r>
        <w:rPr>
          <w:spacing w:val="-4"/>
          <w:sz w:val="28"/>
        </w:rPr>
        <w:t> </w:t>
      </w:r>
      <w:r>
        <w:rPr>
          <w:sz w:val="28"/>
        </w:rPr>
        <w:t>POPOOLA</w:t>
      </w:r>
    </w:p>
    <w:p>
      <w:pPr>
        <w:spacing w:before="49"/>
        <w:ind w:left="151" w:right="151" w:firstLine="0"/>
        <w:jc w:val="center"/>
        <w:rPr>
          <w:sz w:val="22"/>
        </w:rPr>
      </w:pPr>
      <w:r>
        <w:rPr>
          <w:sz w:val="22"/>
        </w:rPr>
        <w:t>BSc</w:t>
      </w:r>
      <w:r>
        <w:rPr>
          <w:spacing w:val="-2"/>
          <w:sz w:val="22"/>
        </w:rPr>
        <w:t> </w:t>
      </w:r>
      <w:r>
        <w:rPr>
          <w:sz w:val="22"/>
        </w:rPr>
        <w:t>Economics</w:t>
      </w:r>
      <w:r>
        <w:rPr>
          <w:spacing w:val="-1"/>
          <w:sz w:val="22"/>
        </w:rPr>
        <w:t> </w:t>
      </w:r>
      <w:r>
        <w:rPr>
          <w:sz w:val="22"/>
        </w:rPr>
        <w:t>(ABU),</w:t>
      </w:r>
      <w:r>
        <w:rPr>
          <w:spacing w:val="-4"/>
          <w:sz w:val="22"/>
        </w:rPr>
        <w:t> </w:t>
      </w:r>
      <w:r>
        <w:rPr>
          <w:sz w:val="22"/>
        </w:rPr>
        <w:t>MSc</w:t>
      </w:r>
      <w:r>
        <w:rPr>
          <w:spacing w:val="-1"/>
          <w:sz w:val="22"/>
        </w:rPr>
        <w:t> </w:t>
      </w:r>
      <w:r>
        <w:rPr>
          <w:sz w:val="22"/>
        </w:rPr>
        <w:t>Economics</w:t>
      </w:r>
      <w:r>
        <w:rPr>
          <w:spacing w:val="-3"/>
          <w:sz w:val="22"/>
        </w:rPr>
        <w:t> </w:t>
      </w:r>
      <w:r>
        <w:rPr>
          <w:sz w:val="22"/>
        </w:rPr>
        <w:t>(ABU)</w:t>
      </w:r>
    </w:p>
    <w:p>
      <w:pPr>
        <w:pStyle w:val="BodyText"/>
        <w:spacing w:before="40"/>
        <w:ind w:left="151" w:right="151"/>
        <w:jc w:val="center"/>
      </w:pPr>
      <w:r>
        <w:rPr/>
        <w:t>P16SSEC9001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56" w:lineRule="auto" w:before="218"/>
        <w:ind w:left="148" w:right="151"/>
        <w:jc w:val="center"/>
      </w:pPr>
      <w:r>
        <w:rPr/>
        <w:t>A</w:t>
      </w:r>
      <w:r>
        <w:rPr>
          <w:spacing w:val="-2"/>
        </w:rPr>
        <w:t> </w:t>
      </w:r>
      <w:r>
        <w:rPr/>
        <w:t>THESIS</w:t>
      </w:r>
      <w:r>
        <w:rPr>
          <w:spacing w:val="-1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SCHOOL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AHMADU</w:t>
      </w:r>
      <w:r>
        <w:rPr>
          <w:spacing w:val="-57"/>
        </w:rPr>
        <w:t> </w:t>
      </w:r>
      <w:r>
        <w:rPr/>
        <w:t>BELLO UNIVERSITY, ZARIA, NIGERIA; IN PARTIAL FULFILLMENT OF THE</w:t>
      </w:r>
      <w:r>
        <w:rPr>
          <w:spacing w:val="1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FOR THE</w:t>
      </w:r>
      <w:r>
        <w:rPr>
          <w:spacing w:val="-2"/>
        </w:rPr>
        <w:t> </w:t>
      </w:r>
      <w:r>
        <w:rPr/>
        <w:t>AWARD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DOCTORATE</w:t>
      </w:r>
      <w:r>
        <w:rPr>
          <w:spacing w:val="-2"/>
        </w:rPr>
        <w:t> </w:t>
      </w:r>
      <w:r>
        <w:rPr/>
        <w:t>DEGREE IN</w:t>
      </w:r>
      <w:r>
        <w:rPr>
          <w:spacing w:val="-1"/>
        </w:rPr>
        <w:t> </w:t>
      </w:r>
      <w:r>
        <w:rPr/>
        <w:t>ECONOMICS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276" w:lineRule="auto"/>
        <w:ind w:left="2676" w:right="2678" w:firstLine="4"/>
        <w:jc w:val="center"/>
      </w:pPr>
      <w:r>
        <w:rPr/>
        <w:t>DEPARTMENT OF ECONOMICS,</w:t>
      </w:r>
      <w:r>
        <w:rPr>
          <w:spacing w:val="1"/>
        </w:rPr>
        <w:t> </w:t>
      </w:r>
      <w:r>
        <w:rPr/>
        <w:t>AHMADU</w:t>
      </w:r>
      <w:r>
        <w:rPr>
          <w:spacing w:val="-4"/>
        </w:rPr>
        <w:t> </w:t>
      </w:r>
      <w:r>
        <w:rPr/>
        <w:t>BELLO</w:t>
      </w:r>
      <w:r>
        <w:rPr>
          <w:spacing w:val="-4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ZARIA,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6"/>
        <w:ind w:left="151" w:right="151"/>
        <w:jc w:val="center"/>
      </w:pPr>
      <w:r>
        <w:rPr/>
        <w:t>MARCH,</w:t>
      </w:r>
      <w:r>
        <w:rPr>
          <w:spacing w:val="-1"/>
        </w:rPr>
        <w:t> </w:t>
      </w:r>
      <w:r>
        <w:rPr/>
        <w:t>2021</w:t>
      </w:r>
    </w:p>
    <w:p>
      <w:pPr>
        <w:spacing w:after="0"/>
        <w:jc w:val="center"/>
        <w:sectPr>
          <w:type w:val="continuous"/>
          <w:pgSz w:w="12240" w:h="15840"/>
          <w:pgMar w:top="1380" w:bottom="280" w:left="1280" w:right="1280"/>
        </w:sectPr>
      </w:pPr>
    </w:p>
    <w:p>
      <w:pPr>
        <w:pStyle w:val="Heading1"/>
      </w:pPr>
      <w:bookmarkStart w:name="_bookmark0" w:id="1"/>
      <w:bookmarkEnd w:id="1"/>
      <w:r>
        <w:rPr>
          <w:b w:val="0"/>
        </w:rPr>
      </w:r>
      <w:r>
        <w:rPr/>
        <w:t>DECLARATION</w:t>
      </w:r>
    </w:p>
    <w:p>
      <w:pPr>
        <w:pStyle w:val="BodyText"/>
        <w:spacing w:before="5"/>
        <w:rPr>
          <w:b/>
          <w:sz w:val="43"/>
        </w:rPr>
      </w:pPr>
    </w:p>
    <w:p>
      <w:pPr>
        <w:pStyle w:val="BodyText"/>
        <w:spacing w:line="276" w:lineRule="auto" w:before="1"/>
        <w:ind w:left="160" w:right="159" w:hanging="7"/>
        <w:jc w:val="center"/>
      </w:pPr>
      <w:r>
        <w:rPr/>
        <w:t>I,</w:t>
      </w:r>
      <w:r>
        <w:rPr>
          <w:spacing w:val="1"/>
        </w:rPr>
        <w:t> </w:t>
      </w:r>
      <w:r>
        <w:rPr/>
        <w:t>Timothy Oladayo,</w:t>
      </w:r>
      <w:r>
        <w:rPr>
          <w:spacing w:val="1"/>
        </w:rPr>
        <w:t> </w:t>
      </w:r>
      <w:r>
        <w:rPr/>
        <w:t>POPOOLA</w:t>
      </w:r>
      <w:r>
        <w:rPr>
          <w:spacing w:val="1"/>
        </w:rPr>
        <w:t> </w:t>
      </w:r>
      <w:r>
        <w:rPr/>
        <w:t>hereby solemnly declare that this thesis entitled ‘EFFECT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1"/>
        </w:rPr>
        <w:t>INCOME</w:t>
      </w:r>
      <w:r>
        <w:rPr>
          <w:spacing w:val="-11"/>
        </w:rPr>
        <w:t> </w:t>
      </w:r>
      <w:r>
        <w:rPr>
          <w:spacing w:val="-1"/>
        </w:rPr>
        <w:t>INEQUALITY</w:t>
      </w:r>
      <w:r>
        <w:rPr>
          <w:spacing w:val="-14"/>
        </w:rPr>
        <w:t> </w:t>
      </w:r>
      <w:r>
        <w:rPr>
          <w:spacing w:val="-1"/>
        </w:rPr>
        <w:t>ON</w:t>
      </w:r>
      <w:r>
        <w:rPr>
          <w:spacing w:val="-15"/>
        </w:rPr>
        <w:t> </w:t>
      </w:r>
      <w:r>
        <w:rPr>
          <w:spacing w:val="-1"/>
        </w:rPr>
        <w:t>HEALTH</w:t>
      </w:r>
      <w:r>
        <w:rPr>
          <w:spacing w:val="-15"/>
        </w:rPr>
        <w:t> </w:t>
      </w:r>
      <w:r>
        <w:rPr/>
        <w:t>OUTCOMES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HEALTH-SEEKING</w:t>
      </w:r>
      <w:r>
        <w:rPr>
          <w:spacing w:val="-11"/>
        </w:rPr>
        <w:t> </w:t>
      </w:r>
      <w:r>
        <w:rPr/>
        <w:t>BEHAVIOUR</w:t>
      </w:r>
    </w:p>
    <w:p>
      <w:pPr>
        <w:pStyle w:val="BodyText"/>
        <w:spacing w:line="276" w:lineRule="auto"/>
        <w:ind w:left="160" w:right="156"/>
        <w:jc w:val="both"/>
      </w:pPr>
      <w:r>
        <w:rPr/>
        <w:t>IN NIGERIA’ has been carried out by me in the Department of Economics, Ahmadu 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duly</w:t>
      </w:r>
      <w:r>
        <w:rPr>
          <w:spacing w:val="1"/>
        </w:rPr>
        <w:t> </w:t>
      </w:r>
      <w:r>
        <w:rPr/>
        <w:t>acknowledged in the text and a list of references provided. No part of this thesis was previously</w:t>
      </w:r>
      <w:r>
        <w:rPr>
          <w:spacing w:val="1"/>
        </w:rPr>
        <w:t> </w:t>
      </w:r>
      <w:r>
        <w:rPr/>
        <w:t>presented for another degree</w:t>
      </w:r>
      <w:r>
        <w:rPr>
          <w:spacing w:val="-1"/>
        </w:rPr>
        <w:t> </w:t>
      </w:r>
      <w:r>
        <w:rPr/>
        <w:t>at this or any</w:t>
      </w:r>
      <w:r>
        <w:rPr>
          <w:spacing w:val="-5"/>
        </w:rPr>
        <w:t> </w:t>
      </w:r>
      <w:r>
        <w:rPr/>
        <w:t>other 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4480" w:val="left" w:leader="none"/>
          <w:tab w:pos="8081" w:val="left" w:leader="none"/>
        </w:tabs>
        <w:spacing w:before="218"/>
        <w:ind w:left="160" w:right="0" w:firstLine="0"/>
        <w:jc w:val="both"/>
        <w:rPr>
          <w:sz w:val="24"/>
        </w:rPr>
      </w:pPr>
      <w:r>
        <w:rPr>
          <w:b/>
          <w:sz w:val="24"/>
        </w:rPr>
        <w:t>Timothy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Oladayo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POPOOLA</w:t>
        <w:tab/>
      </w:r>
      <w:r>
        <w:rPr>
          <w:sz w:val="24"/>
        </w:rPr>
        <w:t>………………………</w:t>
        <w:tab/>
        <w:t>……………</w:t>
      </w:r>
    </w:p>
    <w:p>
      <w:pPr>
        <w:pStyle w:val="BodyText"/>
        <w:tabs>
          <w:tab w:pos="8501" w:val="left" w:leader="none"/>
        </w:tabs>
        <w:spacing w:before="41"/>
        <w:ind w:left="5201"/>
      </w:pPr>
      <w:r>
        <w:rPr/>
        <w:t>Signature</w:t>
        <w:tab/>
        <w:t>Date</w:t>
      </w:r>
    </w:p>
    <w:p>
      <w:pPr>
        <w:spacing w:after="0"/>
        <w:sectPr>
          <w:footerReference w:type="default" r:id="rId5"/>
          <w:pgSz w:w="12240" w:h="15840"/>
          <w:pgMar w:footer="1015" w:header="0" w:top="1360" w:bottom="1200" w:left="1280" w:right="1280"/>
          <w:pgNumType w:start="2"/>
        </w:sectPr>
      </w:pPr>
    </w:p>
    <w:p>
      <w:pPr>
        <w:pStyle w:val="Heading1"/>
        <w:ind w:right="149"/>
      </w:pPr>
      <w:bookmarkStart w:name="_bookmark1" w:id="2"/>
      <w:bookmarkEnd w:id="2"/>
      <w:r>
        <w:rPr>
          <w:b w:val="0"/>
        </w:rPr>
      </w:r>
      <w:r>
        <w:rPr/>
        <w:t>CERTIFICATION</w:t>
      </w:r>
    </w:p>
    <w:p>
      <w:pPr>
        <w:pStyle w:val="BodyText"/>
        <w:spacing w:before="22"/>
        <w:ind w:left="151" w:right="151"/>
        <w:jc w:val="center"/>
      </w:pPr>
      <w:r>
        <w:rPr/>
        <w:t>This</w:t>
      </w:r>
      <w:r>
        <w:rPr>
          <w:spacing w:val="23"/>
        </w:rPr>
        <w:t> </w:t>
      </w:r>
      <w:r>
        <w:rPr/>
        <w:t>thesis</w:t>
      </w:r>
      <w:r>
        <w:rPr>
          <w:spacing w:val="23"/>
        </w:rPr>
        <w:t> </w:t>
      </w:r>
      <w:r>
        <w:rPr/>
        <w:t>entitled</w:t>
      </w:r>
      <w:r>
        <w:rPr>
          <w:spacing w:val="22"/>
        </w:rPr>
        <w:t> </w:t>
      </w:r>
      <w:r>
        <w:rPr/>
        <w:t>‘EFFECT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INCOME</w:t>
      </w:r>
      <w:r>
        <w:rPr>
          <w:spacing w:val="25"/>
        </w:rPr>
        <w:t> </w:t>
      </w:r>
      <w:r>
        <w:rPr/>
        <w:t>INEQUALITY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HEALTH</w:t>
      </w:r>
      <w:r>
        <w:rPr>
          <w:spacing w:val="22"/>
        </w:rPr>
        <w:t> </w:t>
      </w:r>
      <w:r>
        <w:rPr/>
        <w:t>OUTCOMES</w:t>
      </w:r>
      <w:r>
        <w:rPr>
          <w:spacing w:val="23"/>
        </w:rPr>
        <w:t> </w:t>
      </w:r>
      <w:r>
        <w:rPr/>
        <w:t>AND</w:t>
      </w:r>
    </w:p>
    <w:p>
      <w:pPr>
        <w:pStyle w:val="BodyText"/>
        <w:spacing w:line="276" w:lineRule="auto" w:before="41"/>
        <w:ind w:left="160" w:right="155"/>
        <w:jc w:val="both"/>
      </w:pPr>
      <w:r>
        <w:rPr/>
        <w:t>HEALTH-SEEKING</w:t>
      </w:r>
      <w:r>
        <w:rPr>
          <w:spacing w:val="-10"/>
        </w:rPr>
        <w:t> </w:t>
      </w:r>
      <w:r>
        <w:rPr/>
        <w:t>BEHAVIOUR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NIGERIA’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>
          <w:b/>
        </w:rPr>
        <w:t>Timothy</w:t>
      </w:r>
      <w:r>
        <w:rPr>
          <w:b/>
          <w:spacing w:val="-10"/>
        </w:rPr>
        <w:t> </w:t>
      </w:r>
      <w:r>
        <w:rPr>
          <w:b/>
        </w:rPr>
        <w:t>Oladayo,</w:t>
      </w:r>
      <w:r>
        <w:rPr>
          <w:b/>
          <w:spacing w:val="-11"/>
        </w:rPr>
        <w:t> </w:t>
      </w:r>
      <w:r>
        <w:rPr>
          <w:b/>
        </w:rPr>
        <w:t>POPOOLA</w:t>
      </w:r>
      <w:r>
        <w:rPr>
          <w:b/>
          <w:spacing w:val="-9"/>
        </w:rPr>
        <w:t> </w:t>
      </w:r>
      <w:r>
        <w:rPr/>
        <w:t>meets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regulations governing the award of the Doctor of Philosophy (PhD) degree in the Department of</w:t>
      </w:r>
      <w:r>
        <w:rPr>
          <w:spacing w:val="1"/>
        </w:rPr>
        <w:t> </w:t>
      </w:r>
      <w:r>
        <w:rPr/>
        <w:t>Economics, Ahmadu Bello University, Zaria, Nigeria, and is approved for its contribution to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literacy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tabs>
          <w:tab w:pos="4480" w:val="left" w:leader="none"/>
          <w:tab w:pos="8081" w:val="left" w:leader="none"/>
        </w:tabs>
        <w:spacing w:before="1"/>
        <w:ind w:left="160" w:right="0" w:firstLine="0"/>
        <w:jc w:val="left"/>
        <w:rPr>
          <w:sz w:val="24"/>
        </w:rPr>
      </w:pPr>
      <w:r>
        <w:rPr>
          <w:b/>
          <w:sz w:val="24"/>
        </w:rPr>
        <w:t>PROF.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SALAMATU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I. ISAH</w:t>
        <w:tab/>
      </w:r>
      <w:r>
        <w:rPr>
          <w:sz w:val="24"/>
        </w:rPr>
        <w:t>………………………….</w:t>
        <w:tab/>
        <w:t>……………</w:t>
      </w:r>
    </w:p>
    <w:p>
      <w:pPr>
        <w:tabs>
          <w:tab w:pos="5201" w:val="left" w:leader="none"/>
          <w:tab w:pos="8381" w:val="left" w:leader="none"/>
        </w:tabs>
        <w:spacing w:before="43"/>
        <w:ind w:left="160" w:right="0" w:firstLine="0"/>
        <w:jc w:val="left"/>
        <w:rPr>
          <w:i/>
          <w:sz w:val="24"/>
        </w:rPr>
      </w:pPr>
      <w:r>
        <w:rPr>
          <w:i/>
          <w:sz w:val="24"/>
        </w:rPr>
        <w:t>(Chairman,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Supervisory Committee)</w:t>
        <w:tab/>
        <w:t>Signature</w:t>
        <w:tab/>
        <w:t>Date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32"/>
        </w:rPr>
      </w:pPr>
    </w:p>
    <w:p>
      <w:pPr>
        <w:tabs>
          <w:tab w:pos="4480" w:val="left" w:leader="none"/>
          <w:tab w:pos="8081" w:val="left" w:leader="none"/>
        </w:tabs>
        <w:spacing w:before="0"/>
        <w:ind w:left="160" w:right="0" w:firstLine="0"/>
        <w:jc w:val="left"/>
        <w:rPr>
          <w:sz w:val="24"/>
        </w:rPr>
      </w:pPr>
      <w:r>
        <w:rPr>
          <w:b/>
          <w:sz w:val="24"/>
        </w:rPr>
        <w:t>DR.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MOHAMMED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I. SHUAIBU</w:t>
        <w:tab/>
      </w:r>
      <w:r>
        <w:rPr>
          <w:sz w:val="24"/>
        </w:rPr>
        <w:t>…………………………</w:t>
        <w:tab/>
        <w:t>……………</w:t>
      </w:r>
    </w:p>
    <w:p>
      <w:pPr>
        <w:tabs>
          <w:tab w:pos="5201" w:val="left" w:leader="none"/>
          <w:tab w:pos="8381" w:val="left" w:leader="none"/>
        </w:tabs>
        <w:spacing w:before="43"/>
        <w:ind w:left="160" w:right="0" w:firstLine="0"/>
        <w:jc w:val="left"/>
        <w:rPr>
          <w:i/>
          <w:sz w:val="24"/>
        </w:rPr>
      </w:pPr>
      <w:r>
        <w:rPr>
          <w:i/>
          <w:sz w:val="24"/>
        </w:rPr>
        <w:t>(Member,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Supervisory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Committee)</w:t>
        <w:tab/>
        <w:t>Signature</w:t>
        <w:tab/>
        <w:t>Date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7"/>
        <w:rPr>
          <w:i/>
          <w:sz w:val="32"/>
        </w:rPr>
      </w:pPr>
    </w:p>
    <w:p>
      <w:pPr>
        <w:tabs>
          <w:tab w:pos="4480" w:val="left" w:leader="none"/>
          <w:tab w:pos="8081" w:val="left" w:leader="none"/>
        </w:tabs>
        <w:spacing w:before="1"/>
        <w:ind w:left="160" w:right="0" w:firstLine="0"/>
        <w:jc w:val="left"/>
        <w:rPr>
          <w:sz w:val="24"/>
        </w:rPr>
      </w:pPr>
      <w:r>
        <w:rPr>
          <w:b/>
          <w:sz w:val="24"/>
        </w:rPr>
        <w:t>DR.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TAOFIK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IBRAHIM</w:t>
        <w:tab/>
      </w:r>
      <w:r>
        <w:rPr>
          <w:sz w:val="24"/>
        </w:rPr>
        <w:t>………………………..</w:t>
        <w:tab/>
        <w:t>……………</w:t>
      </w:r>
    </w:p>
    <w:p>
      <w:pPr>
        <w:tabs>
          <w:tab w:pos="5201" w:val="left" w:leader="none"/>
          <w:tab w:pos="8381" w:val="left" w:leader="none"/>
        </w:tabs>
        <w:spacing w:before="43"/>
        <w:ind w:left="160" w:right="0" w:firstLine="0"/>
        <w:jc w:val="left"/>
        <w:rPr>
          <w:i/>
          <w:sz w:val="24"/>
        </w:rPr>
      </w:pPr>
      <w:r>
        <w:rPr>
          <w:i/>
          <w:sz w:val="24"/>
        </w:rPr>
        <w:t>(Member,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Supervisory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Committee)</w:t>
        <w:tab/>
        <w:t>Signature</w:t>
        <w:tab/>
        <w:t>Date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7"/>
        <w:rPr>
          <w:i/>
          <w:sz w:val="32"/>
        </w:rPr>
      </w:pPr>
    </w:p>
    <w:p>
      <w:pPr>
        <w:tabs>
          <w:tab w:pos="4480" w:val="left" w:leader="none"/>
          <w:tab w:pos="8081" w:val="left" w:leader="none"/>
        </w:tabs>
        <w:spacing w:before="0"/>
        <w:ind w:left="160" w:right="0" w:firstLine="0"/>
        <w:jc w:val="left"/>
        <w:rPr>
          <w:sz w:val="24"/>
        </w:rPr>
      </w:pPr>
      <w:r>
        <w:rPr>
          <w:b/>
          <w:sz w:val="24"/>
        </w:rPr>
        <w:t>PROF.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ALIYU R. SANUSI</w:t>
        <w:tab/>
      </w:r>
      <w:r>
        <w:rPr>
          <w:sz w:val="24"/>
        </w:rPr>
        <w:t>……………………….</w:t>
        <w:tab/>
        <w:t>……………</w:t>
      </w:r>
    </w:p>
    <w:p>
      <w:pPr>
        <w:tabs>
          <w:tab w:pos="5201" w:val="left" w:leader="none"/>
          <w:tab w:pos="8381" w:val="left" w:leader="none"/>
        </w:tabs>
        <w:spacing w:before="44"/>
        <w:ind w:left="160" w:right="0" w:firstLine="0"/>
        <w:jc w:val="left"/>
        <w:rPr>
          <w:i/>
          <w:sz w:val="24"/>
        </w:rPr>
      </w:pPr>
      <w:r>
        <w:rPr>
          <w:i/>
          <w:sz w:val="24"/>
        </w:rPr>
        <w:t>(Head,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Department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Economics)</w:t>
        <w:tab/>
        <w:t>Signature</w:t>
        <w:tab/>
        <w:t>Date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7"/>
        <w:rPr>
          <w:i/>
          <w:sz w:val="32"/>
        </w:rPr>
      </w:pPr>
    </w:p>
    <w:p>
      <w:pPr>
        <w:tabs>
          <w:tab w:pos="4480" w:val="left" w:leader="none"/>
          <w:tab w:pos="8081" w:val="left" w:leader="none"/>
        </w:tabs>
        <w:spacing w:before="0"/>
        <w:ind w:left="160" w:right="0" w:firstLine="0"/>
        <w:jc w:val="left"/>
        <w:rPr>
          <w:sz w:val="24"/>
        </w:rPr>
      </w:pPr>
      <w:r>
        <w:rPr>
          <w:b/>
          <w:sz w:val="24"/>
        </w:rPr>
        <w:t>PROF.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SANI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A. ABDULLAHI</w:t>
        <w:tab/>
      </w:r>
      <w:r>
        <w:rPr>
          <w:sz w:val="24"/>
        </w:rPr>
        <w:t>………………………</w:t>
        <w:tab/>
        <w:t>…………….</w:t>
      </w:r>
    </w:p>
    <w:p>
      <w:pPr>
        <w:tabs>
          <w:tab w:pos="5201" w:val="left" w:leader="none"/>
          <w:tab w:pos="8381" w:val="left" w:leader="none"/>
        </w:tabs>
        <w:spacing w:before="44"/>
        <w:ind w:left="160" w:right="0" w:firstLine="0"/>
        <w:jc w:val="left"/>
        <w:rPr>
          <w:i/>
          <w:sz w:val="24"/>
        </w:rPr>
      </w:pPr>
      <w:r>
        <w:rPr>
          <w:i/>
          <w:sz w:val="24"/>
        </w:rPr>
        <w:t>(Dean,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 of Postgraduate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Studies)</w:t>
        <w:tab/>
        <w:t>Signature</w:t>
        <w:tab/>
        <w:t>Date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7"/>
        </w:rPr>
      </w:pPr>
    </w:p>
    <w:p>
      <w:pPr>
        <w:pStyle w:val="Heading1"/>
        <w:spacing w:before="89"/>
      </w:pPr>
      <w:bookmarkStart w:name="_bookmark2" w:id="3"/>
      <w:bookmarkEnd w:id="3"/>
      <w:r>
        <w:rPr>
          <w:b w:val="0"/>
        </w:rPr>
      </w:r>
      <w:r>
        <w:rPr/>
        <w:t>DEDICATION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60"/>
        <w:ind w:left="151" w:right="151"/>
        <w:jc w:val="center"/>
      </w:pPr>
      <w:r>
        <w:rPr/>
        <w:t>To</w:t>
      </w:r>
    </w:p>
    <w:p>
      <w:pPr>
        <w:pStyle w:val="BodyText"/>
        <w:spacing w:before="5"/>
        <w:rPr>
          <w:sz w:val="31"/>
        </w:rPr>
      </w:pPr>
    </w:p>
    <w:p>
      <w:pPr>
        <w:pStyle w:val="Heading4"/>
        <w:spacing w:before="1"/>
        <w:ind w:left="151" w:right="151"/>
        <w:jc w:val="center"/>
      </w:pPr>
      <w:r>
        <w:rPr/>
        <w:t>GOD</w:t>
      </w:r>
      <w:r>
        <w:rPr>
          <w:spacing w:val="-2"/>
        </w:rPr>
        <w:t> </w:t>
      </w:r>
      <w:r>
        <w:rPr/>
        <w:t>ALMIGHTY</w:t>
      </w:r>
    </w:p>
    <w:p>
      <w:pPr>
        <w:pStyle w:val="BodyText"/>
        <w:spacing w:before="36"/>
        <w:ind w:left="151" w:right="151"/>
        <w:jc w:val="center"/>
      </w:pPr>
      <w:r>
        <w:rPr/>
        <w:t>(The</w:t>
      </w:r>
      <w:r>
        <w:rPr>
          <w:spacing w:val="-3"/>
        </w:rPr>
        <w:t> </w:t>
      </w:r>
      <w:r>
        <w:rPr/>
        <w:t>Eternal,</w:t>
      </w:r>
      <w:r>
        <w:rPr>
          <w:spacing w:val="-1"/>
        </w:rPr>
        <w:t> </w:t>
      </w:r>
      <w:r>
        <w:rPr/>
        <w:t>Merciful,</w:t>
      </w:r>
      <w:r>
        <w:rPr>
          <w:spacing w:val="-2"/>
        </w:rPr>
        <w:t> </w:t>
      </w:r>
      <w:r>
        <w:rPr/>
        <w:t>Gracious,</w:t>
      </w:r>
      <w:r>
        <w:rPr>
          <w:spacing w:val="-1"/>
        </w:rPr>
        <w:t> </w:t>
      </w:r>
      <w:r>
        <w:rPr/>
        <w:t>and All-Knowing)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4"/>
        <w:spacing w:before="1"/>
        <w:ind w:left="151" w:right="150"/>
        <w:jc w:val="center"/>
      </w:pPr>
      <w:r>
        <w:rPr/>
        <w:t>DELIGHT,</w:t>
      </w:r>
      <w:r>
        <w:rPr>
          <w:spacing w:val="-1"/>
        </w:rPr>
        <w:t> </w:t>
      </w:r>
      <w:r>
        <w:rPr/>
        <w:t>DESIRE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DEBORAH</w:t>
      </w:r>
      <w:r>
        <w:rPr>
          <w:spacing w:val="-2"/>
        </w:rPr>
        <w:t> </w:t>
      </w:r>
      <w:r>
        <w:rPr/>
        <w:t>POPOOLA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ind w:left="151" w:right="151"/>
        <w:jc w:val="center"/>
      </w:pPr>
      <w:r>
        <w:rPr/>
        <w:t>And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spacing w:before="6"/>
        <w:rPr>
          <w:sz w:val="31"/>
        </w:rPr>
      </w:pPr>
    </w:p>
    <w:p>
      <w:pPr>
        <w:spacing w:before="1"/>
        <w:ind w:left="148" w:right="151" w:firstLine="0"/>
        <w:jc w:val="center"/>
        <w:rPr>
          <w:b/>
          <w:sz w:val="24"/>
        </w:rPr>
      </w:pPr>
      <w:r>
        <w:rPr>
          <w:b/>
          <w:sz w:val="24"/>
        </w:rPr>
        <w:t>ALL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WHOM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HOPELESS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5" w:top="1500" w:bottom="1200" w:left="1280" w:right="1280"/>
        </w:sectPr>
      </w:pPr>
    </w:p>
    <w:p>
      <w:pPr>
        <w:pStyle w:val="Heading1"/>
        <w:spacing w:before="75"/>
        <w:ind w:right="149"/>
      </w:pPr>
      <w:bookmarkStart w:name="_bookmark3" w:id="4"/>
      <w:bookmarkEnd w:id="4"/>
      <w:r>
        <w:rPr>
          <w:b w:val="0"/>
        </w:rPr>
      </w:r>
      <w:r>
        <w:rPr/>
        <w:t>ACKNOWLEDGEMENTS</w:t>
      </w:r>
    </w:p>
    <w:p>
      <w:pPr>
        <w:spacing w:before="207"/>
        <w:ind w:left="486" w:right="0" w:firstLine="0"/>
        <w:jc w:val="left"/>
        <w:rPr>
          <w:i/>
          <w:sz w:val="22"/>
        </w:rPr>
      </w:pPr>
      <w:r>
        <w:rPr>
          <w:i/>
          <w:sz w:val="22"/>
        </w:rPr>
        <w:t>‘It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does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not,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therefore, depend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man’s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desire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effort,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but 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GOD’s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mercy’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(Romans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9:16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NIV)</w:t>
      </w: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spacing w:line="276" w:lineRule="auto" w:before="1"/>
        <w:ind w:left="160" w:right="167"/>
        <w:jc w:val="both"/>
      </w:pPr>
      <w:r>
        <w:rPr/>
        <w:t>First of all, I ascribe all glory to God, the Almighty for the successful completion of this doctoral</w:t>
      </w:r>
      <w:r>
        <w:rPr>
          <w:spacing w:val="-57"/>
        </w:rPr>
        <w:t> </w:t>
      </w:r>
      <w:r>
        <w:rPr/>
        <w:t>voyage.</w:t>
      </w:r>
      <w:r>
        <w:rPr>
          <w:spacing w:val="-1"/>
        </w:rPr>
        <w:t> </w:t>
      </w:r>
      <w:r>
        <w:rPr/>
        <w:t>The achievement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milestone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be attributed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mercy</w:t>
      </w:r>
      <w:r>
        <w:rPr>
          <w:spacing w:val="-6"/>
        </w:rPr>
        <w:t> </w:t>
      </w:r>
      <w:r>
        <w:rPr/>
        <w:t>and</w:t>
      </w:r>
      <w:r>
        <w:rPr>
          <w:spacing w:val="7"/>
        </w:rPr>
        <w:t> </w:t>
      </w:r>
      <w:r>
        <w:rPr/>
        <w:t>grace</w:t>
      </w:r>
      <w:r>
        <w:rPr>
          <w:spacing w:val="-2"/>
        </w:rPr>
        <w:t> </w:t>
      </w:r>
      <w:r>
        <w:rPr/>
        <w:t>of God.</w:t>
      </w:r>
    </w:p>
    <w:p>
      <w:pPr>
        <w:pStyle w:val="BodyText"/>
        <w:spacing w:line="276" w:lineRule="auto" w:before="159"/>
        <w:ind w:left="160" w:right="155"/>
        <w:jc w:val="both"/>
      </w:pPr>
      <w:r>
        <w:rPr/>
        <w:t>Second,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owe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appreciations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supportive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darling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Maria</w:t>
      </w:r>
      <w:r>
        <w:rPr>
          <w:spacing w:val="1"/>
        </w:rPr>
        <w:t> </w:t>
      </w:r>
      <w:r>
        <w:rPr/>
        <w:t>Oluwafunmilayo</w:t>
      </w:r>
      <w:r>
        <w:rPr>
          <w:spacing w:val="-10"/>
        </w:rPr>
        <w:t> </w:t>
      </w:r>
      <w:r>
        <w:rPr/>
        <w:t>Popoola.</w:t>
      </w:r>
      <w:r>
        <w:rPr>
          <w:spacing w:val="-9"/>
        </w:rPr>
        <w:t> </w:t>
      </w:r>
      <w:r>
        <w:rPr/>
        <w:t>Her</w:t>
      </w:r>
      <w:r>
        <w:rPr>
          <w:spacing w:val="-8"/>
        </w:rPr>
        <w:t> </w:t>
      </w:r>
      <w:r>
        <w:rPr/>
        <w:t>endurance,</w:t>
      </w:r>
      <w:r>
        <w:rPr>
          <w:spacing w:val="-9"/>
        </w:rPr>
        <w:t> </w:t>
      </w:r>
      <w:r>
        <w:rPr/>
        <w:t>understanding,</w:t>
      </w:r>
      <w:r>
        <w:rPr>
          <w:spacing w:val="-10"/>
        </w:rPr>
        <w:t> </w:t>
      </w:r>
      <w:r>
        <w:rPr/>
        <w:t>supports,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love</w:t>
      </w:r>
      <w:r>
        <w:rPr>
          <w:spacing w:val="-9"/>
        </w:rPr>
        <w:t> </w:t>
      </w:r>
      <w:r>
        <w:rPr/>
        <w:t>cannot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quantified.</w:t>
      </w:r>
      <w:r>
        <w:rPr>
          <w:spacing w:val="-58"/>
        </w:rPr>
        <w:t> </w:t>
      </w:r>
      <w:r>
        <w:rPr/>
        <w:t>Her</w:t>
      </w:r>
      <w:r>
        <w:rPr>
          <w:spacing w:val="-10"/>
        </w:rPr>
        <w:t> </w:t>
      </w:r>
      <w:r>
        <w:rPr/>
        <w:t>prayers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words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encouragement</w:t>
      </w:r>
      <w:r>
        <w:rPr>
          <w:spacing w:val="-9"/>
        </w:rPr>
        <w:t> </w:t>
      </w:r>
      <w:r>
        <w:rPr/>
        <w:t>also</w:t>
      </w:r>
      <w:r>
        <w:rPr>
          <w:spacing w:val="-8"/>
        </w:rPr>
        <w:t> </w:t>
      </w:r>
      <w:r>
        <w:rPr/>
        <w:t>meant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lot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success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programme.</w:t>
      </w:r>
      <w:r>
        <w:rPr>
          <w:spacing w:val="-9"/>
        </w:rPr>
        <w:t> </w:t>
      </w:r>
      <w:r>
        <w:rPr/>
        <w:t>What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my</w:t>
      </w:r>
      <w:r>
        <w:rPr>
          <w:spacing w:val="-15"/>
        </w:rPr>
        <w:t> </w:t>
      </w:r>
      <w:r>
        <w:rPr>
          <w:spacing w:val="-1"/>
        </w:rPr>
        <w:t>boys</w:t>
      </w:r>
      <w:r>
        <w:rPr>
          <w:spacing w:val="-12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Delight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Desire</w:t>
      </w:r>
      <w:r>
        <w:rPr>
          <w:spacing w:val="-13"/>
        </w:rPr>
        <w:t> </w:t>
      </w:r>
      <w:r>
        <w:rPr/>
        <w:t>Popoola.</w:t>
      </w:r>
      <w:r>
        <w:rPr>
          <w:spacing w:val="-8"/>
        </w:rPr>
        <w:t> </w:t>
      </w:r>
      <w:r>
        <w:rPr/>
        <w:t>I’m</w:t>
      </w:r>
      <w:r>
        <w:rPr>
          <w:spacing w:val="-13"/>
        </w:rPr>
        <w:t> </w:t>
      </w:r>
      <w:r>
        <w:rPr/>
        <w:t>sorry</w:t>
      </w:r>
      <w:r>
        <w:rPr>
          <w:spacing w:val="-15"/>
        </w:rPr>
        <w:t> </w:t>
      </w:r>
      <w:r>
        <w:rPr/>
        <w:t>for</w:t>
      </w:r>
      <w:r>
        <w:rPr>
          <w:spacing w:val="-11"/>
        </w:rPr>
        <w:t> </w:t>
      </w:r>
      <w:r>
        <w:rPr/>
        <w:t>always</w:t>
      </w:r>
      <w:r>
        <w:rPr>
          <w:spacing w:val="-12"/>
        </w:rPr>
        <w:t> </w:t>
      </w:r>
      <w:r>
        <w:rPr/>
        <w:t>closing</w:t>
      </w:r>
      <w:r>
        <w:rPr>
          <w:spacing w:val="-15"/>
        </w:rPr>
        <w:t> </w:t>
      </w:r>
      <w:r>
        <w:rPr/>
        <w:t>door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myself</w:t>
      </w:r>
      <w:r>
        <w:rPr>
          <w:spacing w:val="-13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course</w:t>
      </w:r>
      <w:r>
        <w:rPr>
          <w:spacing w:val="-57"/>
        </w:rPr>
        <w:t> </w:t>
      </w:r>
      <w:r>
        <w:rPr/>
        <w:t>of this PhD programme! Your endurance and sacrifice are much appreciated. Now that the PhD</w:t>
      </w:r>
      <w:r>
        <w:rPr>
          <w:spacing w:val="1"/>
        </w:rPr>
        <w:t> </w:t>
      </w:r>
      <w:r>
        <w:rPr/>
        <w:t>rigour</w:t>
      </w:r>
      <w:r>
        <w:rPr>
          <w:spacing w:val="-2"/>
        </w:rPr>
        <w:t> </w:t>
      </w:r>
      <w:r>
        <w:rPr/>
        <w:t>has ended,</w:t>
      </w:r>
      <w:r>
        <w:rPr>
          <w:spacing w:val="-1"/>
        </w:rPr>
        <w:t> </w:t>
      </w:r>
      <w:r>
        <w:rPr/>
        <w:t>together,</w:t>
      </w:r>
      <w:r>
        <w:rPr>
          <w:spacing w:val="-4"/>
        </w:rPr>
        <w:t> </w:t>
      </w:r>
      <w:r>
        <w:rPr/>
        <w:t>may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live</w:t>
      </w:r>
      <w:r>
        <w:rPr>
          <w:spacing w:val="-2"/>
        </w:rPr>
        <w:t> </w:t>
      </w:r>
      <w:r>
        <w:rPr/>
        <w:t>long</w:t>
      </w:r>
      <w:r>
        <w:rPr>
          <w:spacing w:val="-5"/>
        </w:rPr>
        <w:t> </w:t>
      </w:r>
      <w:r>
        <w:rPr/>
        <w:t>in good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reap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fruit of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labour</w:t>
      </w:r>
      <w:r>
        <w:rPr>
          <w:spacing w:val="-3"/>
        </w:rPr>
        <w:t> </w:t>
      </w:r>
      <w:r>
        <w:rPr/>
        <w:t>(Amen)</w:t>
      </w:r>
    </w:p>
    <w:p>
      <w:pPr>
        <w:pStyle w:val="BodyText"/>
        <w:spacing w:line="276" w:lineRule="auto" w:before="163"/>
        <w:ind w:left="160" w:right="157"/>
        <w:jc w:val="both"/>
      </w:pPr>
      <w:r>
        <w:rPr/>
        <w:t>Third, I owe special thanks to my team of supervisory committee – Prof. Salamatu I. Isah, Dr.</w:t>
      </w:r>
      <w:r>
        <w:rPr>
          <w:spacing w:val="1"/>
        </w:rPr>
        <w:t> </w:t>
      </w:r>
      <w:r>
        <w:rPr/>
        <w:t>Mohammed</w:t>
      </w:r>
      <w:r>
        <w:rPr>
          <w:spacing w:val="-11"/>
        </w:rPr>
        <w:t> </w:t>
      </w:r>
      <w:r>
        <w:rPr/>
        <w:t>I.</w:t>
      </w:r>
      <w:r>
        <w:rPr>
          <w:spacing w:val="-13"/>
        </w:rPr>
        <w:t> </w:t>
      </w:r>
      <w:r>
        <w:rPr/>
        <w:t>Shuaibu,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Dr.</w:t>
      </w:r>
      <w:r>
        <w:rPr>
          <w:spacing w:val="-13"/>
        </w:rPr>
        <w:t> </w:t>
      </w:r>
      <w:r>
        <w:rPr/>
        <w:t>Taofik</w:t>
      </w:r>
      <w:r>
        <w:rPr>
          <w:spacing w:val="-14"/>
        </w:rPr>
        <w:t> </w:t>
      </w:r>
      <w:r>
        <w:rPr/>
        <w:t>M.</w:t>
      </w:r>
      <w:r>
        <w:rPr>
          <w:spacing w:val="-11"/>
        </w:rPr>
        <w:t> </w:t>
      </w:r>
      <w:r>
        <w:rPr/>
        <w:t>Ibrahim</w:t>
      </w:r>
      <w:r>
        <w:rPr>
          <w:spacing w:val="-11"/>
        </w:rPr>
        <w:t> </w:t>
      </w:r>
      <w:r>
        <w:rPr/>
        <w:t>–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their</w:t>
      </w:r>
      <w:r>
        <w:rPr>
          <w:spacing w:val="-14"/>
        </w:rPr>
        <w:t> </w:t>
      </w:r>
      <w:r>
        <w:rPr/>
        <w:t>supervision,</w:t>
      </w:r>
      <w:r>
        <w:rPr>
          <w:spacing w:val="-12"/>
        </w:rPr>
        <w:t> </w:t>
      </w:r>
      <w:r>
        <w:rPr/>
        <w:t>mentorship,</w:t>
      </w:r>
      <w:r>
        <w:rPr>
          <w:spacing w:val="-13"/>
        </w:rPr>
        <w:t> </w:t>
      </w:r>
      <w:r>
        <w:rPr/>
        <w:t>promptness</w:t>
      </w:r>
      <w:r>
        <w:rPr>
          <w:spacing w:val="-58"/>
        </w:rPr>
        <w:t> </w:t>
      </w:r>
      <w:r>
        <w:rPr/>
        <w:t>in reading my write-ups, constructive criticisms, as well as other supports too numerous to</w:t>
      </w:r>
      <w:r>
        <w:rPr>
          <w:spacing w:val="1"/>
        </w:rPr>
        <w:t> </w:t>
      </w:r>
      <w:r>
        <w:rPr/>
        <w:t>highlight. May God continue to support, promote, keep and bless you and your families (Amen).</w:t>
      </w:r>
      <w:r>
        <w:rPr>
          <w:spacing w:val="1"/>
        </w:rPr>
        <w:t> </w:t>
      </w:r>
      <w:r>
        <w:rPr/>
        <w:t>My heartfelt appreciation also goes to Dr. Jacob Novignon, Department of Economics, Kwame</w:t>
      </w:r>
      <w:r>
        <w:rPr>
          <w:spacing w:val="1"/>
        </w:rPr>
        <w:t> </w:t>
      </w:r>
      <w:r>
        <w:rPr>
          <w:spacing w:val="-1"/>
        </w:rPr>
        <w:t>Nkrumah</w:t>
      </w:r>
      <w:r>
        <w:rPr>
          <w:spacing w:val="-13"/>
        </w:rPr>
        <w:t> </w:t>
      </w:r>
      <w:r>
        <w:rPr>
          <w:spacing w:val="-1"/>
        </w:rPr>
        <w:t>University</w:t>
      </w:r>
      <w:r>
        <w:rPr>
          <w:spacing w:val="-17"/>
        </w:rPr>
        <w:t> </w:t>
      </w:r>
      <w:r>
        <w:rPr/>
        <w:t>of</w:t>
      </w:r>
      <w:r>
        <w:rPr>
          <w:spacing w:val="-13"/>
        </w:rPr>
        <w:t> </w:t>
      </w:r>
      <w:r>
        <w:rPr/>
        <w:t>Science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Technology,</w:t>
      </w:r>
      <w:r>
        <w:rPr>
          <w:spacing w:val="-10"/>
        </w:rPr>
        <w:t> </w:t>
      </w:r>
      <w:r>
        <w:rPr/>
        <w:t>Ghana;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Prof.</w:t>
      </w:r>
      <w:r>
        <w:rPr>
          <w:spacing w:val="-12"/>
        </w:rPr>
        <w:t> </w:t>
      </w:r>
      <w:r>
        <w:rPr/>
        <w:t>Clifford</w:t>
      </w:r>
      <w:r>
        <w:rPr>
          <w:spacing w:val="-13"/>
        </w:rPr>
        <w:t> </w:t>
      </w:r>
      <w:r>
        <w:rPr/>
        <w:t>Odimegwu,</w:t>
      </w:r>
      <w:r>
        <w:rPr>
          <w:spacing w:val="-13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of the Witwatersrand, South Africa. Thank</w:t>
      </w:r>
      <w:r>
        <w:rPr>
          <w:spacing w:val="1"/>
        </w:rPr>
        <w:t> </w:t>
      </w:r>
      <w:r>
        <w:rPr/>
        <w:t>you for influencing and redirecting my thought</w:t>
      </w:r>
      <w:r>
        <w:rPr>
          <w:spacing w:val="1"/>
        </w:rPr>
        <w:t> </w:t>
      </w:r>
      <w:r>
        <w:rPr/>
        <w:t>tremendously.</w:t>
      </w:r>
    </w:p>
    <w:p>
      <w:pPr>
        <w:pStyle w:val="BodyText"/>
        <w:spacing w:line="276" w:lineRule="auto" w:before="132"/>
        <w:ind w:left="160" w:right="154"/>
        <w:jc w:val="both"/>
      </w:pPr>
      <w:r>
        <w:rPr/>
        <w:t>I</w:t>
      </w:r>
      <w:r>
        <w:rPr>
          <w:spacing w:val="-7"/>
        </w:rPr>
        <w:t> </w:t>
      </w:r>
      <w:r>
        <w:rPr/>
        <w:t>equally</w:t>
      </w:r>
      <w:r>
        <w:rPr>
          <w:spacing w:val="-10"/>
        </w:rPr>
        <w:t> </w:t>
      </w:r>
      <w:r>
        <w:rPr/>
        <w:t>acknowledge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robust</w:t>
      </w:r>
      <w:r>
        <w:rPr>
          <w:spacing w:val="-5"/>
        </w:rPr>
        <w:t> </w:t>
      </w:r>
      <w:r>
        <w:rPr/>
        <w:t>contributions,</w:t>
      </w:r>
      <w:r>
        <w:rPr>
          <w:spacing w:val="-6"/>
        </w:rPr>
        <w:t> </w:t>
      </w:r>
      <w:r>
        <w:rPr/>
        <w:t>support,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encouragement</w:t>
      </w:r>
      <w:r>
        <w:rPr>
          <w:spacing w:val="-5"/>
        </w:rPr>
        <w:t> </w:t>
      </w:r>
      <w:r>
        <w:rPr/>
        <w:t>of;</w:t>
      </w:r>
      <w:r>
        <w:rPr>
          <w:spacing w:val="-4"/>
        </w:rPr>
        <w:t> </w:t>
      </w:r>
      <w:r>
        <w:rPr/>
        <w:t>Prof.</w:t>
      </w:r>
      <w:r>
        <w:rPr>
          <w:spacing w:val="-5"/>
        </w:rPr>
        <w:t> </w:t>
      </w:r>
      <w:r>
        <w:rPr/>
        <w:t>A.R.</w:t>
      </w:r>
      <w:r>
        <w:rPr>
          <w:spacing w:val="-6"/>
        </w:rPr>
        <w:t> </w:t>
      </w:r>
      <w:r>
        <w:rPr/>
        <w:t>Sanusi</w:t>
      </w:r>
      <w:r>
        <w:rPr>
          <w:spacing w:val="-57"/>
        </w:rPr>
        <w:t> </w:t>
      </w:r>
      <w:r>
        <w:rPr/>
        <w:t>(Head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Department),</w:t>
      </w:r>
      <w:r>
        <w:rPr>
          <w:spacing w:val="-2"/>
        </w:rPr>
        <w:t> </w:t>
      </w:r>
      <w:r>
        <w:rPr/>
        <w:t>Prof.</w:t>
      </w:r>
      <w:r>
        <w:rPr>
          <w:spacing w:val="-1"/>
        </w:rPr>
        <w:t> </w:t>
      </w:r>
      <w:r>
        <w:rPr/>
        <w:t>Mike Kwanashie,</w:t>
      </w:r>
      <w:r>
        <w:rPr>
          <w:spacing w:val="-2"/>
        </w:rPr>
        <w:t> </w:t>
      </w:r>
      <w:r>
        <w:rPr/>
        <w:t>Prof.</w:t>
      </w:r>
      <w:r>
        <w:rPr>
          <w:spacing w:val="-1"/>
        </w:rPr>
        <w:t> </w:t>
      </w:r>
      <w:r>
        <w:rPr/>
        <w:t>A. Garba, Prof.</w:t>
      </w:r>
      <w:r>
        <w:rPr>
          <w:spacing w:val="-1"/>
        </w:rPr>
        <w:t> </w:t>
      </w:r>
      <w:r>
        <w:rPr/>
        <w:t>M.C.</w:t>
      </w:r>
      <w:r>
        <w:rPr>
          <w:spacing w:val="-1"/>
        </w:rPr>
        <w:t> </w:t>
      </w:r>
      <w:r>
        <w:rPr/>
        <w:t>Duru,</w:t>
      </w:r>
      <w:r>
        <w:rPr>
          <w:spacing w:val="-1"/>
        </w:rPr>
        <w:t> </w:t>
      </w:r>
      <w:r>
        <w:rPr/>
        <w:t>Prof.</w:t>
      </w:r>
    </w:p>
    <w:p>
      <w:pPr>
        <w:pStyle w:val="BodyText"/>
        <w:spacing w:line="276" w:lineRule="auto"/>
        <w:ind w:left="160" w:right="155"/>
        <w:jc w:val="both"/>
      </w:pPr>
      <w:r>
        <w:rPr/>
        <w:t>P.P. Njiforti, Prof. M.M. Usman, Dr. Abiodun Popoola, Dr. Dahiru Suleiman (PG coordinator),</w:t>
      </w:r>
      <w:r>
        <w:rPr>
          <w:spacing w:val="1"/>
        </w:rPr>
        <w:t> </w:t>
      </w:r>
      <w:r>
        <w:rPr/>
        <w:t>Dr.</w:t>
      </w:r>
      <w:r>
        <w:rPr>
          <w:spacing w:val="-4"/>
        </w:rPr>
        <w:t> </w:t>
      </w:r>
      <w:r>
        <w:rPr/>
        <w:t>Soliu</w:t>
      </w:r>
      <w:r>
        <w:rPr>
          <w:spacing w:val="-4"/>
        </w:rPr>
        <w:t> </w:t>
      </w:r>
      <w:r>
        <w:rPr/>
        <w:t>Hamzat,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others.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words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encouragement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both</w:t>
      </w:r>
      <w:r>
        <w:rPr>
          <w:spacing w:val="-3"/>
        </w:rPr>
        <w:t> </w:t>
      </w:r>
      <w:r>
        <w:rPr/>
        <w:t>non-academic</w:t>
      </w:r>
      <w:r>
        <w:rPr>
          <w:spacing w:val="-5"/>
        </w:rPr>
        <w:t> </w:t>
      </w:r>
      <w:r>
        <w:rPr/>
        <w:t>staffs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post-</w:t>
      </w:r>
      <w:r>
        <w:rPr>
          <w:spacing w:val="-58"/>
        </w:rPr>
        <w:t> </w:t>
      </w:r>
      <w:r>
        <w:rPr/>
        <w:t>graduate students of the Department of Economics, Ahmadu Bello University, Zaria, Nigeria is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appreciated.</w:t>
      </w:r>
    </w:p>
    <w:p>
      <w:pPr>
        <w:pStyle w:val="BodyText"/>
        <w:spacing w:line="276" w:lineRule="auto" w:before="132"/>
        <w:ind w:left="160" w:right="157"/>
        <w:jc w:val="both"/>
      </w:pPr>
      <w:r>
        <w:rPr/>
        <w:t>My appreciation also goes to my dear parents, Dn. &amp; Mrs. Isaac K. Popoola; and my big uncles,</w:t>
      </w:r>
      <w:r>
        <w:rPr>
          <w:spacing w:val="1"/>
        </w:rPr>
        <w:t> </w:t>
      </w:r>
      <w:r>
        <w:rPr/>
        <w:t>Arch. (Dr.) and Dr. (Mrs.) J.O. Popoola, Rev. (Dr.) and Mrs. J.T. Popoola, Prof. Y.A. Adekunle,</w:t>
      </w:r>
      <w:r>
        <w:rPr>
          <w:spacing w:val="1"/>
        </w:rPr>
        <w:t> </w:t>
      </w:r>
      <w:r>
        <w:rPr>
          <w:spacing w:val="-1"/>
        </w:rPr>
        <w:t>Dr.</w:t>
      </w:r>
      <w:r>
        <w:rPr>
          <w:spacing w:val="-15"/>
        </w:rPr>
        <w:t> </w:t>
      </w:r>
      <w:r>
        <w:rPr>
          <w:spacing w:val="-1"/>
        </w:rPr>
        <w:t>Gbemi</w:t>
      </w:r>
      <w:r>
        <w:rPr>
          <w:spacing w:val="-13"/>
        </w:rPr>
        <w:t> </w:t>
      </w:r>
      <w:r>
        <w:rPr>
          <w:spacing w:val="-1"/>
        </w:rPr>
        <w:t>Popoola,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Arch.</w:t>
      </w:r>
      <w:r>
        <w:rPr>
          <w:spacing w:val="-15"/>
        </w:rPr>
        <w:t> </w:t>
      </w:r>
      <w:r>
        <w:rPr/>
        <w:t>Gbenga</w:t>
      </w:r>
      <w:r>
        <w:rPr>
          <w:spacing w:val="-15"/>
        </w:rPr>
        <w:t> </w:t>
      </w:r>
      <w:r>
        <w:rPr/>
        <w:t>Popoola.</w:t>
      </w:r>
      <w:r>
        <w:rPr>
          <w:spacing w:val="-13"/>
        </w:rPr>
        <w:t> </w:t>
      </w:r>
      <w:r>
        <w:rPr/>
        <w:t>I</w:t>
      </w:r>
      <w:r>
        <w:rPr>
          <w:spacing w:val="-15"/>
        </w:rPr>
        <w:t> </w:t>
      </w:r>
      <w:r>
        <w:rPr/>
        <w:t>particularly</w:t>
      </w:r>
      <w:r>
        <w:rPr>
          <w:spacing w:val="-20"/>
        </w:rPr>
        <w:t> </w:t>
      </w:r>
      <w:r>
        <w:rPr/>
        <w:t>thank</w:t>
      </w:r>
      <w:r>
        <w:rPr>
          <w:spacing w:val="-14"/>
        </w:rPr>
        <w:t> </w:t>
      </w:r>
      <w:r>
        <w:rPr/>
        <w:t>my</w:t>
      </w:r>
      <w:r>
        <w:rPr>
          <w:spacing w:val="-20"/>
        </w:rPr>
        <w:t> </w:t>
      </w:r>
      <w:r>
        <w:rPr/>
        <w:t>siblings</w:t>
      </w:r>
      <w:r>
        <w:rPr>
          <w:spacing w:val="-10"/>
        </w:rPr>
        <w:t> </w:t>
      </w:r>
      <w:r>
        <w:rPr/>
        <w:t>–</w:t>
      </w:r>
      <w:r>
        <w:rPr>
          <w:spacing w:val="-15"/>
        </w:rPr>
        <w:t> </w:t>
      </w:r>
      <w:r>
        <w:rPr/>
        <w:t>Olayemi,</w:t>
      </w:r>
      <w:r>
        <w:rPr>
          <w:spacing w:val="-14"/>
        </w:rPr>
        <w:t> </w:t>
      </w:r>
      <w:r>
        <w:rPr/>
        <w:t>Olaolu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Olasunkanmi Popoola for prayers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supports. You guys are</w:t>
      </w:r>
      <w:r>
        <w:rPr>
          <w:spacing w:val="-2"/>
        </w:rPr>
        <w:t> </w:t>
      </w:r>
      <w:r>
        <w:rPr/>
        <w:t>the best!</w:t>
      </w:r>
    </w:p>
    <w:p>
      <w:pPr>
        <w:pStyle w:val="BodyText"/>
        <w:spacing w:line="276" w:lineRule="auto" w:before="132"/>
        <w:ind w:left="160" w:right="158"/>
        <w:jc w:val="both"/>
      </w:pPr>
      <w:r>
        <w:rPr>
          <w:spacing w:val="-1"/>
        </w:rPr>
        <w:t>I</w:t>
      </w:r>
      <w:r>
        <w:rPr>
          <w:spacing w:val="-11"/>
        </w:rPr>
        <w:t> </w:t>
      </w:r>
      <w:r>
        <w:rPr>
          <w:spacing w:val="-1"/>
        </w:rPr>
        <w:t>appreciate</w:t>
      </w:r>
      <w:r>
        <w:rPr>
          <w:spacing w:val="-9"/>
        </w:rPr>
        <w:t> </w:t>
      </w:r>
      <w:r>
        <w:rPr/>
        <w:t>my</w:t>
      </w:r>
      <w:r>
        <w:rPr>
          <w:spacing w:val="-15"/>
        </w:rPr>
        <w:t> </w:t>
      </w:r>
      <w:r>
        <w:rPr/>
        <w:t>Pastor</w:t>
      </w:r>
      <w:r>
        <w:rPr>
          <w:spacing w:val="-9"/>
        </w:rPr>
        <w:t> </w:t>
      </w:r>
      <w:r>
        <w:rPr/>
        <w:t>Ola</w:t>
      </w:r>
      <w:r>
        <w:rPr>
          <w:spacing w:val="-11"/>
        </w:rPr>
        <w:t> </w:t>
      </w:r>
      <w:r>
        <w:rPr/>
        <w:t>Stephen,</w:t>
      </w:r>
      <w:r>
        <w:rPr>
          <w:spacing w:val="-10"/>
        </w:rPr>
        <w:t> </w:t>
      </w:r>
      <w:r>
        <w:rPr/>
        <w:t>Pastor</w:t>
      </w:r>
      <w:r>
        <w:rPr>
          <w:spacing w:val="-7"/>
        </w:rPr>
        <w:t> </w:t>
      </w:r>
      <w:r>
        <w:rPr/>
        <w:t>(Prof.)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Mrs.</w:t>
      </w:r>
      <w:r>
        <w:rPr>
          <w:spacing w:val="-10"/>
        </w:rPr>
        <w:t> </w:t>
      </w:r>
      <w:r>
        <w:rPr/>
        <w:t>C.</w:t>
      </w:r>
      <w:r>
        <w:rPr>
          <w:spacing w:val="-8"/>
        </w:rPr>
        <w:t> </w:t>
      </w:r>
      <w:r>
        <w:rPr/>
        <w:t>Bakinde,</w:t>
      </w:r>
      <w:r>
        <w:rPr>
          <w:spacing w:val="-10"/>
        </w:rPr>
        <w:t> </w:t>
      </w:r>
      <w:r>
        <w:rPr/>
        <w:t>Prof.</w:t>
      </w:r>
      <w:r>
        <w:rPr>
          <w:spacing w:val="-11"/>
        </w:rPr>
        <w:t> </w:t>
      </w:r>
      <w:r>
        <w:rPr/>
        <w:t>&amp;</w:t>
      </w:r>
      <w:r>
        <w:rPr>
          <w:spacing w:val="-10"/>
        </w:rPr>
        <w:t> </w:t>
      </w:r>
      <w:r>
        <w:rPr/>
        <w:t>Mrs.</w:t>
      </w:r>
      <w:r>
        <w:rPr>
          <w:spacing w:val="-9"/>
        </w:rPr>
        <w:t> </w:t>
      </w:r>
      <w:r>
        <w:rPr/>
        <w:t>K.T.</w:t>
      </w:r>
      <w:r>
        <w:rPr>
          <w:spacing w:val="-8"/>
        </w:rPr>
        <w:t> </w:t>
      </w:r>
      <w:r>
        <w:rPr/>
        <w:t>Odofin,</w:t>
      </w:r>
      <w:r>
        <w:rPr>
          <w:spacing w:val="-58"/>
        </w:rPr>
        <w:t> </w:t>
      </w:r>
      <w:r>
        <w:rPr/>
        <w:t>Prof. &amp; Mrs. E. Jegede, Pastor &amp; Mrs. Olushola Olaleye, Mr. &amp; Mrs. Adewale Adesoye, Dr.</w:t>
      </w:r>
      <w:r>
        <w:rPr>
          <w:spacing w:val="1"/>
        </w:rPr>
        <w:t> </w:t>
      </w:r>
      <w:r>
        <w:rPr/>
        <w:t>Michael Abu, all members of Grace Baptist Church, Ilorin, Kwara State, and R.C.C.G Lifegate</w:t>
      </w:r>
      <w:r>
        <w:rPr>
          <w:spacing w:val="1"/>
        </w:rPr>
        <w:t> </w:t>
      </w:r>
      <w:r>
        <w:rPr/>
        <w:t>Parish,</w:t>
      </w:r>
      <w:r>
        <w:rPr>
          <w:spacing w:val="-1"/>
        </w:rPr>
        <w:t> </w:t>
      </w:r>
      <w:r>
        <w:rPr/>
        <w:t>Graceland,</w:t>
      </w:r>
      <w:r>
        <w:rPr>
          <w:spacing w:val="1"/>
        </w:rPr>
        <w:t> </w:t>
      </w:r>
      <w:r>
        <w:rPr/>
        <w:t>Zaria,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line="276" w:lineRule="auto" w:before="132"/>
        <w:ind w:left="160" w:right="161"/>
        <w:jc w:val="both"/>
      </w:pPr>
      <w:r>
        <w:rPr/>
        <w:t>I also express my gratitude to many other people too numerous to mention for their supports in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way</w:t>
      </w:r>
      <w:r>
        <w:rPr>
          <w:spacing w:val="-5"/>
        </w:rPr>
        <w:t> </w:t>
      </w:r>
      <w:r>
        <w:rPr/>
        <w:t>or the</w:t>
      </w:r>
      <w:r>
        <w:rPr>
          <w:spacing w:val="-1"/>
        </w:rPr>
        <w:t> </w:t>
      </w:r>
      <w:r>
        <w:rPr/>
        <w:t>other. You are</w:t>
      </w:r>
      <w:r>
        <w:rPr>
          <w:spacing w:val="-2"/>
        </w:rPr>
        <w:t> </w:t>
      </w:r>
      <w:r>
        <w:rPr/>
        <w:t>all important!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</w:pPr>
      <w:r>
        <w:rPr/>
        <w:t>Timothy</w:t>
      </w:r>
      <w:r>
        <w:rPr>
          <w:spacing w:val="-1"/>
        </w:rPr>
        <w:t> </w:t>
      </w:r>
      <w:r>
        <w:rPr/>
        <w:t>Oladayo</w:t>
      </w:r>
      <w:r>
        <w:rPr>
          <w:spacing w:val="-1"/>
        </w:rPr>
        <w:t> </w:t>
      </w:r>
      <w:r>
        <w:rPr/>
        <w:t>Popoola,</w:t>
      </w:r>
    </w:p>
    <w:p>
      <w:pPr>
        <w:pStyle w:val="BodyText"/>
        <w:spacing w:before="36"/>
        <w:ind w:left="160"/>
        <w:jc w:val="both"/>
      </w:pPr>
      <w:r>
        <w:rPr/>
        <w:t>March,</w:t>
      </w:r>
      <w:r>
        <w:rPr>
          <w:spacing w:val="-2"/>
        </w:rPr>
        <w:t> </w:t>
      </w:r>
      <w:r>
        <w:rPr/>
        <w:t>2021</w:t>
      </w:r>
    </w:p>
    <w:p>
      <w:pPr>
        <w:spacing w:after="0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/>
        <w:t>ABSTRACT</w:t>
      </w:r>
    </w:p>
    <w:p>
      <w:pPr>
        <w:pStyle w:val="BodyText"/>
        <w:spacing w:line="276" w:lineRule="auto" w:before="44"/>
        <w:ind w:left="160" w:right="153"/>
        <w:jc w:val="both"/>
      </w:pPr>
      <w:r>
        <w:rPr/>
        <w:t>During the periods of 1960s through 1980s, poor health outcomes (illness and deaths) resulting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strokes,</w:t>
      </w:r>
      <w:r>
        <w:rPr>
          <w:spacing w:val="-1"/>
        </w:rPr>
        <w:t> </w:t>
      </w:r>
      <w:r>
        <w:rPr/>
        <w:t>hypertension,</w:t>
      </w:r>
      <w:r>
        <w:rPr>
          <w:spacing w:val="-1"/>
        </w:rPr>
        <w:t> </w:t>
      </w:r>
      <w:r>
        <w:rPr/>
        <w:t>high</w:t>
      </w:r>
      <w:r>
        <w:rPr>
          <w:spacing w:val="-2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pressure, cancers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heart</w:t>
      </w:r>
      <w:r>
        <w:rPr>
          <w:spacing w:val="-1"/>
        </w:rPr>
        <w:t> </w:t>
      </w:r>
      <w:r>
        <w:rPr/>
        <w:t>diseases were</w:t>
      </w:r>
      <w:r>
        <w:rPr>
          <w:spacing w:val="-3"/>
        </w:rPr>
        <w:t> </w:t>
      </w:r>
      <w:r>
        <w:rPr/>
        <w:t>very</w:t>
      </w:r>
      <w:r>
        <w:rPr>
          <w:spacing w:val="-6"/>
        </w:rPr>
        <w:t> </w:t>
      </w:r>
      <w:r>
        <w:rPr/>
        <w:t>rare</w:t>
      </w:r>
      <w:r>
        <w:rPr>
          <w:spacing w:val="-3"/>
        </w:rPr>
        <w:t> </w:t>
      </w:r>
      <w:r>
        <w:rPr/>
        <w:t>among</w:t>
      </w:r>
      <w:r>
        <w:rPr>
          <w:spacing w:val="-58"/>
        </w:rPr>
        <w:t> </w:t>
      </w:r>
      <w:r>
        <w:rPr/>
        <w:t>Nigerian. But in recent decades, these has become more prevalent and remains deadly rising, as</w:t>
      </w:r>
      <w:r>
        <w:rPr>
          <w:spacing w:val="1"/>
        </w:rPr>
        <w:t> </w:t>
      </w:r>
      <w:r>
        <w:rPr/>
        <w:t>illnesses and deaths from non-communicable diseases rose from 21% to 29% between 2010 and</w:t>
      </w:r>
      <w:r>
        <w:rPr>
          <w:spacing w:val="1"/>
        </w:rPr>
        <w:t> </w:t>
      </w:r>
      <w:r>
        <w:rPr/>
        <w:t>2016. However, the percentage of Nigerians with appropriate health-seeking behaviour declined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14"/>
        </w:rPr>
        <w:t> </w:t>
      </w:r>
      <w:r>
        <w:rPr/>
        <w:t>54%</w:t>
      </w:r>
      <w:r>
        <w:rPr>
          <w:spacing w:val="-16"/>
        </w:rPr>
        <w:t> </w:t>
      </w:r>
      <w:r>
        <w:rPr/>
        <w:t>in</w:t>
      </w:r>
      <w:r>
        <w:rPr>
          <w:spacing w:val="-14"/>
        </w:rPr>
        <w:t> </w:t>
      </w:r>
      <w:r>
        <w:rPr>
          <w:sz w:val="23"/>
        </w:rPr>
        <w:t>2013</w:t>
      </w:r>
      <w:r>
        <w:rPr>
          <w:spacing w:val="-12"/>
          <w:sz w:val="23"/>
        </w:rPr>
        <w:t> </w:t>
      </w:r>
      <w:r>
        <w:rPr/>
        <w:t>to</w:t>
      </w:r>
      <w:r>
        <w:rPr>
          <w:spacing w:val="-14"/>
        </w:rPr>
        <w:t> </w:t>
      </w:r>
      <w:r>
        <w:rPr/>
        <w:t>32%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2019.</w:t>
      </w:r>
      <w:r>
        <w:rPr>
          <w:spacing w:val="-14"/>
        </w:rPr>
        <w:t> </w:t>
      </w:r>
      <w:r>
        <w:rPr/>
        <w:t>While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share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income</w:t>
      </w:r>
      <w:r>
        <w:rPr>
          <w:spacing w:val="-16"/>
        </w:rPr>
        <w:t> </w:t>
      </w:r>
      <w:r>
        <w:rPr/>
        <w:t>earned</w:t>
      </w:r>
      <w:r>
        <w:rPr>
          <w:spacing w:val="-15"/>
        </w:rPr>
        <w:t> </w:t>
      </w:r>
      <w:r>
        <w:rPr/>
        <w:t>by</w:t>
      </w:r>
      <w:r>
        <w:rPr>
          <w:spacing w:val="-19"/>
        </w:rPr>
        <w:t> </w:t>
      </w:r>
      <w:r>
        <w:rPr/>
        <w:t>the</w:t>
      </w:r>
      <w:r>
        <w:rPr>
          <w:spacing w:val="-16"/>
        </w:rPr>
        <w:t> </w:t>
      </w:r>
      <w:r>
        <w:rPr/>
        <w:t>richest</w:t>
      </w:r>
      <w:r>
        <w:rPr>
          <w:spacing w:val="-14"/>
        </w:rPr>
        <w:t> </w:t>
      </w:r>
      <w:r>
        <w:rPr/>
        <w:t>10%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Nigerian</w:t>
      </w:r>
      <w:r>
        <w:rPr>
          <w:spacing w:val="-57"/>
        </w:rPr>
        <w:t> </w:t>
      </w:r>
      <w:r>
        <w:rPr>
          <w:spacing w:val="-1"/>
        </w:rPr>
        <w:t>increased</w:t>
      </w:r>
      <w:r>
        <w:rPr>
          <w:spacing w:val="-12"/>
        </w:rPr>
        <w:t> </w:t>
      </w:r>
      <w:r>
        <w:rPr/>
        <w:t>from</w:t>
      </w:r>
      <w:r>
        <w:rPr>
          <w:spacing w:val="-9"/>
        </w:rPr>
        <w:t> </w:t>
      </w:r>
      <w:r>
        <w:rPr/>
        <w:t>26%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2004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31%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2017,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income</w:t>
      </w:r>
      <w:r>
        <w:rPr>
          <w:spacing w:val="-12"/>
        </w:rPr>
        <w:t> </w:t>
      </w:r>
      <w:r>
        <w:rPr/>
        <w:t>belonging</w:t>
      </w:r>
      <w:r>
        <w:rPr>
          <w:spacing w:val="-15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bottom</w:t>
      </w:r>
      <w:r>
        <w:rPr>
          <w:spacing w:val="-11"/>
        </w:rPr>
        <w:t> </w:t>
      </w:r>
      <w:r>
        <w:rPr/>
        <w:t>40%</w:t>
      </w:r>
      <w:r>
        <w:rPr>
          <w:spacing w:val="-13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lower-</w:t>
      </w:r>
      <w:r>
        <w:rPr>
          <w:spacing w:val="-57"/>
        </w:rPr>
        <w:t> </w:t>
      </w:r>
      <w:r>
        <w:rPr/>
        <w:t>end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income</w:t>
      </w:r>
      <w:r>
        <w:rPr>
          <w:spacing w:val="-6"/>
        </w:rPr>
        <w:t> </w:t>
      </w:r>
      <w:r>
        <w:rPr/>
        <w:t>distribution</w:t>
      </w:r>
      <w:r>
        <w:rPr>
          <w:spacing w:val="-5"/>
        </w:rPr>
        <w:t> </w:t>
      </w:r>
      <w:r>
        <w:rPr/>
        <w:t>declined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merely</w:t>
      </w:r>
      <w:r>
        <w:rPr>
          <w:spacing w:val="-10"/>
        </w:rPr>
        <w:t> </w:t>
      </w:r>
      <w:r>
        <w:rPr/>
        <w:t>6.3%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2.8%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3"/>
        </w:rPr>
        <w:t> </w:t>
      </w:r>
      <w:r>
        <w:rPr/>
        <w:t>periods.</w:t>
      </w:r>
      <w:r>
        <w:rPr>
          <w:spacing w:val="-5"/>
        </w:rPr>
        <w:t> </w:t>
      </w:r>
      <w:r>
        <w:rPr/>
        <w:t>Yet,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</w:t>
      </w:r>
      <w:r>
        <w:rPr>
          <w:spacing w:val="-57"/>
        </w:rPr>
        <w:t> </w:t>
      </w:r>
      <w:r>
        <w:rPr/>
        <w:t>of income inequality on health particularly in emerging nations such as Nigeria has remained</w:t>
      </w:r>
      <w:r>
        <w:rPr>
          <w:spacing w:val="1"/>
        </w:rPr>
        <w:t> </w:t>
      </w:r>
      <w:r>
        <w:rPr>
          <w:spacing w:val="-1"/>
          <w:sz w:val="23"/>
        </w:rPr>
        <w:t>relatively</w:t>
      </w:r>
      <w:r>
        <w:rPr>
          <w:spacing w:val="-16"/>
          <w:sz w:val="23"/>
        </w:rPr>
        <w:t> </w:t>
      </w:r>
      <w:r>
        <w:rPr>
          <w:spacing w:val="-1"/>
        </w:rPr>
        <w:t>unexplored.</w:t>
      </w:r>
      <w:r>
        <w:rPr>
          <w:spacing w:val="-12"/>
        </w:rPr>
        <w:t> </w:t>
      </w:r>
      <w:r>
        <w:rPr>
          <w:sz w:val="23"/>
        </w:rPr>
        <w:t>Further,</w:t>
      </w:r>
      <w:r>
        <w:rPr>
          <w:spacing w:val="-11"/>
          <w:sz w:val="23"/>
        </w:rPr>
        <w:t> </w:t>
      </w:r>
      <w:r>
        <w:rPr/>
        <w:t>how</w:t>
      </w:r>
      <w:r>
        <w:rPr>
          <w:spacing w:val="-14"/>
        </w:rPr>
        <w:t> </w:t>
      </w:r>
      <w:r>
        <w:rPr/>
        <w:t>household’s</w:t>
      </w:r>
      <w:r>
        <w:rPr>
          <w:spacing w:val="-15"/>
        </w:rPr>
        <w:t> </w:t>
      </w:r>
      <w:r>
        <w:rPr/>
        <w:t>characteristics</w:t>
      </w:r>
      <w:r>
        <w:rPr>
          <w:spacing w:val="-15"/>
        </w:rPr>
        <w:t> </w:t>
      </w:r>
      <w:r>
        <w:rPr/>
        <w:t>mediate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income</w:t>
      </w:r>
      <w:r>
        <w:rPr>
          <w:spacing w:val="-16"/>
        </w:rPr>
        <w:t> </w:t>
      </w:r>
      <w:r>
        <w:rPr/>
        <w:t>disparity-health</w:t>
      </w:r>
      <w:r>
        <w:rPr>
          <w:spacing w:val="-58"/>
        </w:rPr>
        <w:t> </w:t>
      </w:r>
      <w:r>
        <w:rPr/>
        <w:t>link also remains unclear. Thus, this study examined the effect of income inequality on health</w:t>
      </w:r>
      <w:r>
        <w:rPr>
          <w:spacing w:val="1"/>
        </w:rPr>
        <w:t> </w:t>
      </w:r>
      <w:r>
        <w:rPr/>
        <w:t>outcomes and health-seeking behaviour in Nigeria. The thesis draws insights from the seminal</w:t>
      </w:r>
      <w:r>
        <w:rPr>
          <w:spacing w:val="1"/>
        </w:rPr>
        <w:t> </w:t>
      </w:r>
      <w:r>
        <w:rPr/>
        <w:t>works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Wilkinson</w:t>
      </w:r>
      <w:r>
        <w:rPr>
          <w:spacing w:val="-3"/>
        </w:rPr>
        <w:t> </w:t>
      </w:r>
      <w:r>
        <w:rPr/>
        <w:t>(1992,</w:t>
      </w:r>
      <w:r>
        <w:rPr>
          <w:spacing w:val="-1"/>
        </w:rPr>
        <w:t> </w:t>
      </w:r>
      <w:r>
        <w:rPr/>
        <w:t>1994)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opined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growth</w:t>
      </w:r>
      <w:r>
        <w:rPr>
          <w:spacing w:val="-1"/>
        </w:rPr>
        <w:t> </w:t>
      </w:r>
      <w:r>
        <w:rPr/>
        <w:t>process,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point</w:t>
      </w:r>
      <w:r>
        <w:rPr>
          <w:spacing w:val="-1"/>
        </w:rPr>
        <w:t> </w:t>
      </w:r>
      <w:r>
        <w:rPr/>
        <w:t>at</w:t>
      </w:r>
      <w:r>
        <w:rPr>
          <w:spacing w:val="-58"/>
        </w:rPr>
        <w:t> </w:t>
      </w:r>
      <w:r>
        <w:rPr/>
        <w:t>which income disparity rises and this corresponds with the shift in the main causes of ill-health</w:t>
      </w:r>
      <w:r>
        <w:rPr>
          <w:spacing w:val="1"/>
        </w:rPr>
        <w:t> </w:t>
      </w:r>
      <w:r>
        <w:rPr/>
        <w:t>from infectious to non-communicable diseases. The adapted model was estimated using Panel</w:t>
      </w:r>
      <w:r>
        <w:rPr>
          <w:spacing w:val="1"/>
        </w:rPr>
        <w:t> </w:t>
      </w:r>
      <w:r>
        <w:rPr/>
        <w:t>Logistic</w:t>
      </w:r>
      <w:r>
        <w:rPr>
          <w:spacing w:val="-8"/>
        </w:rPr>
        <w:t> </w:t>
      </w:r>
      <w:r>
        <w:rPr/>
        <w:t>technique</w:t>
      </w:r>
      <w:r>
        <w:rPr>
          <w:spacing w:val="-6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data</w:t>
      </w:r>
      <w:r>
        <w:rPr>
          <w:spacing w:val="-7"/>
        </w:rPr>
        <w:t> </w:t>
      </w:r>
      <w:r>
        <w:rPr/>
        <w:t>collected</w:t>
      </w:r>
      <w:r>
        <w:rPr>
          <w:spacing w:val="-4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four</w:t>
      </w:r>
      <w:r>
        <w:rPr>
          <w:spacing w:val="-8"/>
        </w:rPr>
        <w:t> </w:t>
      </w:r>
      <w:r>
        <w:rPr/>
        <w:t>Waves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repeated</w:t>
      </w:r>
      <w:r>
        <w:rPr>
          <w:spacing w:val="-4"/>
        </w:rPr>
        <w:t> </w:t>
      </w:r>
      <w:r>
        <w:rPr/>
        <w:t>cross-section</w:t>
      </w:r>
      <w:r>
        <w:rPr>
          <w:spacing w:val="-6"/>
        </w:rPr>
        <w:t> </w:t>
      </w:r>
      <w:r>
        <w:rPr/>
        <w:t>surveys,</w:t>
      </w:r>
      <w:r>
        <w:rPr>
          <w:spacing w:val="-58"/>
        </w:rPr>
        <w:t> </w:t>
      </w:r>
      <w:r>
        <w:rPr/>
        <w:t>the Nigerian General Household Panel Survey, conducted by National Bureau of Statistics (NBS)</w:t>
      </w:r>
      <w:r>
        <w:rPr>
          <w:spacing w:val="-58"/>
        </w:rPr>
        <w:t> </w:t>
      </w:r>
      <w:r>
        <w:rPr/>
        <w:t>in</w:t>
      </w:r>
      <w:r>
        <w:rPr>
          <w:spacing w:val="-10"/>
        </w:rPr>
        <w:t> </w:t>
      </w:r>
      <w:r>
        <w:rPr/>
        <w:t>2010,</w:t>
      </w:r>
      <w:r>
        <w:rPr>
          <w:spacing w:val="-10"/>
        </w:rPr>
        <w:t> </w:t>
      </w:r>
      <w:r>
        <w:rPr/>
        <w:t>2013,</w:t>
      </w:r>
      <w:r>
        <w:rPr>
          <w:spacing w:val="-10"/>
        </w:rPr>
        <w:t> </w:t>
      </w:r>
      <w:r>
        <w:rPr/>
        <w:t>2016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2019.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main</w:t>
      </w:r>
      <w:r>
        <w:rPr>
          <w:spacing w:val="-10"/>
        </w:rPr>
        <w:t> </w:t>
      </w:r>
      <w:r>
        <w:rPr/>
        <w:t>findings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are</w:t>
      </w:r>
      <w:r>
        <w:rPr>
          <w:spacing w:val="-11"/>
        </w:rPr>
        <w:t> </w:t>
      </w:r>
      <w:r>
        <w:rPr/>
        <w:t>that,</w:t>
      </w:r>
      <w:r>
        <w:rPr>
          <w:spacing w:val="-8"/>
        </w:rPr>
        <w:t> </w:t>
      </w:r>
      <w:r>
        <w:rPr/>
        <w:t>first,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percentage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male</w:t>
      </w:r>
      <w:r>
        <w:rPr>
          <w:spacing w:val="-57"/>
        </w:rPr>
        <w:t> </w:t>
      </w:r>
      <w:r>
        <w:rPr/>
        <w:t>and female reported having an illness rose from 13.7% and 15.2% to 22.6% and 24.5% between</w:t>
      </w:r>
      <w:r>
        <w:rPr>
          <w:spacing w:val="1"/>
        </w:rPr>
        <w:t> </w:t>
      </w:r>
      <w:r>
        <w:rPr/>
        <w:t>2016 and 2019, respectively; while those with appropriate health-seeking behaviour decreased</w:t>
      </w:r>
      <w:r>
        <w:rPr>
          <w:spacing w:val="1"/>
        </w:rPr>
        <w:t> </w:t>
      </w:r>
      <w:r>
        <w:rPr/>
        <w:t>from</w:t>
      </w:r>
      <w:r>
        <w:rPr>
          <w:spacing w:val="-11"/>
        </w:rPr>
        <w:t> </w:t>
      </w:r>
      <w:r>
        <w:rPr/>
        <w:t>27.9%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17.9%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male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28.3%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19.1%</w:t>
      </w:r>
      <w:r>
        <w:rPr>
          <w:spacing w:val="-14"/>
        </w:rPr>
        <w:t> </w:t>
      </w:r>
      <w:r>
        <w:rPr/>
        <w:t>for</w:t>
      </w:r>
      <w:r>
        <w:rPr>
          <w:spacing w:val="-12"/>
        </w:rPr>
        <w:t> </w:t>
      </w:r>
      <w:r>
        <w:rPr/>
        <w:t>female</w:t>
      </w:r>
      <w:r>
        <w:rPr>
          <w:spacing w:val="-11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periods.</w:t>
      </w:r>
      <w:r>
        <w:rPr>
          <w:spacing w:val="-10"/>
        </w:rPr>
        <w:t> </w:t>
      </w:r>
      <w:r>
        <w:rPr/>
        <w:t>Second,</w:t>
      </w:r>
      <w:r>
        <w:rPr>
          <w:spacing w:val="-10"/>
        </w:rPr>
        <w:t> </w:t>
      </w:r>
      <w:r>
        <w:rPr/>
        <w:t>nearly</w:t>
      </w:r>
      <w:r>
        <w:rPr>
          <w:spacing w:val="-58"/>
        </w:rPr>
        <w:t> </w:t>
      </w:r>
      <w:r>
        <w:rPr/>
        <w:t>95% of states in Nigeria had higher income disparity among their households between 2010 and</w:t>
      </w:r>
      <w:r>
        <w:rPr>
          <w:spacing w:val="1"/>
        </w:rPr>
        <w:t> </w:t>
      </w:r>
      <w:r>
        <w:rPr/>
        <w:t>2019. Third, the likelihood of a percentage-point rise in these income inequalities worsens illness</w:t>
      </w:r>
      <w:r>
        <w:rPr>
          <w:spacing w:val="-57"/>
        </w:rPr>
        <w:t> </w:t>
      </w:r>
      <w:r>
        <w:rPr/>
        <w:t>by 1.41%. Fourth, it was also evidenced statistically that larger household size, low educational</w:t>
      </w:r>
      <w:r>
        <w:rPr>
          <w:spacing w:val="1"/>
        </w:rPr>
        <w:t> </w:t>
      </w:r>
      <w:r>
        <w:rPr/>
        <w:t>level of household heads, nutritional deficiency, lack of access to electricity and drinkable water,</w:t>
      </w:r>
      <w:r>
        <w:rPr>
          <w:spacing w:val="1"/>
        </w:rPr>
        <w:t> </w:t>
      </w:r>
      <w:r>
        <w:rPr/>
        <w:t>alcoholic</w:t>
      </w:r>
      <w:r>
        <w:rPr>
          <w:spacing w:val="-7"/>
        </w:rPr>
        <w:t> </w:t>
      </w:r>
      <w:r>
        <w:rPr/>
        <w:t>consumption,</w:t>
      </w:r>
      <w:r>
        <w:rPr>
          <w:spacing w:val="-6"/>
        </w:rPr>
        <w:t> </w:t>
      </w:r>
      <w:r>
        <w:rPr/>
        <w:t>self-medication,</w:t>
      </w:r>
      <w:r>
        <w:rPr>
          <w:spacing w:val="-6"/>
        </w:rPr>
        <w:t> </w:t>
      </w:r>
      <w:r>
        <w:rPr/>
        <w:t>non-utilization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healthcare</w:t>
      </w:r>
      <w:r>
        <w:rPr>
          <w:spacing w:val="-7"/>
        </w:rPr>
        <w:t> </w:t>
      </w:r>
      <w:r>
        <w:rPr/>
        <w:t>services,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low</w:t>
      </w:r>
      <w:r>
        <w:rPr>
          <w:spacing w:val="-3"/>
        </w:rPr>
        <w:t> </w:t>
      </w:r>
      <w:r>
        <w:rPr/>
        <w:t>household</w:t>
      </w:r>
      <w:r>
        <w:rPr>
          <w:spacing w:val="-58"/>
        </w:rPr>
        <w:t> </w:t>
      </w:r>
      <w:r>
        <w:rPr/>
        <w:t>earnings indirectly mediate the income inequality-health outcomes effect in Nigeria. Fifth, the</w:t>
      </w:r>
      <w:r>
        <w:rPr>
          <w:spacing w:val="1"/>
        </w:rPr>
        <w:t> </w:t>
      </w:r>
      <w:r>
        <w:rPr/>
        <w:t>likelihood that income inequality will limit appropriate healthcare-seeking was 1.25%. Sixth, the</w:t>
      </w:r>
      <w:r>
        <w:rPr>
          <w:spacing w:val="1"/>
        </w:rPr>
        <w:t> </w:t>
      </w:r>
      <w:r>
        <w:rPr/>
        <w:t>link between income inequality and appropriate healthcare-seeking is also mediated by larger</w:t>
      </w:r>
      <w:r>
        <w:rPr>
          <w:spacing w:val="1"/>
        </w:rPr>
        <w:t> </w:t>
      </w:r>
      <w:r>
        <w:rPr/>
        <w:t>family size, marital status, education, and low earnings significantly in Nigeria. Therefore these</w:t>
      </w:r>
      <w:r>
        <w:rPr>
          <w:spacing w:val="1"/>
        </w:rPr>
        <w:t> </w:t>
      </w:r>
      <w:r>
        <w:rPr/>
        <w:t>results suggest that though income inequality is detrimental to both health outcomes and health-</w:t>
      </w:r>
      <w:r>
        <w:rPr>
          <w:spacing w:val="1"/>
        </w:rPr>
        <w:t> </w:t>
      </w:r>
      <w:r>
        <w:rPr>
          <w:spacing w:val="-1"/>
        </w:rPr>
        <w:t>seeking</w:t>
      </w:r>
      <w:r>
        <w:rPr>
          <w:spacing w:val="-14"/>
        </w:rPr>
        <w:t> </w:t>
      </w:r>
      <w:r>
        <w:rPr/>
        <w:t>behaviour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Nigeria,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devastating</w:t>
      </w:r>
      <w:r>
        <w:rPr>
          <w:spacing w:val="-14"/>
        </w:rPr>
        <w:t> </w:t>
      </w:r>
      <w:r>
        <w:rPr/>
        <w:t>effect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income</w:t>
      </w:r>
      <w:r>
        <w:rPr>
          <w:spacing w:val="-16"/>
        </w:rPr>
        <w:t> </w:t>
      </w:r>
      <w:r>
        <w:rPr/>
        <w:t>inequality</w:t>
      </w:r>
      <w:r>
        <w:rPr>
          <w:spacing w:val="-17"/>
        </w:rPr>
        <w:t> </w:t>
      </w:r>
      <w:r>
        <w:rPr/>
        <w:t>on</w:t>
      </w:r>
      <w:r>
        <w:rPr>
          <w:spacing w:val="-12"/>
        </w:rPr>
        <w:t> </w:t>
      </w:r>
      <w:r>
        <w:rPr/>
        <w:t>health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also</w:t>
      </w:r>
      <w:r>
        <w:rPr>
          <w:spacing w:val="-14"/>
        </w:rPr>
        <w:t> </w:t>
      </w:r>
      <w:r>
        <w:rPr/>
        <w:t>mediated</w:t>
      </w:r>
      <w:r>
        <w:rPr>
          <w:spacing w:val="-57"/>
        </w:rPr>
        <w:t> </w:t>
      </w:r>
      <w:r>
        <w:rPr/>
        <w:t>by household’s factors. Hence, policies that reduce income inequality such as cash transfers,</w:t>
      </w:r>
      <w:r>
        <w:rPr>
          <w:spacing w:val="1"/>
        </w:rPr>
        <w:t> </w:t>
      </w:r>
      <w:r>
        <w:rPr/>
        <w:t>entrepreneurship programs and job creation need to be enhanced. Also, increasing human capital</w:t>
      </w:r>
      <w:r>
        <w:rPr>
          <w:spacing w:val="1"/>
        </w:rPr>
        <w:t> </w:t>
      </w:r>
      <w:r>
        <w:rPr/>
        <w:t>investment through health and education as well as raising public awareness on self-medication</w:t>
      </w:r>
      <w:r>
        <w:rPr>
          <w:spacing w:val="1"/>
        </w:rPr>
        <w:t> </w:t>
      </w:r>
      <w:r>
        <w:rPr/>
        <w:t>and healthy lifestyles can help improve health outcomes and appropriate medical-care seeking in</w:t>
      </w:r>
      <w:r>
        <w:rPr>
          <w:spacing w:val="1"/>
        </w:rPr>
        <w:t> </w:t>
      </w:r>
      <w:r>
        <w:rPr/>
        <w:t>Nigeria.</w:t>
      </w:r>
    </w:p>
    <w:p>
      <w:pPr>
        <w:spacing w:after="0" w:line="276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Heading1"/>
        <w:spacing w:before="75"/>
        <w:ind w:right="149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spacing w:after="0"/>
        <w:sectPr>
          <w:pgSz w:w="12240" w:h="15840"/>
          <w:pgMar w:header="0" w:footer="1015" w:top="1360" w:bottom="1505" w:left="1280" w:right="1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500" w:val="right" w:leader="dot"/>
            </w:tabs>
            <w:spacing w:before="23"/>
            <w:ind w:left="160" w:firstLine="0"/>
            <w:rPr>
              <w:b/>
            </w:rPr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</w:t>
            <w:tab/>
          </w:r>
          <w:r>
            <w:rPr>
              <w:b/>
            </w:rPr>
            <w:t>i</w:t>
          </w:r>
        </w:p>
        <w:p>
          <w:pPr>
            <w:pStyle w:val="TOC2"/>
            <w:tabs>
              <w:tab w:pos="9517" w:val="right" w:leader="dot"/>
            </w:tabs>
            <w:spacing w:before="122"/>
            <w:ind w:left="165" w:firstLine="0"/>
            <w:rPr>
              <w:b/>
            </w:rPr>
          </w:pPr>
          <w:hyperlink w:history="true" w:anchor="_bookmark0">
            <w:r>
              <w:rPr/>
              <w:t>DECLARATION</w:t>
              <w:tab/>
            </w:r>
            <w:r>
              <w:rPr>
                <w:b/>
              </w:rPr>
              <w:t>ii</w:t>
            </w:r>
          </w:hyperlink>
        </w:p>
        <w:p>
          <w:pPr>
            <w:pStyle w:val="TOC2"/>
            <w:tabs>
              <w:tab w:pos="9519" w:val="right" w:leader="dot"/>
            </w:tabs>
            <w:spacing w:before="121"/>
            <w:ind w:left="165" w:firstLine="0"/>
            <w:rPr>
              <w:b/>
            </w:rPr>
          </w:pPr>
          <w:hyperlink w:history="true" w:anchor="_bookmark1">
            <w:r>
              <w:rPr/>
              <w:t>CERTIFICATION</w:t>
              <w:tab/>
            </w:r>
            <w:r>
              <w:rPr>
                <w:b/>
              </w:rPr>
              <w:t>iii</w:t>
            </w:r>
          </w:hyperlink>
        </w:p>
        <w:p>
          <w:pPr>
            <w:pStyle w:val="TOC2"/>
            <w:tabs>
              <w:tab w:pos="9517" w:val="right" w:leader="dot"/>
            </w:tabs>
            <w:spacing w:before="122"/>
            <w:ind w:left="165" w:firstLine="0"/>
            <w:rPr>
              <w:b/>
            </w:rPr>
          </w:pPr>
          <w:hyperlink w:history="true" w:anchor="_bookmark2">
            <w:r>
              <w:rPr/>
              <w:t>DEDICATION</w:t>
              <w:tab/>
            </w:r>
            <w:r>
              <w:rPr>
                <w:b/>
              </w:rPr>
              <w:t>iv</w:t>
            </w:r>
          </w:hyperlink>
        </w:p>
        <w:p>
          <w:pPr>
            <w:pStyle w:val="TOC2"/>
            <w:tabs>
              <w:tab w:pos="9517" w:val="right" w:leader="dot"/>
            </w:tabs>
            <w:spacing w:before="122"/>
            <w:ind w:left="165" w:firstLine="0"/>
            <w:rPr>
              <w:b/>
            </w:rPr>
          </w:pPr>
          <w:hyperlink w:history="true" w:anchor="_bookmark3">
            <w:r>
              <w:rPr/>
              <w:t>ACKNOWLEDGEMENTS</w:t>
              <w:tab/>
            </w:r>
            <w:r>
              <w:rPr>
                <w:b/>
              </w:rPr>
              <w:t>v</w:t>
            </w:r>
          </w:hyperlink>
        </w:p>
        <w:p>
          <w:pPr>
            <w:pStyle w:val="TOC2"/>
            <w:tabs>
              <w:tab w:pos="9516" w:val="right" w:leader="dot"/>
            </w:tabs>
            <w:spacing w:before="123"/>
            <w:ind w:left="165" w:firstLine="0"/>
            <w:rPr>
              <w:b/>
            </w:rPr>
          </w:pPr>
          <w:hyperlink w:history="true" w:anchor="_bookmark4">
            <w:r>
              <w:rPr/>
              <w:t>ABSTRACT</w:t>
              <w:tab/>
            </w:r>
            <w:r>
              <w:rPr>
                <w:b/>
              </w:rPr>
              <w:t>vi</w:t>
            </w:r>
          </w:hyperlink>
        </w:p>
        <w:p>
          <w:pPr>
            <w:pStyle w:val="TOC1"/>
            <w:spacing w:before="415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</w:t>
          </w:r>
        </w:p>
        <w:p>
          <w:pPr>
            <w:pStyle w:val="TOC3"/>
            <w:tabs>
              <w:tab w:pos="9437" w:val="right" w:leader="dot"/>
            </w:tabs>
          </w:pPr>
          <w:r>
            <w:rPr/>
            <w:t>INTRODUCTION…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53" w:val="right" w:leader="dot"/>
            </w:tabs>
            <w:spacing w:line="240" w:lineRule="auto" w:before="125" w:after="0"/>
            <w:ind w:left="880" w:right="0" w:hanging="721"/>
            <w:jc w:val="left"/>
          </w:pPr>
          <w:hyperlink w:history="true" w:anchor="_TOC_250071">
            <w:r>
              <w:rPr/>
              <w:t>Background to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27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70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Research</w:t>
            </w:r>
            <w:r>
              <w:rPr>
                <w:spacing w:val="1"/>
              </w:rPr>
              <w:t> </w:t>
            </w:r>
            <w:r>
              <w:rPr/>
              <w:t>Problem…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40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69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Questions…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41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68"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26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67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61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66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Limitation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61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65">
            <w:r>
              <w:rPr/>
              <w:t>Organizations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11</w:t>
            </w:r>
          </w:hyperlink>
        </w:p>
        <w:p>
          <w:pPr>
            <w:pStyle w:val="TOC1"/>
            <w:spacing w:before="437"/>
          </w:pPr>
          <w:hyperlink w:history="true" w:anchor="_TOC_25006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2"/>
            <w:spacing w:before="180"/>
            <w:ind w:left="160" w:firstLine="0"/>
          </w:pPr>
          <w:r>
            <w:rPr/>
            <w:t>STYLIZED</w:t>
          </w:r>
          <w:r>
            <w:rPr>
              <w:spacing w:val="-2"/>
            </w:rPr>
            <w:t> </w:t>
          </w:r>
          <w:r>
            <w:rPr/>
            <w:t>FACTS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INCOME</w:t>
          </w:r>
          <w:r>
            <w:rPr>
              <w:spacing w:val="2"/>
            </w:rPr>
            <w:t> </w:t>
          </w:r>
          <w:r>
            <w:rPr/>
            <w:t>INEQUALITY,</w:t>
          </w:r>
          <w:r>
            <w:rPr>
              <w:spacing w:val="-2"/>
            </w:rPr>
            <w:t> </w:t>
          </w:r>
          <w:r>
            <w:rPr/>
            <w:t>HEALTH</w:t>
          </w:r>
          <w:r>
            <w:rPr>
              <w:spacing w:val="-2"/>
            </w:rPr>
            <w:t> </w:t>
          </w:r>
          <w:r>
            <w:rPr/>
            <w:t>OUTCOMES,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HEALTH-</w:t>
          </w:r>
        </w:p>
        <w:p>
          <w:pPr>
            <w:pStyle w:val="TOC2"/>
            <w:tabs>
              <w:tab w:pos="9419" w:val="right" w:leader="dot"/>
            </w:tabs>
            <w:ind w:left="160" w:firstLine="0"/>
          </w:pPr>
          <w:r>
            <w:rPr/>
            <w:t>SEEKING</w:t>
          </w:r>
          <w:r>
            <w:rPr>
              <w:spacing w:val="-2"/>
            </w:rPr>
            <w:t> </w:t>
          </w:r>
          <w:r>
            <w:rPr/>
            <w:t>BEHAVIOUR</w:t>
          </w:r>
          <w:r>
            <w:rPr>
              <w:spacing w:val="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NIGERIA…</w:t>
            <w:tab/>
            <w:t>12</w:t>
          </w:r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385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63">
            <w:r>
              <w:rPr/>
              <w:t>Introduction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392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62">
            <w:r>
              <w:rPr/>
              <w:t>Stylized Facts on</w:t>
            </w:r>
            <w:r>
              <w:rPr>
                <w:spacing w:val="2"/>
              </w:rPr>
              <w:t> </w:t>
            </w:r>
            <w:r>
              <w:rPr/>
              <w:t>Income</w:t>
            </w:r>
            <w:r>
              <w:rPr>
                <w:spacing w:val="3"/>
              </w:rPr>
              <w:t> </w:t>
            </w:r>
            <w:r>
              <w:rPr/>
              <w:t>Inequality</w:t>
            </w:r>
            <w:r>
              <w:rPr>
                <w:spacing w:val="-5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Nigeria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426" w:val="right" w:leader="dot"/>
            </w:tabs>
            <w:spacing w:line="240" w:lineRule="auto" w:before="140" w:after="0"/>
            <w:ind w:left="880" w:right="0" w:hanging="721"/>
            <w:jc w:val="left"/>
          </w:pPr>
          <w:r>
            <w:rPr/>
            <w:t>Trends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Income Disparity</w:t>
          </w:r>
          <w:r>
            <w:rPr>
              <w:spacing w:val="-5"/>
            </w:rPr>
            <w:t> </w:t>
          </w:r>
          <w:r>
            <w:rPr/>
            <w:t>in Nigeria</w:t>
            <w:tab/>
            <w:t>12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451" w:val="right" w:leader="dot"/>
            </w:tabs>
            <w:spacing w:line="240" w:lineRule="auto" w:before="136" w:after="0"/>
            <w:ind w:left="880" w:right="0" w:hanging="721"/>
            <w:jc w:val="left"/>
          </w:pPr>
          <w:r>
            <w:rPr/>
            <w:t>Trends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Income</w:t>
          </w:r>
          <w:r>
            <w:rPr>
              <w:spacing w:val="1"/>
            </w:rPr>
            <w:t> </w:t>
          </w:r>
          <w:r>
            <w:rPr/>
            <w:t>Distribution in Africa</w:t>
            <w:tab/>
            <w:t>15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428" w:val="right" w:leader="dot"/>
            </w:tabs>
            <w:spacing w:line="240" w:lineRule="auto" w:before="140" w:after="0"/>
            <w:ind w:left="880" w:right="0" w:hanging="721"/>
            <w:jc w:val="left"/>
          </w:pPr>
          <w:r>
            <w:rPr/>
            <w:t>Income Inequality-Adjusted-to-Health…</w:t>
            <w:tab/>
            <w:t>16</w:t>
          </w:r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460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61">
            <w:r>
              <w:rPr/>
              <w:t>Causes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Income</w:t>
            </w:r>
            <w:r>
              <w:rPr>
                <w:spacing w:val="1"/>
              </w:rPr>
              <w:t> </w:t>
            </w:r>
            <w:r>
              <w:rPr/>
              <w:t>Inequality</w:t>
            </w:r>
            <w:r>
              <w:rPr>
                <w:spacing w:val="-8"/>
              </w:rPr>
              <w:t> </w:t>
            </w:r>
            <w:r>
              <w:rPr/>
              <w:t>in</w:t>
            </w:r>
            <w:r>
              <w:rPr>
                <w:spacing w:val="3"/>
              </w:rPr>
              <w:t> </w:t>
            </w:r>
            <w:r>
              <w:rPr/>
              <w:t>Nigeria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478" w:val="right" w:leader="dot"/>
            </w:tabs>
            <w:spacing w:line="240" w:lineRule="auto" w:before="139" w:after="0"/>
            <w:ind w:left="880" w:right="0" w:hanging="721"/>
            <w:jc w:val="left"/>
          </w:pPr>
          <w:r>
            <w:rPr/>
            <w:t>Regional</w:t>
          </w:r>
          <w:r>
            <w:rPr>
              <w:spacing w:val="-1"/>
            </w:rPr>
            <w:t> </w:t>
          </w:r>
          <w:r>
            <w:rPr/>
            <w:t>and States'</w:t>
          </w:r>
          <w:r>
            <w:rPr>
              <w:spacing w:val="-1"/>
            </w:rPr>
            <w:t> </w:t>
          </w:r>
          <w:r>
            <w:rPr/>
            <w:t>Factors…</w:t>
            <w:tab/>
            <w:t>17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437" w:val="right" w:leader="dot"/>
            </w:tabs>
            <w:spacing w:line="240" w:lineRule="auto" w:before="137" w:after="0"/>
            <w:ind w:left="880" w:right="0" w:hanging="721"/>
            <w:jc w:val="left"/>
          </w:pPr>
          <w:r>
            <w:rPr/>
            <w:t>Household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Individual's</w:t>
          </w:r>
          <w:r>
            <w:rPr>
              <w:spacing w:val="-1"/>
            </w:rPr>
            <w:t> </w:t>
          </w:r>
          <w:r>
            <w:rPr/>
            <w:t>Factors…</w:t>
            <w:tab/>
            <w:t>18</w:t>
          </w:r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412" w:val="right" w:leader="dot"/>
            </w:tabs>
            <w:spacing w:line="240" w:lineRule="auto" w:before="139" w:after="0"/>
            <w:ind w:left="880" w:right="0" w:hanging="721"/>
            <w:jc w:val="left"/>
          </w:pPr>
          <w:r>
            <w:rPr/>
            <w:t>Health</w:t>
          </w:r>
          <w:r>
            <w:rPr>
              <w:spacing w:val="-1"/>
            </w:rPr>
            <w:t> </w:t>
          </w:r>
          <w:r>
            <w:rPr/>
            <w:t>Outcome</w:t>
          </w:r>
          <w:r>
            <w:rPr>
              <w:spacing w:val="1"/>
            </w:rPr>
            <w:t> </w:t>
          </w:r>
          <w:r>
            <w:rPr/>
            <w:t>Issues in Nigeria</w:t>
            <w:tab/>
            <w:t>19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412" w:val="right" w:leader="dot"/>
            </w:tabs>
            <w:spacing w:line="240" w:lineRule="auto" w:before="137" w:after="0"/>
            <w:ind w:left="880" w:right="0" w:hanging="721"/>
            <w:jc w:val="left"/>
          </w:pPr>
          <w:r>
            <w:rPr/>
            <w:t>Infectious</w:t>
          </w:r>
          <w:r>
            <w:rPr>
              <w:spacing w:val="-1"/>
            </w:rPr>
            <w:t> </w:t>
          </w:r>
          <w:r>
            <w:rPr/>
            <w:t>and Communicable</w:t>
          </w:r>
          <w:r>
            <w:rPr>
              <w:spacing w:val="1"/>
            </w:rPr>
            <w:t> </w:t>
          </w:r>
          <w:r>
            <w:rPr/>
            <w:t>Diseases…</w:t>
            <w:tab/>
            <w:t>21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420" w:val="right" w:leader="dot"/>
            </w:tabs>
            <w:spacing w:line="240" w:lineRule="auto" w:before="139" w:after="180"/>
            <w:ind w:left="880" w:right="0" w:hanging="721"/>
            <w:jc w:val="left"/>
          </w:pPr>
          <w:r>
            <w:rPr/>
            <w:t>Non-Communicable</w:t>
          </w:r>
          <w:r>
            <w:rPr>
              <w:spacing w:val="-1"/>
            </w:rPr>
            <w:t> </w:t>
          </w:r>
          <w:r>
            <w:rPr/>
            <w:t>Diseases</w:t>
          </w:r>
          <w:r>
            <w:rPr>
              <w:spacing w:val="-1"/>
            </w:rPr>
            <w:t> </w:t>
          </w:r>
          <w:r>
            <w:rPr/>
            <w:t>(NCDs)</w:t>
            <w:tab/>
            <w:t>23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469" w:val="right" w:leader="dot"/>
            </w:tabs>
            <w:spacing w:line="240" w:lineRule="auto" w:before="74" w:after="0"/>
            <w:ind w:left="880" w:right="0" w:hanging="721"/>
            <w:jc w:val="left"/>
          </w:pPr>
          <w:r>
            <w:rPr/>
            <w:t>Under-five</w:t>
          </w:r>
          <w:r>
            <w:rPr>
              <w:spacing w:val="-3"/>
            </w:rPr>
            <w:t> </w:t>
          </w:r>
          <w:r>
            <w:rPr/>
            <w:t>Mortalities…</w:t>
            <w:tab/>
            <w:t>25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434" w:val="right" w:leader="dot"/>
            </w:tabs>
            <w:spacing w:line="240" w:lineRule="auto" w:before="137" w:after="0"/>
            <w:ind w:left="880" w:right="0" w:hanging="721"/>
            <w:jc w:val="left"/>
          </w:pPr>
          <w:r>
            <w:rPr/>
            <w:t>New-born and Maternal</w:t>
          </w:r>
          <w:r>
            <w:rPr>
              <w:spacing w:val="4"/>
            </w:rPr>
            <w:t> </w:t>
          </w:r>
          <w:r>
            <w:rPr/>
            <w:t>Deaths…</w:t>
            <w:tab/>
            <w:t>27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409" w:val="right" w:leader="dot"/>
            </w:tabs>
            <w:spacing w:line="240" w:lineRule="auto" w:before="139" w:after="0"/>
            <w:ind w:left="880" w:right="0" w:hanging="721"/>
            <w:jc w:val="left"/>
          </w:pPr>
          <w:r>
            <w:rPr/>
            <w:t>Longevity</w:t>
          </w:r>
          <w:r>
            <w:rPr>
              <w:spacing w:val="-6"/>
            </w:rPr>
            <w:t> </w:t>
          </w:r>
          <w:r>
            <w:rPr/>
            <w:t>(Average</w:t>
          </w:r>
          <w:r>
            <w:rPr>
              <w:spacing w:val="1"/>
            </w:rPr>
            <w:t> </w:t>
          </w:r>
          <w:r>
            <w:rPr/>
            <w:t>Life</w:t>
          </w:r>
          <w:r>
            <w:rPr>
              <w:spacing w:val="1"/>
            </w:rPr>
            <w:t> </w:t>
          </w:r>
          <w:r>
            <w:rPr/>
            <w:t>Expectancy</w:t>
          </w:r>
          <w:r>
            <w:rPr>
              <w:spacing w:val="-3"/>
            </w:rPr>
            <w:t> </w:t>
          </w:r>
          <w:r>
            <w:rPr/>
            <w:t>at Birth)</w:t>
            <w:tab/>
            <w:t>28</w:t>
          </w:r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387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60">
            <w:r>
              <w:rPr/>
              <w:t>Health</w:t>
            </w:r>
            <w:r>
              <w:rPr>
                <w:spacing w:val="-1"/>
              </w:rPr>
              <w:t> </w:t>
            </w:r>
            <w:r>
              <w:rPr/>
              <w:t>Outcome</w:t>
            </w:r>
            <w:r>
              <w:rPr>
                <w:spacing w:val="1"/>
              </w:rPr>
              <w:t> </w:t>
            </w:r>
            <w:r>
              <w:rPr/>
              <w:t>Issues</w:t>
            </w:r>
            <w:r>
              <w:rPr>
                <w:spacing w:val="2"/>
              </w:rPr>
              <w:t> </w:t>
            </w:r>
            <w:r>
              <w:rPr/>
              <w:t>Across Regions</w:t>
            </w:r>
            <w:r>
              <w:rPr>
                <w:spacing w:val="-1"/>
              </w:rPr>
              <w:t> </w:t>
            </w:r>
            <w:r>
              <w:rPr/>
              <w:t>and States</w:t>
            </w:r>
            <w:r>
              <w:rPr>
                <w:spacing w:val="-1"/>
              </w:rPr>
              <w:t> </w:t>
            </w:r>
            <w:r>
              <w:rPr/>
              <w:t>in Nigeria</w:t>
              <w:tab/>
              <w:t>30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439" w:val="right" w:leader="dot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59">
            <w:r>
              <w:rPr/>
              <w:t>Trend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health-Seeking</w:t>
            </w:r>
            <w:r>
              <w:rPr>
                <w:spacing w:val="-1"/>
              </w:rPr>
              <w:t> </w:t>
            </w:r>
            <w:r>
              <w:rPr/>
              <w:t>Behaviour in Nigeria…</w:t>
              <w:tab/>
              <w:t>31</w:t>
            </w:r>
          </w:hyperlink>
        </w:p>
        <w:p>
          <w:pPr>
            <w:pStyle w:val="TOC1"/>
            <w:spacing w:before="556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THREE</w:t>
          </w:r>
        </w:p>
        <w:p>
          <w:pPr>
            <w:pStyle w:val="TOC2"/>
            <w:tabs>
              <w:tab w:pos="9292" w:val="right" w:leader="dot"/>
            </w:tabs>
            <w:spacing w:before="132"/>
            <w:ind w:left="160" w:firstLine="0"/>
          </w:pPr>
          <w:r>
            <w:rPr/>
            <w:t>LITERATURE</w:t>
          </w:r>
          <w:r>
            <w:rPr>
              <w:spacing w:val="-1"/>
            </w:rPr>
            <w:t> </w:t>
          </w:r>
          <w:r>
            <w:rPr/>
            <w:t>REVIEW</w:t>
            <w:tab/>
            <w:t>35</w:t>
          </w:r>
        </w:p>
        <w:p>
          <w:pPr>
            <w:pStyle w:val="TOC2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9326" w:val="right" w:leader="dot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58">
            <w:r>
              <w:rPr/>
              <w:t>Introduction</w:t>
              <w:tab/>
              <w:t>35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9280" w:val="right" w:leader="dot"/>
            </w:tabs>
            <w:spacing w:line="240" w:lineRule="auto" w:before="137" w:after="0"/>
            <w:ind w:left="880" w:right="0" w:hanging="721"/>
            <w:jc w:val="left"/>
          </w:pPr>
          <w:r>
            <w:rPr/>
            <w:t>Conceptual</w:t>
          </w:r>
          <w:r>
            <w:rPr>
              <w:spacing w:val="-1"/>
            </w:rPr>
            <w:t> </w:t>
          </w:r>
          <w:r>
            <w:rPr/>
            <w:t>Reviews</w:t>
            <w:tab/>
            <w:t>35</w:t>
          </w:r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293" w:val="right" w:leader="dot"/>
            </w:tabs>
            <w:spacing w:line="240" w:lineRule="auto" w:before="139" w:after="0"/>
            <w:ind w:left="880" w:right="0" w:hanging="721"/>
            <w:jc w:val="left"/>
          </w:pPr>
          <w:r>
            <w:rPr/>
            <w:t>Income Inequality</w:t>
            <w:tab/>
            <w:t>35</w:t>
          </w:r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272" w:val="right" w:leader="dot"/>
            </w:tabs>
            <w:spacing w:line="240" w:lineRule="auto" w:before="137" w:after="0"/>
            <w:ind w:left="880" w:right="0" w:hanging="721"/>
            <w:jc w:val="left"/>
          </w:pPr>
          <w:r>
            <w:rPr/>
            <w:t>Health</w:t>
          </w:r>
          <w:r>
            <w:rPr>
              <w:spacing w:val="-1"/>
            </w:rPr>
            <w:t> </w:t>
          </w:r>
          <w:r>
            <w:rPr/>
            <w:t>Outcomes…</w:t>
            <w:tab/>
            <w:t>37</w:t>
          </w:r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292" w:val="right" w:leader="dot"/>
            </w:tabs>
            <w:spacing w:line="240" w:lineRule="auto" w:before="139" w:after="0"/>
            <w:ind w:left="880" w:right="0" w:hanging="721"/>
            <w:jc w:val="left"/>
          </w:pPr>
          <w:r>
            <w:rPr/>
            <w:t>Health</w:t>
          </w:r>
          <w:r>
            <w:rPr>
              <w:spacing w:val="-1"/>
            </w:rPr>
            <w:t> </w:t>
          </w:r>
          <w:r>
            <w:rPr/>
            <w:t>Seeking</w:t>
          </w:r>
          <w:r>
            <w:rPr>
              <w:spacing w:val="-3"/>
            </w:rPr>
            <w:t> </w:t>
          </w:r>
          <w:r>
            <w:rPr/>
            <w:t>Behaviour…</w:t>
            <w:tab/>
            <w:t>41</w:t>
          </w:r>
        </w:p>
        <w:p>
          <w:pPr>
            <w:pStyle w:val="TOC2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9281" w:val="right" w:leader="dot"/>
            </w:tabs>
            <w:spacing w:line="240" w:lineRule="auto" w:before="137" w:after="0"/>
            <w:ind w:left="880" w:right="0" w:hanging="721"/>
            <w:jc w:val="left"/>
          </w:pPr>
          <w:r>
            <w:rPr/>
            <w:t>Theoretical</w:t>
          </w:r>
          <w:r>
            <w:rPr>
              <w:spacing w:val="-1"/>
            </w:rPr>
            <w:t> </w:t>
          </w:r>
          <w:r>
            <w:rPr/>
            <w:t>Reviews…</w:t>
            <w:tab/>
            <w:t>43</w:t>
          </w:r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280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57">
            <w:r>
              <w:rPr/>
              <w:t>Classical</w:t>
            </w:r>
            <w:r>
              <w:rPr>
                <w:spacing w:val="-1"/>
              </w:rPr>
              <w:t> </w:t>
            </w:r>
            <w:r>
              <w:rPr/>
              <w:t>Thought…</w:t>
              <w:tab/>
              <w:t>43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292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56">
            <w:r>
              <w:rPr/>
              <w:t>Neoclassical</w:t>
            </w:r>
            <w:r>
              <w:rPr>
                <w:spacing w:val="-1"/>
              </w:rPr>
              <w:t> </w:t>
            </w:r>
            <w:r>
              <w:rPr/>
              <w:t>Theories…</w:t>
              <w:tab/>
              <w:t>44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314" w:val="right" w:leader="dot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55">
            <w:r>
              <w:rPr/>
              <w:t>Marxian</w:t>
            </w:r>
            <w:r>
              <w:rPr>
                <w:spacing w:val="-1"/>
              </w:rPr>
              <w:t> </w:t>
            </w:r>
            <w:r>
              <w:rPr/>
              <w:t>Theories…</w:t>
              <w:tab/>
              <w:t>45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321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54">
            <w:r>
              <w:rPr/>
              <w:t>Keynesians</w:t>
            </w:r>
            <w:r>
              <w:rPr>
                <w:spacing w:val="-1"/>
              </w:rPr>
              <w:t> </w:t>
            </w:r>
            <w:r>
              <w:rPr/>
              <w:t>Views…</w:t>
              <w:tab/>
              <w:t>46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307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53">
            <w:r>
              <w:rPr/>
              <w:t>Absolute Income-Health</w:t>
            </w:r>
            <w:r>
              <w:rPr>
                <w:spacing w:val="2"/>
              </w:rPr>
              <w:t> </w:t>
            </w:r>
            <w:r>
              <w:rPr/>
              <w:t>Hypothesis…</w:t>
              <w:tab/>
              <w:t>47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299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52">
            <w:r>
              <w:rPr/>
              <w:t>Relative Income-Health</w:t>
            </w:r>
            <w:r>
              <w:rPr>
                <w:spacing w:val="2"/>
              </w:rPr>
              <w:t> </w:t>
            </w:r>
            <w:r>
              <w:rPr/>
              <w:t>Hypothesis…</w:t>
              <w:tab/>
              <w:t>47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293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51">
            <w:r>
              <w:rPr/>
              <w:t>Political</w:t>
            </w:r>
            <w:r>
              <w:rPr>
                <w:spacing w:val="-1"/>
              </w:rPr>
              <w:t> </w:t>
            </w:r>
            <w:r>
              <w:rPr/>
              <w:t>Capture</w:t>
            </w:r>
            <w:r>
              <w:rPr>
                <w:spacing w:val="-2"/>
              </w:rPr>
              <w:t> </w:t>
            </w:r>
            <w:r>
              <w:rPr/>
              <w:t>Mechanisms…</w:t>
              <w:tab/>
              <w:t>50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328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50"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Capital Mechanisms…</w:t>
              <w:tab/>
              <w:t>51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324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49">
            <w:r>
              <w:rPr/>
              <w:t>Neo-Material</w:t>
            </w:r>
            <w:r>
              <w:rPr>
                <w:spacing w:val="-1"/>
              </w:rPr>
              <w:t> </w:t>
            </w:r>
            <w:r>
              <w:rPr/>
              <w:t>Mechanisms…</w:t>
              <w:tab/>
              <w:t>51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1" w:val="left" w:leader="none"/>
              <w:tab w:pos="9347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48">
            <w:r>
              <w:rPr/>
              <w:t>Psycho-Social</w:t>
            </w:r>
            <w:r>
              <w:rPr>
                <w:spacing w:val="-1"/>
              </w:rPr>
              <w:t> </w:t>
            </w:r>
            <w:r>
              <w:rPr/>
              <w:t>Mechanisms…</w:t>
              <w:tab/>
              <w:t>52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9347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47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Empirical</w:t>
            </w:r>
            <w:r>
              <w:rPr>
                <w:spacing w:val="1"/>
              </w:rPr>
              <w:t> </w:t>
            </w:r>
            <w:r>
              <w:rPr/>
              <w:t>Studies…</w:t>
              <w:tab/>
              <w:t>55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306" w:val="right" w:leader="dot"/>
            </w:tabs>
            <w:spacing w:line="240" w:lineRule="auto" w:before="137" w:after="0"/>
            <w:ind w:left="880" w:right="0" w:hanging="721"/>
            <w:jc w:val="left"/>
          </w:pPr>
          <w:r>
            <w:rPr/>
            <w:t>Cross-Country</w:t>
          </w:r>
          <w:r>
            <w:rPr>
              <w:spacing w:val="-6"/>
            </w:rPr>
            <w:t> </w:t>
          </w:r>
          <w:r>
            <w:rPr/>
            <w:t>Evidence</w:t>
            <w:tab/>
            <w:t>55</w:t>
          </w:r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308" w:val="right" w:leader="dot"/>
            </w:tabs>
            <w:spacing w:line="240" w:lineRule="auto" w:before="140" w:after="0"/>
            <w:ind w:left="880" w:right="0" w:hanging="721"/>
            <w:jc w:val="left"/>
          </w:pPr>
          <w:r>
            <w:rPr/>
            <w:t>Country-Specific</w:t>
          </w:r>
          <w:r>
            <w:rPr>
              <w:spacing w:val="-2"/>
            </w:rPr>
            <w:t> </w:t>
          </w:r>
          <w:r>
            <w:rPr/>
            <w:t>Evidence</w:t>
            <w:tab/>
            <w:t>58</w:t>
          </w:r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318" w:val="right" w:leader="dot"/>
            </w:tabs>
            <w:spacing w:line="240" w:lineRule="auto" w:before="136" w:after="0"/>
            <w:ind w:left="880" w:right="0" w:hanging="721"/>
            <w:jc w:val="left"/>
          </w:pPr>
          <w:r>
            <w:rPr/>
            <w:t>Evidence</w:t>
          </w:r>
          <w:r>
            <w:rPr>
              <w:spacing w:val="-2"/>
            </w:rPr>
            <w:t> </w:t>
          </w:r>
          <w:r>
            <w:rPr/>
            <w:t>from Nigeria</w:t>
            <w:tab/>
            <w:t>61</w:t>
          </w:r>
        </w:p>
        <w:p>
          <w:pPr>
            <w:pStyle w:val="TOC2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9300" w:val="right" w:leader="dot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46">
            <w:r>
              <w:rPr/>
              <w:t>Income Inequality-Health-Seeking</w:t>
            </w:r>
            <w:r>
              <w:rPr>
                <w:spacing w:val="-3"/>
              </w:rPr>
              <w:t> </w:t>
            </w:r>
            <w:r>
              <w:rPr/>
              <w:t>Behaviour Nexus…</w:t>
              <w:tab/>
              <w:t>62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9299" w:val="right" w:leader="dot"/>
            </w:tabs>
            <w:spacing w:line="240" w:lineRule="auto" w:before="136" w:after="240"/>
            <w:ind w:left="880" w:right="0" w:hanging="721"/>
            <w:jc w:val="left"/>
          </w:pPr>
          <w:hyperlink w:history="true" w:anchor="_TOC_250045">
            <w:r>
              <w:rPr/>
              <w:t>Observed</w:t>
            </w:r>
            <w:r>
              <w:rPr>
                <w:spacing w:val="-1"/>
              </w:rPr>
              <w:t> </w:t>
            </w:r>
            <w:r>
              <w:rPr/>
              <w:t>Gaps in the</w:t>
            </w:r>
            <w:r>
              <w:rPr>
                <w:spacing w:val="1"/>
              </w:rPr>
              <w:t> </w:t>
            </w:r>
            <w:r>
              <w:rPr/>
              <w:t>Literature</w:t>
              <w:tab/>
              <w:t>64</w:t>
            </w:r>
          </w:hyperlink>
        </w:p>
        <w:p>
          <w:pPr>
            <w:pStyle w:val="TOC1"/>
            <w:spacing w:before="491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FOUR</w:t>
          </w:r>
        </w:p>
        <w:p>
          <w:pPr>
            <w:pStyle w:val="TOC2"/>
            <w:tabs>
              <w:tab w:pos="8919" w:val="left" w:leader="dot"/>
            </w:tabs>
            <w:spacing w:before="134"/>
            <w:ind w:left="160" w:firstLine="0"/>
          </w:pPr>
          <w:r>
            <w:rPr/>
            <w:t>RESEARCH</w:t>
          </w:r>
          <w:r>
            <w:rPr>
              <w:spacing w:val="-3"/>
            </w:rPr>
            <w:t> </w:t>
          </w:r>
          <w:r>
            <w:rPr/>
            <w:t>METHODOLOGY…</w:t>
            <w:tab/>
            <w:t>66</w:t>
          </w:r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927" w:val="lef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44">
            <w:r>
              <w:rPr/>
              <w:t>Preamble</w:t>
              <w:tab/>
              <w:t>66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898" w:val="left" w:leader="dot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43">
            <w:r>
              <w:rPr/>
              <w:t>Theoretical</w:t>
            </w:r>
            <w:r>
              <w:rPr>
                <w:spacing w:val="-2"/>
              </w:rPr>
              <w:t> </w:t>
            </w:r>
            <w:r>
              <w:rPr/>
              <w:t>Framework</w:t>
              <w:tab/>
              <w:t>66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900" w:val="left" w:leader="dot"/>
            </w:tabs>
            <w:spacing w:line="240" w:lineRule="auto" w:before="136" w:after="0"/>
            <w:ind w:left="880" w:right="0" w:hanging="721"/>
            <w:jc w:val="left"/>
          </w:pPr>
          <w:hyperlink w:history="true" w:anchor="_TOC_250042"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Model…</w:t>
              <w:tab/>
              <w:t>71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867" w:val="left" w:leader="dot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41">
            <w:r>
              <w:rPr/>
              <w:t>Estimation</w:t>
            </w:r>
            <w:r>
              <w:rPr>
                <w:spacing w:val="-2"/>
              </w:rPr>
              <w:t> </w:t>
            </w:r>
            <w:r>
              <w:rPr/>
              <w:t>Procedures…</w:t>
              <w:tab/>
              <w:t>80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846" w:val="left" w:leader="dot"/>
            </w:tabs>
            <w:spacing w:line="240" w:lineRule="auto" w:before="136" w:after="0"/>
            <w:ind w:left="880" w:right="0" w:hanging="721"/>
            <w:jc w:val="left"/>
          </w:pPr>
          <w:hyperlink w:history="true" w:anchor="_TOC_250040">
            <w:r>
              <w:rPr/>
              <w:t>Panel</w:t>
            </w:r>
            <w:r>
              <w:rPr>
                <w:spacing w:val="-1"/>
              </w:rPr>
              <w:t> </w:t>
            </w:r>
            <w:r>
              <w:rPr/>
              <w:t>Logistic</w:t>
            </w:r>
            <w:r>
              <w:rPr>
                <w:spacing w:val="-3"/>
              </w:rPr>
              <w:t> </w:t>
            </w:r>
            <w:r>
              <w:rPr/>
              <w:t>Regression…</w:t>
              <w:tab/>
              <w:t>81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846" w:val="left" w:leader="dot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39">
            <w:r>
              <w:rPr/>
              <w:t>Heteroskedasticity</w:t>
              <w:tab/>
              <w:t>81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865" w:val="lef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38">
            <w:r>
              <w:rPr/>
              <w:t>Hausman</w:t>
            </w:r>
            <w:r>
              <w:rPr>
                <w:spacing w:val="-2"/>
              </w:rPr>
              <w:t> </w:t>
            </w:r>
            <w:r>
              <w:rPr/>
              <w:t>Specification</w:t>
            </w:r>
            <w:r>
              <w:rPr>
                <w:spacing w:val="-2"/>
              </w:rPr>
              <w:t> </w:t>
            </w:r>
            <w:r>
              <w:rPr/>
              <w:t>Test…</w:t>
              <w:tab/>
              <w:t>82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873" w:val="lef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37">
            <w:r>
              <w:rPr/>
              <w:t>Other</w:t>
            </w:r>
            <w:r>
              <w:rPr>
                <w:spacing w:val="-3"/>
              </w:rPr>
              <w:t> </w:t>
            </w:r>
            <w:r>
              <w:rPr/>
              <w:t>Estimation Issues.</w:t>
              <w:tab/>
              <w:t>83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865" w:val="lef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36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Model</w:t>
            </w:r>
            <w:r>
              <w:rPr>
                <w:spacing w:val="-1"/>
              </w:rPr>
              <w:t> </w:t>
            </w:r>
            <w:r>
              <w:rPr/>
              <w:t>Parameters…</w:t>
              <w:tab/>
              <w:t>83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879" w:val="lef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35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Issues</w:t>
              <w:tab/>
              <w:t>84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879" w:val="lef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34">
            <w:r>
              <w:rPr/>
              <w:t>Sampling</w:t>
              <w:tab/>
              <w:t>84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867" w:val="lef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33">
            <w:r>
              <w:rPr/>
              <w:t>NGHPS</w:t>
            </w:r>
            <w:r>
              <w:rPr>
                <w:spacing w:val="-1"/>
              </w:rPr>
              <w:t> </w:t>
            </w:r>
            <w:r>
              <w:rPr/>
              <w:t>Questionnaires</w:t>
              <w:tab/>
              <w:t>85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834" w:val="lef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32">
            <w:r>
              <w:rPr/>
              <w:t>Data Quality</w:t>
              <w:tab/>
              <w:t>85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816" w:val="left" w:leader="dot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31">
            <w:r>
              <w:rPr/>
              <w:t>Measurement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Income</w:t>
            </w:r>
            <w:r>
              <w:rPr>
                <w:spacing w:val="1"/>
              </w:rPr>
              <w:t> </w:t>
            </w:r>
            <w:r>
              <w:rPr/>
              <w:t>Inequality</w:t>
              <w:tab/>
              <w:t>86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853" w:val="lef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30">
            <w:r>
              <w:rPr/>
              <w:t>Gini-Coefficient</w:t>
            </w:r>
            <w:r>
              <w:rPr>
                <w:spacing w:val="-2"/>
              </w:rPr>
              <w:t> </w:t>
            </w:r>
            <w:r>
              <w:rPr/>
              <w:t>Method</w:t>
              <w:tab/>
              <w:t>86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839" w:val="lef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29">
            <w:r>
              <w:rPr/>
              <w:t>Generalized</w:t>
            </w:r>
            <w:r>
              <w:rPr>
                <w:spacing w:val="-1"/>
              </w:rPr>
              <w:t> </w:t>
            </w:r>
            <w:r>
              <w:rPr/>
              <w:t>Entropy</w:t>
            </w:r>
            <w:r>
              <w:rPr>
                <w:spacing w:val="-4"/>
              </w:rPr>
              <w:t> </w:t>
            </w:r>
            <w:r>
              <w:rPr/>
              <w:t>(GE)</w:t>
            </w:r>
            <w:r>
              <w:rPr>
                <w:spacing w:val="-1"/>
              </w:rPr>
              <w:t> </w:t>
            </w:r>
            <w:r>
              <w:rPr/>
              <w:t>Method…</w:t>
              <w:tab/>
              <w:t>87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860" w:val="lef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28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Checks…</w:t>
              <w:tab/>
              <w:t>87</w:t>
            </w:r>
          </w:hyperlink>
        </w:p>
        <w:p>
          <w:pPr>
            <w:pStyle w:val="TOC1"/>
          </w:pPr>
          <w:hyperlink w:history="true" w:anchor="_TOC_250027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2"/>
            <w:tabs>
              <w:tab w:pos="8827" w:val="left" w:leader="dot"/>
            </w:tabs>
            <w:spacing w:before="135"/>
            <w:ind w:left="160" w:firstLine="0"/>
          </w:pPr>
          <w:r>
            <w:rPr/>
            <w:t>RESULTS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-4"/>
            </w:rPr>
            <w:t> </w:t>
          </w:r>
          <w:r>
            <w:rPr/>
            <w:t>DISCUSIION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FINDINGS…</w:t>
            <w:tab/>
            <w:t>88</w:t>
          </w:r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8847" w:val="left" w:leader="dot"/>
            </w:tabs>
            <w:spacing w:line="240" w:lineRule="auto" w:before="136" w:after="0"/>
            <w:ind w:left="880" w:right="0" w:hanging="721"/>
            <w:jc w:val="left"/>
          </w:pPr>
          <w:hyperlink w:history="true" w:anchor="_TOC_250026">
            <w:r>
              <w:rPr/>
              <w:t>Introduction…</w:t>
              <w:tab/>
              <w:t>88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8855" w:val="left" w:leader="dot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25">
            <w:r>
              <w:rPr/>
              <w:t>Descriptive</w:t>
            </w:r>
            <w:r>
              <w:rPr>
                <w:spacing w:val="-2"/>
              </w:rPr>
              <w:t> </w:t>
            </w:r>
            <w:r>
              <w:rPr/>
              <w:t>Statistics…</w:t>
              <w:tab/>
              <w:t>88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8874" w:val="lef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24">
            <w:r>
              <w:rPr/>
              <w:t>Demographic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Socio-Economic</w:t>
            </w:r>
            <w:r>
              <w:rPr>
                <w:spacing w:val="-2"/>
              </w:rPr>
              <w:t> </w:t>
            </w:r>
            <w:r>
              <w:rPr/>
              <w:t>Characteristics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Households</w:t>
              <w:tab/>
              <w:t>91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8886" w:val="lef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23">
            <w:r>
              <w:rPr/>
              <w:t>Gender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Respondents…</w:t>
              <w:tab/>
              <w:t>91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8921" w:val="lef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22">
            <w:r>
              <w:rPr/>
              <w:t>Relationship</w:t>
            </w:r>
            <w:r>
              <w:rPr>
                <w:spacing w:val="-1"/>
              </w:rPr>
              <w:t> </w:t>
            </w:r>
            <w:r>
              <w:rPr/>
              <w:t>with</w:t>
            </w:r>
            <w:r>
              <w:rPr>
                <w:spacing w:val="-1"/>
              </w:rPr>
              <w:t> </w:t>
            </w:r>
            <w:r>
              <w:rPr/>
              <w:t>Head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Households</w:t>
              <w:tab/>
              <w:t>91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8888" w:val="left" w:leader="dot"/>
            </w:tabs>
            <w:spacing w:line="240" w:lineRule="auto" w:before="139" w:after="0"/>
            <w:ind w:left="880" w:right="0" w:hanging="721"/>
            <w:jc w:val="left"/>
          </w:pPr>
          <w:r>
            <w:rPr/>
            <w:t>Household's</w:t>
          </w:r>
          <w:r>
            <w:rPr>
              <w:spacing w:val="-1"/>
            </w:rPr>
            <w:t> </w:t>
          </w:r>
          <w:r>
            <w:rPr/>
            <w:t>Size</w:t>
            <w:tab/>
            <w:t>92</w:t>
          </w:r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8886" w:val="left" w:leader="dot"/>
            </w:tabs>
            <w:spacing w:line="240" w:lineRule="auto" w:before="137" w:after="0"/>
            <w:ind w:left="880" w:right="0" w:hanging="721"/>
            <w:jc w:val="left"/>
          </w:pPr>
          <w:r>
            <w:rPr/>
            <w:t>Level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Education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Respondents…</w:t>
            <w:tab/>
            <w:t>93</w:t>
          </w:r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8893" w:val="lef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21">
            <w:r>
              <w:rPr/>
              <w:t>Marital</w:t>
            </w:r>
            <w:r>
              <w:rPr>
                <w:spacing w:val="-1"/>
              </w:rPr>
              <w:t> </w:t>
            </w:r>
            <w:r>
              <w:rPr/>
              <w:t>Status</w:t>
              <w:tab/>
              <w:t>94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8882" w:val="left" w:leader="dot"/>
            </w:tabs>
            <w:spacing w:line="240" w:lineRule="auto" w:before="137" w:after="20"/>
            <w:ind w:left="880" w:right="0" w:hanging="721"/>
            <w:jc w:val="left"/>
          </w:pPr>
          <w:hyperlink w:history="true" w:anchor="_TOC_250020">
            <w:r>
              <w:rPr/>
              <w:t>Household's</w:t>
            </w:r>
            <w:r>
              <w:rPr>
                <w:spacing w:val="-1"/>
              </w:rPr>
              <w:t> </w:t>
            </w:r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Water</w:t>
              <w:tab/>
              <w:t>94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9107" w:val="right" w:leader="dot"/>
            </w:tabs>
            <w:spacing w:line="240" w:lineRule="auto" w:before="74" w:after="0"/>
            <w:ind w:left="880" w:right="0" w:hanging="721"/>
            <w:jc w:val="left"/>
          </w:pPr>
          <w:hyperlink w:history="true" w:anchor="_TOC_250019">
            <w:r>
              <w:rPr/>
              <w:t>Access to Electricity</w:t>
              <w:tab/>
              <w:t>95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9119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18">
            <w:r>
              <w:rPr/>
              <w:t>Type</w:t>
            </w:r>
            <w:r>
              <w:rPr>
                <w:spacing w:val="-2"/>
              </w:rPr>
              <w:t> </w:t>
            </w:r>
            <w:r>
              <w:rPr/>
              <w:t>of Toilet Facility</w:t>
              <w:tab/>
              <w:t>95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9093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17">
            <w:r>
              <w:rPr/>
              <w:t>Level</w:t>
            </w:r>
            <w:r>
              <w:rPr>
                <w:spacing w:val="-1"/>
              </w:rPr>
              <w:t> </w:t>
            </w:r>
            <w:r>
              <w:rPr/>
              <w:t>and Magnitude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Income</w:t>
            </w:r>
            <w:r>
              <w:rPr>
                <w:spacing w:val="1"/>
              </w:rPr>
              <w:t> </w:t>
            </w:r>
            <w:r>
              <w:rPr/>
              <w:t>Inequality</w:t>
            </w:r>
            <w:r>
              <w:rPr>
                <w:spacing w:val="-5"/>
              </w:rPr>
              <w:t> </w:t>
            </w:r>
            <w:r>
              <w:rPr/>
              <w:t>in Nigeria</w:t>
              <w:tab/>
              <w:t>97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9089" w:val="right" w:leader="dot"/>
            </w:tabs>
            <w:spacing w:line="240" w:lineRule="auto" w:before="137" w:after="0"/>
            <w:ind w:left="880" w:right="0" w:hanging="721"/>
            <w:jc w:val="left"/>
          </w:pPr>
          <w:r>
            <w:rPr/>
            <w:t>Effects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3"/>
            </w:rPr>
            <w:t> </w:t>
          </w:r>
          <w:r>
            <w:rPr/>
            <w:t>Income</w:t>
          </w:r>
          <w:r>
            <w:rPr>
              <w:spacing w:val="4"/>
            </w:rPr>
            <w:t> </w:t>
          </w:r>
          <w:r>
            <w:rPr/>
            <w:t>Inequality</w:t>
          </w:r>
          <w:r>
            <w:rPr>
              <w:spacing w:val="-9"/>
            </w:rPr>
            <w:t> </w:t>
          </w:r>
          <w:r>
            <w:rPr/>
            <w:t>on</w:t>
          </w:r>
          <w:r>
            <w:rPr>
              <w:spacing w:val="2"/>
            </w:rPr>
            <w:t> </w:t>
          </w:r>
          <w:r>
            <w:rPr/>
            <w:t>Health</w:t>
          </w:r>
          <w:r>
            <w:rPr>
              <w:spacing w:val="-1"/>
            </w:rPr>
            <w:t> </w:t>
          </w:r>
          <w:r>
            <w:rPr/>
            <w:t>Outcomes</w:t>
          </w:r>
          <w:r>
            <w:rPr>
              <w:spacing w:val="-2"/>
            </w:rPr>
            <w:t> </w:t>
          </w:r>
          <w:r>
            <w:rPr/>
            <w:t>(Illness)…</w:t>
            <w:tab/>
            <w:t>103</w:t>
          </w:r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9105" w:val="right" w:leader="dot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16">
            <w:r>
              <w:rPr/>
              <w:t>Preliminary</w:t>
            </w:r>
            <w:r>
              <w:rPr>
                <w:spacing w:val="-6"/>
              </w:rPr>
              <w:t> </w:t>
            </w:r>
            <w:r>
              <w:rPr/>
              <w:t>Results for NGHPS (All Waves)</w:t>
              <w:tab/>
              <w:t>103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9113" w:val="right" w:leader="dot"/>
            </w:tabs>
            <w:spacing w:line="240" w:lineRule="auto" w:before="136" w:after="0"/>
            <w:ind w:left="880" w:right="0" w:hanging="721"/>
            <w:jc w:val="left"/>
          </w:pPr>
          <w:hyperlink w:history="true" w:anchor="_TOC_250015">
            <w:r>
              <w:rPr/>
              <w:t>Regression</w:t>
            </w:r>
            <w:r>
              <w:rPr>
                <w:spacing w:val="-1"/>
              </w:rPr>
              <w:t> </w:t>
            </w:r>
            <w:r>
              <w:rPr/>
              <w:t>Results for</w:t>
            </w:r>
            <w:r>
              <w:rPr>
                <w:spacing w:val="-2"/>
              </w:rPr>
              <w:t> </w:t>
            </w:r>
            <w:r>
              <w:rPr/>
              <w:t>NGHPS Waves…</w:t>
              <w:tab/>
              <w:t>103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9112" w:val="right" w:leader="dot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14">
            <w:r>
              <w:rPr/>
              <w:t>Heterogeneity</w:t>
            </w:r>
            <w:r>
              <w:rPr>
                <w:spacing w:val="-4"/>
              </w:rPr>
              <w:t> </w:t>
            </w:r>
            <w:r>
              <w:rPr/>
              <w:t>Test: Breusch-Pagan</w:t>
            </w:r>
            <w:r>
              <w:rPr>
                <w:spacing w:val="2"/>
              </w:rPr>
              <w:t> </w:t>
            </w:r>
            <w:r>
              <w:rPr/>
              <w:t>Lagrange</w:t>
            </w:r>
            <w:r>
              <w:rPr>
                <w:spacing w:val="-1"/>
              </w:rPr>
              <w:t> </w:t>
            </w:r>
            <w:r>
              <w:rPr/>
              <w:t>Multiplier</w:t>
              <w:tab/>
              <w:t>113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9165" w:val="right" w:leader="dot"/>
            </w:tabs>
            <w:spacing w:line="240" w:lineRule="auto" w:before="136" w:after="0"/>
            <w:ind w:left="880" w:right="0" w:hanging="721"/>
            <w:jc w:val="left"/>
          </w:pPr>
          <w:hyperlink w:history="true" w:anchor="_TOC_250013">
            <w:r>
              <w:rPr/>
              <w:t>Hausman</w:t>
            </w:r>
            <w:r>
              <w:rPr>
                <w:spacing w:val="-1"/>
              </w:rPr>
              <w:t> </w:t>
            </w:r>
            <w:r>
              <w:rPr/>
              <w:t>Specification Test…</w:t>
              <w:tab/>
              <w:t>113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9167" w:val="right" w:leader="dot"/>
            </w:tabs>
            <w:spacing w:line="240" w:lineRule="auto" w:before="140" w:after="0"/>
            <w:ind w:left="880" w:right="0" w:hanging="721"/>
            <w:jc w:val="left"/>
          </w:pPr>
          <w:r>
            <w:rPr/>
            <w:t>Robustness</w:t>
          </w:r>
          <w:r>
            <w:rPr>
              <w:spacing w:val="-1"/>
            </w:rPr>
            <w:t> </w:t>
          </w:r>
          <w:r>
            <w:rPr/>
            <w:t>Checks for</w:t>
          </w:r>
          <w:r>
            <w:rPr>
              <w:spacing w:val="-1"/>
            </w:rPr>
            <w:t> </w:t>
          </w:r>
          <w:r>
            <w:rPr/>
            <w:t>Income</w:t>
          </w:r>
          <w:r>
            <w:rPr>
              <w:spacing w:val="1"/>
            </w:rPr>
            <w:t> </w:t>
          </w:r>
          <w:r>
            <w:rPr/>
            <w:t>Inequality-Health</w:t>
          </w:r>
          <w:r>
            <w:rPr>
              <w:spacing w:val="1"/>
            </w:rPr>
            <w:t> </w:t>
          </w:r>
          <w:r>
            <w:rPr/>
            <w:t>Outcomes…</w:t>
            <w:tab/>
            <w:t>114</w:t>
          </w:r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9180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12">
            <w:r>
              <w:rPr/>
              <w:t>Evidence</w:t>
            </w:r>
            <w:r>
              <w:rPr>
                <w:spacing w:val="-2"/>
              </w:rPr>
              <w:t> </w:t>
            </w:r>
            <w:r>
              <w:rPr/>
              <w:t>from</w:t>
            </w:r>
            <w:r>
              <w:rPr>
                <w:spacing w:val="1"/>
              </w:rPr>
              <w:t> </w:t>
            </w:r>
            <w:r>
              <w:rPr/>
              <w:t>Individual Wave</w:t>
            </w:r>
            <w:r>
              <w:rPr>
                <w:spacing w:val="-1"/>
              </w:rPr>
              <w:t> </w:t>
            </w:r>
            <w:r>
              <w:rPr/>
              <w:t>Estimations</w:t>
              <w:tab/>
              <w:t>116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9172" w:val="right" w:leader="dot"/>
            </w:tabs>
            <w:spacing w:line="240" w:lineRule="auto" w:before="139" w:after="0"/>
            <w:ind w:left="880" w:right="0" w:hanging="721"/>
            <w:jc w:val="left"/>
          </w:pPr>
          <w:r>
            <w:rPr/>
            <w:t>Estimates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Effects</w:t>
          </w:r>
          <w:r>
            <w:rPr>
              <w:spacing w:val="1"/>
            </w:rPr>
            <w:t> </w:t>
          </w:r>
          <w:r>
            <w:rPr/>
            <w:t>of Income</w:t>
          </w:r>
          <w:r>
            <w:rPr>
              <w:spacing w:val="1"/>
            </w:rPr>
            <w:t> </w:t>
          </w:r>
          <w:r>
            <w:rPr/>
            <w:t>Inequality</w:t>
          </w:r>
          <w:r>
            <w:rPr>
              <w:spacing w:val="-6"/>
            </w:rPr>
            <w:t> </w:t>
          </w:r>
          <w:r>
            <w:rPr/>
            <w:t>on</w:t>
          </w:r>
          <w:r>
            <w:rPr>
              <w:spacing w:val="4"/>
            </w:rPr>
            <w:t> </w:t>
          </w:r>
          <w:r>
            <w:rPr/>
            <w:t>Health-Seeking</w:t>
          </w:r>
          <w:r>
            <w:rPr>
              <w:spacing w:val="-2"/>
            </w:rPr>
            <w:t> </w:t>
          </w:r>
          <w:r>
            <w:rPr/>
            <w:t>Behaviour…</w:t>
            <w:tab/>
            <w:t>120</w:t>
          </w:r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9165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11">
            <w:r>
              <w:rPr/>
              <w:t>Preliminary</w:t>
            </w:r>
            <w:r>
              <w:rPr>
                <w:spacing w:val="-6"/>
              </w:rPr>
              <w:t> </w:t>
            </w:r>
            <w:r>
              <w:rPr/>
              <w:t>Results for NGHPS</w:t>
            </w:r>
            <w:r>
              <w:rPr>
                <w:spacing w:val="3"/>
              </w:rPr>
              <w:t> </w:t>
            </w:r>
            <w:r>
              <w:rPr/>
              <w:t>(All Waves)</w:t>
              <w:tab/>
              <w:t>120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9173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10">
            <w:r>
              <w:rPr/>
              <w:t>Regression</w:t>
            </w:r>
            <w:r>
              <w:rPr>
                <w:spacing w:val="-1"/>
              </w:rPr>
              <w:t> </w:t>
            </w:r>
            <w:r>
              <w:rPr/>
              <w:t>Results for</w:t>
            </w:r>
            <w:r>
              <w:rPr>
                <w:spacing w:val="-2"/>
              </w:rPr>
              <w:t> </w:t>
            </w:r>
            <w:r>
              <w:rPr/>
              <w:t>NGHPS Waves…</w:t>
              <w:tab/>
              <w:t>120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9184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09">
            <w:r>
              <w:rPr/>
              <w:t>Breusch-Pagan</w:t>
            </w:r>
            <w:r>
              <w:rPr>
                <w:spacing w:val="3"/>
              </w:rPr>
              <w:t> </w:t>
            </w:r>
            <w:r>
              <w:rPr/>
              <w:t>LM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Heterogeneity</w:t>
            </w:r>
            <w:r>
              <w:rPr>
                <w:spacing w:val="-4"/>
              </w:rPr>
              <w:t> </w:t>
            </w:r>
            <w:r>
              <w:rPr/>
              <w:t>Test…</w:t>
              <w:tab/>
              <w:t>128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9165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08">
            <w:r>
              <w:rPr/>
              <w:t>Hausman</w:t>
            </w:r>
            <w:r>
              <w:rPr>
                <w:spacing w:val="-1"/>
              </w:rPr>
              <w:t> </w:t>
            </w:r>
            <w:r>
              <w:rPr/>
              <w:t>Specification</w:t>
            </w:r>
            <w:r>
              <w:rPr>
                <w:spacing w:val="1"/>
              </w:rPr>
              <w:t> </w:t>
            </w:r>
            <w:r>
              <w:rPr/>
              <w:t>Test…</w:t>
              <w:tab/>
              <w:t>128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9139" w:val="right" w:leader="dot"/>
            </w:tabs>
            <w:spacing w:line="240" w:lineRule="auto" w:before="137" w:after="0"/>
            <w:ind w:left="880" w:right="0" w:hanging="721"/>
            <w:jc w:val="left"/>
          </w:pPr>
          <w:r>
            <w:rPr/>
            <w:t>Robustness</w:t>
          </w:r>
          <w:r>
            <w:rPr>
              <w:spacing w:val="-1"/>
            </w:rPr>
            <w:t> </w:t>
          </w:r>
          <w:r>
            <w:rPr/>
            <w:t>Checks</w:t>
          </w:r>
          <w:r>
            <w:rPr>
              <w:spacing w:val="1"/>
            </w:rPr>
            <w:t> </w:t>
          </w:r>
          <w:r>
            <w:rPr/>
            <w:t>for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Income</w:t>
          </w:r>
          <w:r>
            <w:rPr>
              <w:spacing w:val="4"/>
            </w:rPr>
            <w:t> </w:t>
          </w:r>
          <w:r>
            <w:rPr/>
            <w:t>Inequality-HSB</w:t>
          </w:r>
          <w:r>
            <w:rPr>
              <w:spacing w:val="-3"/>
            </w:rPr>
            <w:t> </w:t>
          </w:r>
          <w:r>
            <w:rPr/>
            <w:t>Effect.</w:t>
            <w:tab/>
            <w:t>129</w:t>
          </w:r>
        </w:p>
        <w:p>
          <w:pPr>
            <w:pStyle w:val="TOC1"/>
            <w:spacing w:before="512"/>
          </w:pPr>
          <w:hyperlink w:history="true" w:anchor="_TOC_250007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SIX</w:t>
            </w:r>
          </w:hyperlink>
        </w:p>
        <w:p>
          <w:pPr>
            <w:pStyle w:val="TOC2"/>
            <w:tabs>
              <w:tab w:pos="9147" w:val="right" w:leader="dot"/>
            </w:tabs>
            <w:spacing w:before="134"/>
            <w:ind w:left="160" w:firstLine="0"/>
          </w:pPr>
          <w:hyperlink w:history="true" w:anchor="_TOC_250006">
            <w:r>
              <w:rPr/>
              <w:t>SUMMARY,</w:t>
            </w:r>
            <w:r>
              <w:rPr>
                <w:spacing w:val="-1"/>
              </w:rPr>
              <w:t> </w:t>
            </w:r>
            <w:r>
              <w:rPr/>
              <w:t>CONCLUSION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RECOMMENDATIONS…</w:t>
              <w:tab/>
              <w:t>138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9145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05">
            <w:r>
              <w:rPr/>
              <w:t>Introduction…</w:t>
              <w:tab/>
              <w:t>138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9140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04">
            <w:r>
              <w:rPr/>
              <w:t>Summary</w:t>
            </w:r>
            <w:r>
              <w:rPr>
                <w:spacing w:val="-5"/>
              </w:rPr>
              <w:t> </w:t>
            </w:r>
            <w:r>
              <w:rPr/>
              <w:t>of Major Findings.</w:t>
              <w:tab/>
              <w:t>138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9114" w:val="right" w:leader="dot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03">
            <w:r>
              <w:rPr/>
              <w:t>Conclusion</w:t>
              <w:tab/>
              <w:t>141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880" w:val="left" w:leader="none"/>
              <w:tab w:pos="881" w:val="left" w:leader="none"/>
              <w:tab w:pos="9085" w:val="right" w:leader="dot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02">
            <w:r>
              <w:rPr/>
              <w:t>Recommendations…</w:t>
              <w:tab/>
              <w:t>142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100" w:val="right" w:leader="dot"/>
            </w:tabs>
            <w:spacing w:line="240" w:lineRule="auto" w:before="137" w:after="0"/>
            <w:ind w:left="880" w:right="0" w:hanging="721"/>
            <w:jc w:val="left"/>
          </w:pPr>
          <w:r>
            <w:rPr/>
            <w:t>Policy</w:t>
          </w:r>
          <w:r>
            <w:rPr>
              <w:spacing w:val="-6"/>
            </w:rPr>
            <w:t> </w:t>
          </w:r>
          <w:r>
            <w:rPr/>
            <w:t>Recommendations</w:t>
            <w:tab/>
            <w:t>142</w:t>
          </w:r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098" w:val="right" w:leader="dot"/>
            </w:tabs>
            <w:spacing w:line="240" w:lineRule="auto" w:before="137" w:after="0"/>
            <w:ind w:left="880" w:right="0" w:hanging="721"/>
            <w:jc w:val="left"/>
          </w:pPr>
          <w:r>
            <w:rPr/>
            <w:t>Recommendations</w:t>
          </w:r>
          <w:r>
            <w:rPr>
              <w:spacing w:val="-1"/>
            </w:rPr>
            <w:t> </w:t>
          </w:r>
          <w:r>
            <w:rPr/>
            <w:t>for Further Studies…</w:t>
            <w:tab/>
            <w:t>143</w:t>
          </w:r>
        </w:p>
        <w:p>
          <w:pPr>
            <w:pStyle w:val="TOC2"/>
            <w:tabs>
              <w:tab w:pos="9109" w:val="right" w:leader="dot"/>
            </w:tabs>
            <w:spacing w:before="553"/>
            <w:ind w:left="160" w:firstLine="0"/>
          </w:pPr>
          <w:hyperlink w:history="true" w:anchor="_TOC_250001">
            <w:r>
              <w:rPr/>
              <w:t>REFERENCES</w:t>
              <w:tab/>
              <w:t>144</w:t>
            </w:r>
          </w:hyperlink>
        </w:p>
        <w:p>
          <w:pPr>
            <w:pStyle w:val="TOC2"/>
            <w:tabs>
              <w:tab w:pos="9114" w:val="right" w:leader="dot"/>
            </w:tabs>
            <w:spacing w:before="139"/>
            <w:ind w:left="160" w:firstLine="0"/>
          </w:pPr>
          <w:hyperlink w:history="true" w:anchor="_TOC_250000">
            <w:r>
              <w:rPr/>
              <w:t>APPENDICES</w:t>
              <w:tab/>
              <w:t>162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60" w:bottom="1505" w:left="1280" w:right="1280"/>
        </w:sectPr>
      </w:pPr>
    </w:p>
    <w:p>
      <w:pPr>
        <w:pStyle w:val="Heading4"/>
        <w:spacing w:before="79"/>
        <w:ind w:left="151" w:right="151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6"/>
        <w:gridCol w:w="8149"/>
      </w:tblGrid>
      <w:tr>
        <w:trPr>
          <w:trHeight w:val="1168" w:hRule="atLeast"/>
        </w:trPr>
        <w:tc>
          <w:tcPr>
            <w:tcW w:w="1316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2.1:</w:t>
            </w:r>
          </w:p>
          <w:p>
            <w:pPr>
              <w:pStyle w:val="TableParagraph"/>
              <w:spacing w:before="139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2.2:</w:t>
            </w:r>
          </w:p>
          <w:p>
            <w:pPr>
              <w:pStyle w:val="TableParagraph"/>
              <w:spacing w:before="137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2.3: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7953" w:val="right" w:leader="dot"/>
              </w:tabs>
              <w:spacing w:line="266" w:lineRule="exact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Trends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Gini-Coefficient of Selected Africa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Countries, 1990 to 2015.</w:t>
              <w:tab/>
              <w:t>15</w:t>
            </w:r>
          </w:p>
          <w:p>
            <w:pPr>
              <w:pStyle w:val="TableParagraph"/>
              <w:tabs>
                <w:tab w:pos="7980" w:val="right" w:leader="dot"/>
              </w:tabs>
              <w:spacing w:before="139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People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living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Heart Diseases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(as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 2015)</w:t>
              <w:tab/>
              <w:t>20</w:t>
            </w:r>
          </w:p>
          <w:p>
            <w:pPr>
              <w:pStyle w:val="TableParagraph"/>
              <w:spacing w:before="137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Percentages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Reported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Infections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Communicable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Diseases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149" w:type="dxa"/>
          </w:tcPr>
          <w:p>
            <w:pPr>
              <w:pStyle w:val="TableParagraph"/>
              <w:tabs>
                <w:tab w:pos="7979" w:val="right" w:leader="dot"/>
              </w:tabs>
              <w:spacing w:before="64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Sex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Nigeria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(2010-2015)</w:t>
              <w:tab/>
              <w:t>22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2.4: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7974" w:val="right" w:leader="dot"/>
              </w:tabs>
              <w:spacing w:before="63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Percentages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Infectious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Diseases causing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illness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Nigeria</w:t>
              <w:tab/>
              <w:t>23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2.5: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7989" w:val="right" w:leader="dot"/>
              </w:tabs>
              <w:spacing w:before="64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Causes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Illness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Nigeria</w:t>
              <w:tab/>
              <w:t>24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2.6: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7960" w:val="right" w:leader="dot"/>
              </w:tabs>
              <w:spacing w:before="63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Comparative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Under-five Deaths (per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1,000) in SSA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region…</w:t>
              <w:tab/>
              <w:t>26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2.7: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09" w:val="right" w:leader="dot"/>
              </w:tabs>
              <w:spacing w:before="65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Five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Nations Accounted for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Half of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Global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Infant Deaths in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2017…</w:t>
              <w:tab/>
              <w:t>27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2.8: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7998" w:val="right" w:leader="dot"/>
              </w:tabs>
              <w:spacing w:before="63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Comparative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Average Life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Expectancy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at birth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(total)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 SSA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region…</w:t>
              <w:tab/>
              <w:t>30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2.9:</w:t>
            </w:r>
          </w:p>
        </w:tc>
        <w:tc>
          <w:tcPr>
            <w:tcW w:w="8149" w:type="dxa"/>
          </w:tcPr>
          <w:p>
            <w:pPr>
              <w:pStyle w:val="TableParagraph"/>
              <w:spacing w:before="64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Mortality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Statistics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from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Ill-Health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Cases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across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Geo-Political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Zones….31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2.10: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12" w:val="right" w:leader="dot"/>
              </w:tabs>
              <w:spacing w:before="63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Trend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Healthcare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Consultation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during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Illness in Nigeria</w:t>
              <w:tab/>
              <w:t>31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3.1: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19" w:val="right" w:leader="dot"/>
              </w:tabs>
              <w:spacing w:before="64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Subjective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and Objective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Measures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Health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Outcomes…</w:t>
              <w:tab/>
              <w:t>40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3.2: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45" w:val="right" w:leader="dot"/>
              </w:tabs>
              <w:spacing w:before="63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Relationship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between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Income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Inequality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and Health…</w:t>
              <w:tab/>
              <w:t>53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4.1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34" w:val="right" w:leader="dot"/>
              </w:tabs>
              <w:spacing w:before="64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A-priori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Expectations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(Income Inequality-Health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Outcomes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Links)…</w:t>
              <w:tab/>
              <w:t>77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4.2</w:t>
            </w:r>
          </w:p>
        </w:tc>
        <w:tc>
          <w:tcPr>
            <w:tcW w:w="8149" w:type="dxa"/>
          </w:tcPr>
          <w:p>
            <w:pPr>
              <w:pStyle w:val="TableParagraph"/>
              <w:spacing w:before="63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A-priori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Expectations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(Income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Inequality-Health-Seeking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Behaviour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Links)….80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4.3: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54" w:val="right" w:leader="dot"/>
              </w:tabs>
              <w:spacing w:before="64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Summary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of Questionnaire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Context of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NGHPS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Waves…</w:t>
              <w:tab/>
              <w:t>85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5.1: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94" w:val="right" w:leader="dot"/>
              </w:tabs>
              <w:spacing w:before="63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Descriptive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Statistics Table…</w:t>
              <w:tab/>
              <w:t>89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5.2: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93" w:val="right" w:leader="dot"/>
              </w:tabs>
              <w:spacing w:before="64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Distribution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Respondents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According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their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Gender…</w:t>
              <w:tab/>
              <w:t>91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5.3: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72" w:val="right" w:leader="dot"/>
              </w:tabs>
              <w:spacing w:before="63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Distribution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Relationship with Households’ Head…</w:t>
              <w:tab/>
              <w:t>92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5.4: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95" w:val="right" w:leader="dot"/>
              </w:tabs>
              <w:spacing w:before="64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Distribution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Respondents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According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Family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  <w:tab/>
              <w:t>92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5.5: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97" w:val="right" w:leader="dot"/>
              </w:tabs>
              <w:spacing w:before="63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Distribution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Respondents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according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Marital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Status…</w:t>
              <w:tab/>
              <w:t>94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5.6: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95" w:val="right" w:leader="dot"/>
              </w:tabs>
              <w:spacing w:before="64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Gini-Coefficient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Indices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Households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North-East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Zone</w:t>
              <w:tab/>
              <w:t>97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5.7: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97" w:val="right" w:leader="dot"/>
              </w:tabs>
              <w:spacing w:before="63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Gini-Coefficient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Theil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Indices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Households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North-West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Zone</w:t>
              <w:tab/>
              <w:t>98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5.8:</w:t>
            </w:r>
          </w:p>
        </w:tc>
        <w:tc>
          <w:tcPr>
            <w:tcW w:w="8149" w:type="dxa"/>
          </w:tcPr>
          <w:p>
            <w:pPr>
              <w:pStyle w:val="TableParagraph"/>
              <w:spacing w:before="64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Gini-Coefficient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Theil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Indices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Households in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North-Central Zone………98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5.9: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95" w:val="right" w:leader="dot"/>
              </w:tabs>
              <w:spacing w:before="63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Gini-Coefficient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Theil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Indices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Households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South-South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Zone</w:t>
              <w:tab/>
              <w:t>99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5.10: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54" w:val="right" w:leader="dot"/>
              </w:tabs>
              <w:spacing w:before="64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Gini-Coefficient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Theil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Households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South-East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Zone</w:t>
              <w:tab/>
              <w:t>99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5.11: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97" w:val="right" w:leader="dot"/>
              </w:tabs>
              <w:spacing w:before="63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Gini-Coefficient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Indices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Households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South-West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Zone</w:t>
              <w:tab/>
              <w:t>100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5.12: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94" w:val="right" w:leader="dot"/>
              </w:tabs>
              <w:spacing w:before="64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Magnitude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Income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Inequality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Nigeria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(2010-2019)</w:t>
              <w:tab/>
              <w:t>102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5.13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81" w:val="right" w:leader="dot"/>
              </w:tabs>
              <w:spacing w:before="63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Pooled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OLS Regression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(Dependent Variable: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Illness)</w:t>
              <w:tab/>
              <w:t>104</w:t>
            </w:r>
          </w:p>
        </w:tc>
      </w:tr>
      <w:tr>
        <w:trPr>
          <w:trHeight w:val="340" w:hRule="atLeast"/>
        </w:trPr>
        <w:tc>
          <w:tcPr>
            <w:tcW w:w="1316" w:type="dxa"/>
          </w:tcPr>
          <w:p>
            <w:pPr>
              <w:pStyle w:val="TableParagraph"/>
              <w:spacing w:line="256" w:lineRule="exact"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5.14: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69" w:val="right" w:leader="dot"/>
              </w:tabs>
              <w:spacing w:line="256" w:lineRule="exact" w:before="64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Fixed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 Estimation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(Dependent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Variable: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Illness)</w:t>
              <w:tab/>
              <w:t>107</w:t>
            </w:r>
          </w:p>
        </w:tc>
      </w:tr>
    </w:tbl>
    <w:p>
      <w:pPr>
        <w:spacing w:after="0" w:line="256" w:lineRule="exact"/>
        <w:jc w:val="left"/>
        <w:rPr>
          <w:rFonts w:ascii="Times New Roman"/>
          <w:sz w:val="24"/>
        </w:rPr>
        <w:sectPr>
          <w:pgSz w:w="12240" w:h="15840"/>
          <w:pgMar w:header="0" w:footer="1015" w:top="1360" w:bottom="1200" w:left="1280" w:right="12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6"/>
        <w:gridCol w:w="8149"/>
      </w:tblGrid>
      <w:tr>
        <w:trPr>
          <w:trHeight w:val="339" w:hRule="atLeast"/>
        </w:trPr>
        <w:tc>
          <w:tcPr>
            <w:tcW w:w="1316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5.15: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31" w:val="right" w:leader="dot"/>
              </w:tabs>
              <w:spacing w:line="266" w:lineRule="exact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Random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 Estimation (Dependent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Variable: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Illness)</w:t>
              <w:tab/>
              <w:t>110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5.16: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19" w:val="right" w:leader="dot"/>
              </w:tabs>
              <w:spacing w:before="63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Homogeneity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Test Results (Dependent Variable: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Illness)</w:t>
              <w:tab/>
              <w:t>113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5.17: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7982" w:val="right" w:leader="dot"/>
              </w:tabs>
              <w:spacing w:before="64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Hausman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Test Results (Dependent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Variable: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Illness)</w:t>
              <w:tab/>
              <w:t>114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5.18: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7989" w:val="right" w:leader="dot"/>
              </w:tabs>
              <w:spacing w:before="63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Robustness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Check: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Multilevel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Logistic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Regression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(Illness)…</w:t>
              <w:tab/>
              <w:t>115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5.19: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7980" w:val="right" w:leader="dot"/>
              </w:tabs>
              <w:spacing w:before="64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Pooled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OLS Regression (Dependent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Variable: HSB)</w:t>
              <w:tab/>
              <w:t>121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5.20: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7968" w:val="right" w:leader="dot"/>
              </w:tabs>
              <w:spacing w:before="63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Fixed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 Estimation (Dependent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Variable: HSB)</w:t>
              <w:tab/>
              <w:t>124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5.21: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7994" w:val="right" w:leader="dot"/>
              </w:tabs>
              <w:spacing w:before="64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Random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 Estimation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(Dependent Variable: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HSB)</w:t>
              <w:tab/>
              <w:t>126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5.22: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7980" w:val="right" w:leader="dot"/>
              </w:tabs>
              <w:spacing w:before="63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Homogeneity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Results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(Dependent Variable: HSB)</w:t>
              <w:tab/>
              <w:t>128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5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5.23: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01" w:val="right" w:leader="dot"/>
              </w:tabs>
              <w:spacing w:before="65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Hausman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Results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(Dependent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Variable: HSB)</w:t>
              <w:tab/>
              <w:t>129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5.24: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01" w:val="right" w:leader="dot"/>
              </w:tabs>
              <w:spacing w:before="63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Panel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Logistic Estimations from NGHPS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Wave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</w:t>
              <w:tab/>
              <w:t>130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5.25: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09" w:val="right" w:leader="dot"/>
              </w:tabs>
              <w:spacing w:before="64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Homogeneity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Test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Results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Wave 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(Dependent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HSB)</w:t>
              <w:tab/>
              <w:t>131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5.26: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40" w:val="right" w:leader="dot"/>
              </w:tabs>
              <w:spacing w:before="63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Hausman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Test Results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Wave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(Dependent Variable: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HSB)</w:t>
              <w:tab/>
              <w:t>132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5.27: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21" w:val="right" w:leader="dot"/>
              </w:tabs>
              <w:spacing w:before="64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Panel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Logistic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Estimations from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NGHPS Wave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</w:t>
              <w:tab/>
              <w:t>133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5.28: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88" w:val="right" w:leader="dot"/>
              </w:tabs>
              <w:spacing w:before="63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Homogeneity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Test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Results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Wave II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(Dependent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HSB)</w:t>
              <w:tab/>
              <w:t>134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5.29: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95" w:val="right" w:leader="dot"/>
              </w:tabs>
              <w:spacing w:before="64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Hausman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Test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Results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Wave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(Dependent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Variable: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HSB)</w:t>
              <w:tab/>
              <w:t>134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5.30: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93" w:val="right" w:leader="dot"/>
              </w:tabs>
              <w:spacing w:before="63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Panel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Logistic Estimations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 NGHPS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Wave III</w:t>
              <w:tab/>
              <w:t>135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5.31: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97" w:val="right" w:leader="dot"/>
              </w:tabs>
              <w:spacing w:before="64"/>
              <w:ind w:left="1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Homogeneity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Results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Wave III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(Dependent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Variable: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HSB)</w:t>
              <w:tab/>
              <w:t>137</w:t>
            </w:r>
          </w:p>
        </w:tc>
      </w:tr>
      <w:tr>
        <w:trPr>
          <w:trHeight w:val="339" w:hRule="atLeast"/>
        </w:trPr>
        <w:tc>
          <w:tcPr>
            <w:tcW w:w="1316" w:type="dxa"/>
          </w:tcPr>
          <w:p>
            <w:pPr>
              <w:pStyle w:val="TableParagraph"/>
              <w:spacing w:line="256" w:lineRule="exact" w:before="6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5.32:</w:t>
            </w:r>
          </w:p>
        </w:tc>
        <w:tc>
          <w:tcPr>
            <w:tcW w:w="8149" w:type="dxa"/>
          </w:tcPr>
          <w:p>
            <w:pPr>
              <w:pStyle w:val="TableParagraph"/>
              <w:tabs>
                <w:tab w:pos="8078" w:val="right" w:leader="dot"/>
              </w:tabs>
              <w:spacing w:line="256" w:lineRule="exact" w:before="63"/>
              <w:ind w:left="17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Hausman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Test Results – Wave III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(Dependent Variable: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HSB)</w:t>
              <w:tab/>
              <w:t>137</w:t>
            </w:r>
          </w:p>
        </w:tc>
      </w:tr>
    </w:tbl>
    <w:p>
      <w:pPr>
        <w:spacing w:after="0" w:line="256" w:lineRule="exact"/>
        <w:jc w:val="left"/>
        <w:rPr>
          <w:rFonts w:ascii="Times New Roman" w:hAnsi="Times New Roman"/>
          <w:sz w:val="24"/>
        </w:rPr>
        <w:sectPr>
          <w:pgSz w:w="12240" w:h="15840"/>
          <w:pgMar w:header="0" w:footer="1015" w:top="1440" w:bottom="1200" w:left="1280" w:right="1280"/>
        </w:sectPr>
      </w:pPr>
    </w:p>
    <w:p>
      <w:pPr>
        <w:spacing w:before="79"/>
        <w:ind w:left="151" w:right="151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FIGURES</w:t>
      </w: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5"/>
        <w:gridCol w:w="7977"/>
      </w:tblGrid>
      <w:tr>
        <w:trPr>
          <w:trHeight w:val="754" w:hRule="atLeast"/>
        </w:trPr>
        <w:tc>
          <w:tcPr>
            <w:tcW w:w="1355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2.1:</w:t>
            </w:r>
          </w:p>
          <w:p>
            <w:pPr>
              <w:pStyle w:val="TableParagraph"/>
              <w:spacing w:before="139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2.2:</w:t>
            </w:r>
          </w:p>
        </w:tc>
        <w:tc>
          <w:tcPr>
            <w:tcW w:w="7977" w:type="dxa"/>
          </w:tcPr>
          <w:p>
            <w:pPr>
              <w:pStyle w:val="TableParagraph"/>
              <w:spacing w:line="266" w:lineRule="exact"/>
              <w:ind w:left="13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Income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Shared by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top 10%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at the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Upper-End of Distribution in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Nigeria………13</w:t>
            </w:r>
          </w:p>
          <w:p>
            <w:pPr>
              <w:pStyle w:val="TableParagraph"/>
              <w:spacing w:before="139"/>
              <w:ind w:left="13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Income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Shared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by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bottom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40%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at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the Lower-End of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Distribution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Nigeria….13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2.3: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910" w:val="right" w:leader="dot"/>
              </w:tabs>
              <w:spacing w:before="63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Index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Income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Inequality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by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Zones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Nigeria, 2004, 2013.</w:t>
              <w:tab/>
              <w:t>14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2.4:</w:t>
            </w:r>
          </w:p>
        </w:tc>
        <w:tc>
          <w:tcPr>
            <w:tcW w:w="7977" w:type="dxa"/>
          </w:tcPr>
          <w:p>
            <w:pPr>
              <w:pStyle w:val="TableParagraph"/>
              <w:spacing w:before="64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Income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Inequality-Adjusted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selected SSA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Nations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year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2015..16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2.5: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915" w:val="right" w:leader="dot"/>
              </w:tabs>
              <w:spacing w:before="63"/>
              <w:ind w:left="13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Global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Deaths from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Ill-Health Causes…</w:t>
              <w:tab/>
              <w:t>19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2.6: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921" w:val="right" w:leader="dot"/>
              </w:tabs>
              <w:spacing w:before="64"/>
              <w:ind w:left="13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Trend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Poor Health Outcomes in Nigeria, 2010-2019…</w:t>
              <w:tab/>
              <w:t>20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2.7: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925" w:val="right" w:leader="dot"/>
              </w:tabs>
              <w:spacing w:before="63"/>
              <w:ind w:left="13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Health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Problem Experiences in Nigeria (2016-2019)…</w:t>
              <w:tab/>
              <w:t>21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5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2.8: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905" w:val="right" w:leader="dot"/>
              </w:tabs>
              <w:spacing w:before="65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Percentages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Infectious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Diseases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Nigeria</w:t>
              <w:tab/>
              <w:t>22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2.9: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885" w:val="right" w:leader="dot"/>
              </w:tabs>
              <w:spacing w:before="63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Percentages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Non-Communicable Diseases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Nigeria</w:t>
              <w:tab/>
              <w:t>24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1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2.10: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895" w:val="right" w:leader="dot"/>
              </w:tabs>
              <w:spacing w:before="64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Annual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Deaths from NCDs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Ill-Health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Nigeria</w:t>
              <w:tab/>
              <w:t>25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1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2.11: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907" w:val="right" w:leader="dot"/>
              </w:tabs>
              <w:spacing w:before="63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Global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Comparative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Under-five Deaths</w:t>
              <w:tab/>
              <w:t>26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1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2.12: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847" w:val="right" w:leader="dot"/>
              </w:tabs>
              <w:spacing w:before="64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Global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Comparative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Infant Deaths</w:t>
              <w:tab/>
              <w:t>27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1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2.13: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828" w:val="right" w:leader="dot"/>
              </w:tabs>
              <w:spacing w:before="63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Trends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Infant Deaths in Nigeria</w:t>
              <w:tab/>
              <w:t>28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1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2.14: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835" w:val="right" w:leader="dot"/>
              </w:tabs>
              <w:spacing w:before="64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Global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Comparative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Longevity</w:t>
              <w:tab/>
              <w:t>29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1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2.15: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838" w:val="right" w:leader="dot"/>
              </w:tabs>
              <w:spacing w:before="63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Trends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Average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Life Expectancy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Nigeria</w:t>
              <w:tab/>
              <w:t>29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1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2.16: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853" w:val="right" w:leader="dot"/>
              </w:tabs>
              <w:spacing w:before="64"/>
              <w:ind w:left="13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Health-Seeking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Behaviour in Nigeria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(2010-2019)…</w:t>
              <w:tab/>
              <w:t>32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1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2.17: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814" w:val="right" w:leader="dot"/>
              </w:tabs>
              <w:spacing w:before="63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Healthcare-Seeking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Among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 in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Nigeria</w:t>
              <w:tab/>
              <w:t>33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1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2.18: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832" w:val="right" w:leader="dot"/>
              </w:tabs>
              <w:spacing w:before="64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Health-Seeking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Among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Females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Nigeria</w:t>
              <w:tab/>
              <w:t>33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3.1: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773" w:val="right" w:leader="dot"/>
              </w:tabs>
              <w:spacing w:before="63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Internal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External Causes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 Outcomes</w:t>
              <w:tab/>
              <w:t>39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3.2: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781" w:val="right" w:leader="dot"/>
              </w:tabs>
              <w:spacing w:before="64"/>
              <w:ind w:left="13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Determinants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of Health-Seeking Behaviour…</w:t>
              <w:tab/>
              <w:t>42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3.3: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779" w:val="right" w:leader="dot"/>
              </w:tabs>
              <w:spacing w:before="63"/>
              <w:ind w:left="13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Income Inequality-Health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Problems Among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Rich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Countries…</w:t>
              <w:tab/>
              <w:t>48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3.4: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734" w:val="right" w:leader="dot"/>
              </w:tabs>
              <w:spacing w:before="64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Stages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Epidemiological Transition.</w:t>
              <w:tab/>
              <w:t>49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3.5: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720" w:val="right" w:leader="dot"/>
              </w:tabs>
              <w:spacing w:before="63"/>
              <w:ind w:left="13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Income Inequality-Health Mechanisms…</w:t>
              <w:tab/>
              <w:t>53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3.6: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721" w:val="right" w:leader="dot"/>
              </w:tabs>
              <w:spacing w:before="64"/>
              <w:ind w:left="13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Income Inequality-Health Mediators…</w:t>
              <w:tab/>
              <w:t>54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4.1: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733" w:val="right" w:leader="dot"/>
              </w:tabs>
              <w:spacing w:before="63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Conceptual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Framework</w:t>
              <w:tab/>
              <w:t>70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5.1:</w:t>
            </w:r>
          </w:p>
        </w:tc>
        <w:tc>
          <w:tcPr>
            <w:tcW w:w="7977" w:type="dxa"/>
          </w:tcPr>
          <w:p>
            <w:pPr>
              <w:pStyle w:val="TableParagraph"/>
              <w:tabs>
                <w:tab w:pos="7772" w:val="right" w:leader="dot"/>
              </w:tabs>
              <w:spacing w:before="64"/>
              <w:ind w:left="13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Frequency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Distribution of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Respondents by Education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Level…</w:t>
              <w:tab/>
              <w:t>93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5.2:</w:t>
            </w:r>
          </w:p>
        </w:tc>
        <w:tc>
          <w:tcPr>
            <w:tcW w:w="7977" w:type="dxa"/>
          </w:tcPr>
          <w:p>
            <w:pPr>
              <w:pStyle w:val="TableParagraph"/>
              <w:spacing w:before="63"/>
              <w:ind w:left="13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Frequency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Distribution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Respondents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by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Households’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Access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977" w:type="dxa"/>
          </w:tcPr>
          <w:p>
            <w:pPr>
              <w:pStyle w:val="TableParagraph"/>
              <w:tabs>
                <w:tab w:pos="7756" w:val="right" w:leader="dot"/>
              </w:tabs>
              <w:spacing w:before="64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Safe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Water</w:t>
              <w:tab/>
              <w:t>95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Figure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5.3:</w:t>
            </w:r>
          </w:p>
        </w:tc>
        <w:tc>
          <w:tcPr>
            <w:tcW w:w="7977" w:type="dxa"/>
          </w:tcPr>
          <w:p>
            <w:pPr>
              <w:pStyle w:val="TableParagraph"/>
              <w:spacing w:before="63"/>
              <w:ind w:left="13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Percentage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Distribution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Respondents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by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Households’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Access</w:t>
            </w:r>
          </w:p>
        </w:tc>
      </w:tr>
      <w:tr>
        <w:trPr>
          <w:trHeight w:val="340" w:hRule="atLeast"/>
        </w:trPr>
        <w:tc>
          <w:tcPr>
            <w:tcW w:w="1355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977" w:type="dxa"/>
          </w:tcPr>
          <w:p>
            <w:pPr>
              <w:pStyle w:val="TableParagraph"/>
              <w:tabs>
                <w:tab w:pos="7741" w:val="right" w:leader="dot"/>
              </w:tabs>
              <w:spacing w:line="256" w:lineRule="exact" w:before="64"/>
              <w:ind w:left="1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Electricity</w:t>
              <w:tab/>
              <w:t>95</w:t>
            </w:r>
          </w:p>
        </w:tc>
      </w:tr>
    </w:tbl>
    <w:p>
      <w:pPr>
        <w:spacing w:after="0" w:line="256" w:lineRule="exact"/>
        <w:jc w:val="left"/>
        <w:rPr>
          <w:rFonts w:ascii="Times New Roman"/>
          <w:sz w:val="24"/>
        </w:rPr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tabs>
          <w:tab w:pos="1600" w:val="left" w:leader="none"/>
        </w:tabs>
        <w:spacing w:before="74"/>
        <w:ind w:left="160"/>
      </w:pPr>
      <w:r>
        <w:rPr/>
        <w:t>Figure</w:t>
      </w:r>
      <w:r>
        <w:rPr>
          <w:spacing w:val="-3"/>
        </w:rPr>
        <w:t> </w:t>
      </w:r>
      <w:r>
        <w:rPr/>
        <w:t>5.4:</w:t>
        <w:tab/>
        <w:t>Percentage</w:t>
      </w:r>
      <w:r>
        <w:rPr>
          <w:spacing w:val="-4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Respondents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Households’</w:t>
      </w:r>
      <w:r>
        <w:rPr>
          <w:spacing w:val="-3"/>
        </w:rPr>
        <w:t> </w:t>
      </w:r>
      <w:r>
        <w:rPr/>
        <w:t>Access</w:t>
      </w:r>
    </w:p>
    <w:p>
      <w:pPr>
        <w:pStyle w:val="BodyText"/>
        <w:tabs>
          <w:tab w:pos="9214" w:val="right" w:leader="dot"/>
        </w:tabs>
        <w:spacing w:before="137"/>
        <w:ind w:left="1600"/>
      </w:pPr>
      <w:r>
        <w:rPr/>
        <w:t>to</w:t>
      </w:r>
      <w:r>
        <w:rPr>
          <w:spacing w:val="-1"/>
        </w:rPr>
        <w:t> </w:t>
      </w:r>
      <w:r>
        <w:rPr/>
        <w:t>Toilet Facility</w:t>
        <w:tab/>
        <w:t>96</w:t>
      </w:r>
    </w:p>
    <w:p>
      <w:pPr>
        <w:pStyle w:val="BodyText"/>
        <w:tabs>
          <w:tab w:pos="1600" w:val="left" w:leader="none"/>
          <w:tab w:pos="9271" w:val="right" w:leader="dot"/>
        </w:tabs>
        <w:spacing w:before="139"/>
        <w:ind w:left="160"/>
      </w:pPr>
      <w:r>
        <w:rPr/>
        <w:t>Figure</w:t>
      </w:r>
      <w:r>
        <w:rPr>
          <w:spacing w:val="-3"/>
        </w:rPr>
        <w:t> </w:t>
      </w:r>
      <w:r>
        <w:rPr/>
        <w:t>5.5:</w:t>
        <w:tab/>
        <w:t>Gini Estimates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all the</w:t>
      </w:r>
      <w:r>
        <w:rPr>
          <w:spacing w:val="-1"/>
        </w:rPr>
        <w:t> </w:t>
      </w:r>
      <w:r>
        <w:rPr/>
        <w:t>States in Nigeria</w:t>
      </w:r>
      <w:r>
        <w:rPr>
          <w:spacing w:val="-1"/>
        </w:rPr>
        <w:t> </w:t>
      </w:r>
      <w:r>
        <w:rPr/>
        <w:t>(2010-2019)</w:t>
        <w:tab/>
        <w:t>101</w:t>
      </w:r>
    </w:p>
    <w:p>
      <w:pPr>
        <w:pStyle w:val="BodyText"/>
        <w:tabs>
          <w:tab w:pos="1600" w:val="left" w:leader="none"/>
          <w:tab w:pos="9296" w:val="right" w:leader="dot"/>
        </w:tabs>
        <w:spacing w:before="137"/>
        <w:ind w:left="160"/>
      </w:pPr>
      <w:r>
        <w:rPr/>
        <w:t>Figure</w:t>
      </w:r>
      <w:r>
        <w:rPr>
          <w:spacing w:val="-3"/>
        </w:rPr>
        <w:t> </w:t>
      </w:r>
      <w:r>
        <w:rPr/>
        <w:t>5.6:</w:t>
        <w:tab/>
        <w:t>Gini Estimates across</w:t>
      </w:r>
      <w:r>
        <w:rPr>
          <w:spacing w:val="-1"/>
        </w:rPr>
        <w:t> </w:t>
      </w:r>
      <w:r>
        <w:rPr/>
        <w:t>Geo-Political zones</w:t>
      </w:r>
      <w:r>
        <w:rPr>
          <w:spacing w:val="-1"/>
        </w:rPr>
        <w:t> </w:t>
      </w:r>
      <w:r>
        <w:rPr/>
        <w:t>in Nigeria</w:t>
        <w:tab/>
        <w:t>102</w:t>
      </w:r>
    </w:p>
    <w:p>
      <w:pPr>
        <w:spacing w:after="0"/>
        <w:sectPr>
          <w:pgSz w:w="12240" w:h="15840"/>
          <w:pgMar w:header="0" w:footer="1015" w:top="1360" w:bottom="1200" w:left="1280" w:right="1280"/>
        </w:sectPr>
      </w:pPr>
    </w:p>
    <w:p>
      <w:pPr>
        <w:pStyle w:val="Heading4"/>
        <w:spacing w:before="79"/>
        <w:ind w:left="151" w:right="151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tabs>
          <w:tab w:pos="8946" w:val="left" w:leader="dot"/>
        </w:tabs>
        <w:spacing w:before="132"/>
        <w:ind w:left="160"/>
      </w:pPr>
      <w:r>
        <w:rPr/>
        <w:t>Appendix</w:t>
      </w:r>
      <w:r>
        <w:rPr>
          <w:spacing w:val="1"/>
        </w:rPr>
        <w:t> </w:t>
      </w:r>
      <w:r>
        <w:rPr/>
        <w:t>A:  </w:t>
      </w:r>
      <w:r>
        <w:rPr>
          <w:spacing w:val="10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Empirical Studies</w:t>
      </w:r>
      <w:r>
        <w:rPr>
          <w:spacing w:val="-2"/>
        </w:rPr>
        <w:t> </w:t>
      </w:r>
      <w:r>
        <w:rPr/>
        <w:t>Reviewed…</w:t>
        <w:tab/>
        <w:t>163</w:t>
      </w:r>
    </w:p>
    <w:p>
      <w:pPr>
        <w:pStyle w:val="BodyText"/>
        <w:tabs>
          <w:tab w:pos="1600" w:val="left" w:leader="none"/>
          <w:tab w:pos="8926" w:val="left" w:leader="dot"/>
        </w:tabs>
        <w:spacing w:before="139"/>
        <w:ind w:left="160"/>
      </w:pPr>
      <w:r>
        <w:rPr/>
        <w:t>Appendix B:</w:t>
        <w:tab/>
        <w:t>Estimation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Gini-Coefficient…</w:t>
        <w:tab/>
        <w:t>166</w:t>
      </w:r>
    </w:p>
    <w:p>
      <w:pPr>
        <w:pStyle w:val="BodyText"/>
        <w:tabs>
          <w:tab w:pos="1600" w:val="left" w:leader="none"/>
          <w:tab w:pos="8953" w:val="left" w:leader="dot"/>
        </w:tabs>
        <w:spacing w:before="137"/>
        <w:ind w:left="160"/>
      </w:pPr>
      <w:r>
        <w:rPr/>
        <w:t>Appendix</w:t>
      </w:r>
      <w:r>
        <w:rPr>
          <w:spacing w:val="1"/>
        </w:rPr>
        <w:t> </w:t>
      </w:r>
      <w:r>
        <w:rPr/>
        <w:t>C:</w:t>
        <w:tab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Variables and</w:t>
      </w:r>
      <w:r>
        <w:rPr>
          <w:spacing w:val="-1"/>
        </w:rPr>
        <w:t> </w:t>
      </w:r>
      <w:r>
        <w:rPr/>
        <w:t>Apriori</w:t>
      </w:r>
      <w:r>
        <w:rPr>
          <w:spacing w:val="-1"/>
        </w:rPr>
        <w:t> </w:t>
      </w:r>
      <w:r>
        <w:rPr/>
        <w:t>Expectations</w:t>
        <w:tab/>
        <w:t>167</w:t>
      </w:r>
    </w:p>
    <w:p>
      <w:pPr>
        <w:pStyle w:val="BodyText"/>
        <w:tabs>
          <w:tab w:pos="8960" w:val="left" w:leader="dot"/>
        </w:tabs>
        <w:spacing w:before="140"/>
        <w:ind w:left="160"/>
      </w:pPr>
      <w:r>
        <w:rPr/>
        <w:t>Appendix D:  </w:t>
      </w:r>
      <w:r>
        <w:rPr>
          <w:spacing w:val="9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Characteristics…</w:t>
        <w:tab/>
        <w:t>171</w:t>
      </w:r>
    </w:p>
    <w:p>
      <w:pPr>
        <w:pStyle w:val="BodyText"/>
        <w:tabs>
          <w:tab w:pos="1600" w:val="left" w:leader="none"/>
          <w:tab w:pos="8948" w:val="left" w:leader="dot"/>
        </w:tabs>
        <w:spacing w:before="136"/>
        <w:ind w:left="160"/>
      </w:pPr>
      <w:r>
        <w:rPr/>
        <w:t>Appendix</w:t>
      </w:r>
      <w:r>
        <w:rPr>
          <w:spacing w:val="1"/>
        </w:rPr>
        <w:t> </w:t>
      </w:r>
      <w:r>
        <w:rPr/>
        <w:t>E:</w:t>
        <w:tab/>
        <w:t>Sources</w:t>
      </w:r>
      <w:r>
        <w:rPr>
          <w:spacing w:val="-3"/>
        </w:rPr>
        <w:t> </w:t>
      </w:r>
      <w:r>
        <w:rPr/>
        <w:t>of Income</w:t>
      </w:r>
      <w:r>
        <w:rPr>
          <w:spacing w:val="-1"/>
        </w:rPr>
        <w:t> </w:t>
      </w:r>
      <w:r>
        <w:rPr/>
        <w:t>Disparities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  <w:tab/>
        <w:t>175</w:t>
      </w:r>
    </w:p>
    <w:p>
      <w:pPr>
        <w:pStyle w:val="BodyText"/>
        <w:tabs>
          <w:tab w:pos="1600" w:val="left" w:leader="none"/>
          <w:tab w:pos="8967" w:val="left" w:leader="dot"/>
        </w:tabs>
        <w:spacing w:before="140"/>
        <w:ind w:left="160"/>
      </w:pPr>
      <w:r>
        <w:rPr/>
        <w:t>Appendix F:</w:t>
        <w:tab/>
        <w:t>Household’s</w:t>
      </w:r>
      <w:r>
        <w:rPr>
          <w:spacing w:val="-2"/>
        </w:rPr>
        <w:t> </w:t>
      </w:r>
      <w:r>
        <w:rPr/>
        <w:t>Total Incomes</w:t>
      </w:r>
      <w:r>
        <w:rPr>
          <w:spacing w:val="-4"/>
        </w:rPr>
        <w:t> </w:t>
      </w:r>
      <w:r>
        <w:rPr/>
        <w:t>(Naira)…</w:t>
        <w:tab/>
        <w:t>176</w:t>
      </w:r>
    </w:p>
    <w:p>
      <w:pPr>
        <w:pStyle w:val="BodyText"/>
        <w:tabs>
          <w:tab w:pos="8969" w:val="left" w:leader="dot"/>
        </w:tabs>
        <w:spacing w:before="136"/>
        <w:ind w:left="160"/>
      </w:pPr>
      <w:r>
        <w:rPr/>
        <w:t>Appendix G:  </w:t>
      </w:r>
      <w:r>
        <w:rPr>
          <w:spacing w:val="8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NGHPS Waves…</w:t>
        <w:tab/>
        <w:t>187</w:t>
      </w:r>
    </w:p>
    <w:p>
      <w:pPr>
        <w:pStyle w:val="BodyText"/>
        <w:tabs>
          <w:tab w:pos="8948" w:val="left" w:leader="dot"/>
        </w:tabs>
        <w:spacing w:before="140"/>
        <w:ind w:left="160"/>
      </w:pPr>
      <w:r>
        <w:rPr/>
        <w:t>Appendix</w:t>
      </w:r>
      <w:r>
        <w:rPr>
          <w:spacing w:val="1"/>
        </w:rPr>
        <w:t> </w:t>
      </w:r>
      <w:r>
        <w:rPr/>
        <w:t>H:  </w:t>
      </w:r>
      <w:r>
        <w:rPr>
          <w:spacing w:val="9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Wave I</w:t>
        <w:tab/>
        <w:t>195</w:t>
      </w:r>
    </w:p>
    <w:p>
      <w:pPr>
        <w:pStyle w:val="BodyText"/>
        <w:tabs>
          <w:tab w:pos="1600" w:val="left" w:leader="none"/>
          <w:tab w:pos="8992" w:val="left" w:leader="dot"/>
        </w:tabs>
        <w:spacing w:before="137"/>
        <w:ind w:left="160"/>
      </w:pPr>
      <w:r>
        <w:rPr/>
        <w:t>Appendix</w:t>
      </w:r>
      <w:r>
        <w:rPr>
          <w:spacing w:val="1"/>
        </w:rPr>
        <w:t> </w:t>
      </w:r>
      <w:r>
        <w:rPr/>
        <w:t>I:</w:t>
        <w:tab/>
        <w:t>Estimation</w:t>
      </w:r>
      <w:r>
        <w:rPr>
          <w:spacing w:val="-1"/>
        </w:rPr>
        <w:t> </w:t>
      </w:r>
      <w:r>
        <w:rPr/>
        <w:t>Result for</w:t>
      </w:r>
      <w:r>
        <w:rPr>
          <w:spacing w:val="-2"/>
        </w:rPr>
        <w:t> </w:t>
      </w:r>
      <w:r>
        <w:rPr/>
        <w:t>Wave II</w:t>
        <w:tab/>
        <w:t>203</w:t>
      </w:r>
    </w:p>
    <w:p>
      <w:pPr>
        <w:pStyle w:val="BodyText"/>
        <w:tabs>
          <w:tab w:pos="1600" w:val="left" w:leader="none"/>
          <w:tab w:pos="9011" w:val="left" w:leader="dot"/>
        </w:tabs>
        <w:spacing w:before="139"/>
        <w:ind w:left="160"/>
      </w:pPr>
      <w:r>
        <w:rPr/>
        <w:t>Appendix</w:t>
      </w:r>
      <w:r>
        <w:rPr>
          <w:spacing w:val="-1"/>
        </w:rPr>
        <w:t> </w:t>
      </w:r>
      <w:r>
        <w:rPr/>
        <w:t>J:</w:t>
        <w:tab/>
        <w:t>Estimation</w:t>
      </w:r>
      <w:r>
        <w:rPr>
          <w:spacing w:val="-1"/>
        </w:rPr>
        <w:t> </w:t>
      </w:r>
      <w:r>
        <w:rPr/>
        <w:t>Result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Wave III</w:t>
        <w:tab/>
        <w:t>211</w:t>
      </w:r>
    </w:p>
    <w:p>
      <w:pPr>
        <w:pStyle w:val="BodyText"/>
        <w:tabs>
          <w:tab w:pos="9006" w:val="left" w:leader="dot"/>
        </w:tabs>
        <w:spacing w:before="137"/>
        <w:ind w:left="160"/>
      </w:pPr>
      <w:r>
        <w:rPr/>
        <w:t>Appendix K:  </w:t>
      </w:r>
      <w:r>
        <w:rPr>
          <w:spacing w:val="9"/>
        </w:rPr>
        <w:t> </w:t>
      </w:r>
      <w:r>
        <w:rPr/>
        <w:t>Income Inequality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HSB</w:t>
      </w:r>
      <w:r>
        <w:rPr>
          <w:spacing w:val="-3"/>
        </w:rPr>
        <w:t> </w:t>
      </w:r>
      <w:r>
        <w:rPr/>
        <w:t>(All</w:t>
      </w:r>
      <w:r>
        <w:rPr>
          <w:spacing w:val="2"/>
        </w:rPr>
        <w:t> </w:t>
      </w:r>
      <w:r>
        <w:rPr/>
        <w:t>Waves)</w:t>
        <w:tab/>
        <w:t>219</w:t>
      </w:r>
    </w:p>
    <w:p>
      <w:pPr>
        <w:pStyle w:val="BodyText"/>
        <w:tabs>
          <w:tab w:pos="1600" w:val="left" w:leader="none"/>
          <w:tab w:pos="8981" w:val="left" w:leader="dot"/>
        </w:tabs>
        <w:spacing w:before="139"/>
        <w:ind w:left="160"/>
      </w:pPr>
      <w:r>
        <w:rPr/>
        <w:t>Appendix</w:t>
      </w:r>
      <w:r>
        <w:rPr>
          <w:spacing w:val="1"/>
        </w:rPr>
        <w:t> </w:t>
      </w:r>
      <w:r>
        <w:rPr/>
        <w:t>L:</w:t>
        <w:tab/>
        <w:t>Income Inequality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HSB</w:t>
      </w:r>
      <w:r>
        <w:rPr>
          <w:spacing w:val="-2"/>
        </w:rPr>
        <w:t> </w:t>
      </w:r>
      <w:r>
        <w:rPr/>
        <w:t>Waves</w:t>
      </w:r>
      <w:r>
        <w:rPr>
          <w:spacing w:val="2"/>
        </w:rPr>
        <w:t> </w:t>
      </w:r>
      <w:r>
        <w:rPr/>
        <w:t>Estimation…</w:t>
        <w:tab/>
        <w:t>224</w:t>
      </w:r>
    </w:p>
    <w:p>
      <w:pPr>
        <w:spacing w:after="0"/>
        <w:sectPr>
          <w:pgSz w:w="12240" w:h="15840"/>
          <w:pgMar w:header="0" w:footer="1015" w:top="1360" w:bottom="1200" w:left="1280" w:right="1280"/>
        </w:sectPr>
      </w:pPr>
    </w:p>
    <w:p>
      <w:pPr>
        <w:pStyle w:val="Heading4"/>
        <w:spacing w:before="77"/>
        <w:ind w:left="151" w:right="150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ABBREVIATIONS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tabs>
          <w:tab w:pos="2320" w:val="left" w:leader="none"/>
        </w:tabs>
        <w:spacing w:line="276" w:lineRule="auto"/>
        <w:ind w:left="880" w:right="3904"/>
      </w:pPr>
      <w:r>
        <w:rPr/>
        <w:t>BPLM</w:t>
        <w:tab/>
        <w:t>Breusch-Pagan Lagrange Multiplier</w:t>
      </w:r>
      <w:r>
        <w:rPr>
          <w:spacing w:val="-57"/>
        </w:rPr>
        <w:t> </w:t>
      </w:r>
      <w:r>
        <w:rPr/>
        <w:t>FCT</w:t>
        <w:tab/>
        <w:t>Federal</w:t>
      </w:r>
      <w:r>
        <w:rPr>
          <w:spacing w:val="-2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Territory,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tabs>
          <w:tab w:pos="2320" w:val="left" w:leader="none"/>
        </w:tabs>
        <w:spacing w:line="275" w:lineRule="exact"/>
        <w:ind w:left="880"/>
      </w:pPr>
      <w:r>
        <w:rPr/>
        <w:t>FE</w:t>
        <w:tab/>
        <w:t>Fixed</w:t>
      </w:r>
      <w:r>
        <w:rPr>
          <w:spacing w:val="-3"/>
        </w:rPr>
        <w:t> </w:t>
      </w:r>
      <w:r>
        <w:rPr/>
        <w:t>Effect</w:t>
      </w:r>
    </w:p>
    <w:p>
      <w:pPr>
        <w:pStyle w:val="BodyText"/>
        <w:tabs>
          <w:tab w:pos="2320" w:val="left" w:leader="none"/>
        </w:tabs>
        <w:spacing w:before="43"/>
        <w:ind w:left="880"/>
      </w:pPr>
      <w:r>
        <w:rPr/>
        <w:t>GE</w:t>
        <w:tab/>
        <w:t>Generalized</w:t>
      </w:r>
      <w:r>
        <w:rPr>
          <w:spacing w:val="-1"/>
        </w:rPr>
        <w:t> </w:t>
      </w:r>
      <w:r>
        <w:rPr/>
        <w:t>Entropy</w:t>
      </w:r>
    </w:p>
    <w:p>
      <w:pPr>
        <w:pStyle w:val="BodyText"/>
        <w:tabs>
          <w:tab w:pos="2320" w:val="left" w:leader="none"/>
        </w:tabs>
        <w:spacing w:before="41"/>
        <w:ind w:left="880"/>
      </w:pPr>
      <w:r>
        <w:rPr/>
        <w:t>HDI</w:t>
        <w:tab/>
        <w:t>Human</w:t>
      </w:r>
      <w:r>
        <w:rPr>
          <w:spacing w:val="-3"/>
        </w:rPr>
        <w:t> </w:t>
      </w:r>
      <w:r>
        <w:rPr/>
        <w:t>Development Index</w:t>
      </w:r>
    </w:p>
    <w:p>
      <w:pPr>
        <w:pStyle w:val="BodyText"/>
        <w:tabs>
          <w:tab w:pos="2320" w:val="left" w:leader="none"/>
        </w:tabs>
        <w:spacing w:line="276" w:lineRule="auto" w:before="41"/>
        <w:ind w:left="880" w:right="207"/>
      </w:pPr>
      <w:r>
        <w:rPr/>
        <w:t>HIV/AIDS</w:t>
        <w:tab/>
        <w:t>Human</w:t>
      </w:r>
      <w:r>
        <w:rPr>
          <w:spacing w:val="-1"/>
        </w:rPr>
        <w:t> </w:t>
      </w:r>
      <w:r>
        <w:rPr/>
        <w:t>Immunodeficiency</w:t>
      </w:r>
      <w:r>
        <w:rPr>
          <w:spacing w:val="-5"/>
        </w:rPr>
        <w:t> </w:t>
      </w:r>
      <w:r>
        <w:rPr/>
        <w:t>Virus/Acquired</w:t>
      </w:r>
      <w:r>
        <w:rPr>
          <w:spacing w:val="-1"/>
        </w:rPr>
        <w:t> </w:t>
      </w:r>
      <w:r>
        <w:rPr/>
        <w:t>Immune</w:t>
      </w:r>
      <w:r>
        <w:rPr>
          <w:spacing w:val="-3"/>
        </w:rPr>
        <w:t> </w:t>
      </w:r>
      <w:r>
        <w:rPr/>
        <w:t>Deficiency</w:t>
      </w:r>
      <w:r>
        <w:rPr>
          <w:spacing w:val="-3"/>
        </w:rPr>
        <w:t> </w:t>
      </w:r>
      <w:r>
        <w:rPr/>
        <w:t>Syndrome</w:t>
      </w:r>
      <w:r>
        <w:rPr>
          <w:spacing w:val="-57"/>
        </w:rPr>
        <w:t> </w:t>
      </w:r>
      <w:r>
        <w:rPr/>
        <w:t>HSB</w:t>
        <w:tab/>
        <w:t>Health-Seeking</w:t>
      </w:r>
      <w:r>
        <w:rPr>
          <w:spacing w:val="-2"/>
        </w:rPr>
        <w:t> </w:t>
      </w:r>
      <w:r>
        <w:rPr/>
        <w:t>Behaviour</w:t>
      </w:r>
    </w:p>
    <w:p>
      <w:pPr>
        <w:pStyle w:val="BodyText"/>
        <w:tabs>
          <w:tab w:pos="2320" w:val="left" w:leader="none"/>
        </w:tabs>
        <w:spacing w:line="276" w:lineRule="auto" w:before="1"/>
        <w:ind w:left="880" w:right="3711"/>
      </w:pPr>
      <w:r>
        <w:rPr/>
        <w:t>IIAH</w:t>
        <w:tab/>
        <w:t>Income Inequality-Adjusted to Health</w:t>
      </w:r>
      <w:r>
        <w:rPr>
          <w:spacing w:val="-57"/>
        </w:rPr>
        <w:t> </w:t>
      </w:r>
      <w:r>
        <w:rPr/>
        <w:t>IIH</w:t>
        <w:tab/>
        <w:t>Income Inequality</w:t>
      </w:r>
      <w:r>
        <w:rPr>
          <w:spacing w:val="-3"/>
        </w:rPr>
        <w:t> </w:t>
      </w:r>
      <w:r>
        <w:rPr/>
        <w:t>Health</w:t>
      </w:r>
    </w:p>
    <w:p>
      <w:pPr>
        <w:pStyle w:val="BodyText"/>
        <w:tabs>
          <w:tab w:pos="2320" w:val="left" w:leader="none"/>
        </w:tabs>
        <w:spacing w:line="275" w:lineRule="exact"/>
        <w:ind w:left="880"/>
      </w:pPr>
      <w:r>
        <w:rPr/>
        <w:t>IMF</w:t>
        <w:tab/>
        <w:t>International</w:t>
      </w:r>
      <w:r>
        <w:rPr>
          <w:spacing w:val="-1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Fund</w:t>
      </w:r>
    </w:p>
    <w:p>
      <w:pPr>
        <w:pStyle w:val="BodyText"/>
        <w:tabs>
          <w:tab w:pos="2320" w:val="left" w:leader="none"/>
        </w:tabs>
        <w:spacing w:line="278" w:lineRule="auto" w:before="41"/>
        <w:ind w:left="880" w:right="4502"/>
      </w:pPr>
      <w:r>
        <w:rPr/>
        <w:t>NBS</w:t>
        <w:tab/>
        <w:t>National Bureau of Statistics</w:t>
      </w:r>
      <w:r>
        <w:rPr>
          <w:spacing w:val="1"/>
        </w:rPr>
        <w:t> </w:t>
      </w:r>
      <w:r>
        <w:rPr/>
        <w:t>NCDs</w:t>
        <w:tab/>
      </w:r>
      <w:r>
        <w:rPr>
          <w:spacing w:val="-1"/>
        </w:rPr>
        <w:t>Non-Communicable</w:t>
      </w:r>
      <w:r>
        <w:rPr>
          <w:spacing w:val="-5"/>
        </w:rPr>
        <w:t> </w:t>
      </w:r>
      <w:r>
        <w:rPr/>
        <w:t>Diseases</w:t>
      </w:r>
    </w:p>
    <w:p>
      <w:pPr>
        <w:pStyle w:val="BodyText"/>
        <w:tabs>
          <w:tab w:pos="2320" w:val="left" w:leader="none"/>
        </w:tabs>
        <w:spacing w:line="276" w:lineRule="auto"/>
        <w:ind w:left="880" w:right="3265"/>
      </w:pPr>
      <w:r>
        <w:rPr/>
        <w:t>NDHS</w:t>
        <w:tab/>
        <w:t>Nigeria Demographic and Health Survey</w:t>
      </w:r>
      <w:r>
        <w:rPr>
          <w:spacing w:val="1"/>
        </w:rPr>
        <w:t> </w:t>
      </w:r>
      <w:r>
        <w:rPr/>
        <w:t>NGHPS</w:t>
        <w:tab/>
        <w:t>Nigerian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Household</w:t>
      </w:r>
      <w:r>
        <w:rPr>
          <w:spacing w:val="-4"/>
        </w:rPr>
        <w:t> </w:t>
      </w:r>
      <w:r>
        <w:rPr/>
        <w:t>Panel</w:t>
      </w:r>
      <w:r>
        <w:rPr>
          <w:spacing w:val="-4"/>
        </w:rPr>
        <w:t> </w:t>
      </w:r>
      <w:r>
        <w:rPr/>
        <w:t>Survey</w:t>
      </w:r>
    </w:p>
    <w:p>
      <w:pPr>
        <w:pStyle w:val="BodyText"/>
        <w:tabs>
          <w:tab w:pos="2320" w:val="left" w:leader="none"/>
        </w:tabs>
        <w:spacing w:line="278" w:lineRule="auto"/>
        <w:ind w:left="880" w:right="1646"/>
      </w:pPr>
      <w:r>
        <w:rPr/>
        <w:t>OECD</w:t>
        <w:tab/>
        <w:t>Organization for Economic Co-operation and Development</w:t>
      </w:r>
      <w:r>
        <w:rPr>
          <w:spacing w:val="-58"/>
        </w:rPr>
        <w:t> </w:t>
      </w:r>
      <w:r>
        <w:rPr/>
        <w:t>POLS</w:t>
        <w:tab/>
        <w:t>Pooled</w:t>
      </w:r>
      <w:r>
        <w:rPr>
          <w:spacing w:val="-1"/>
        </w:rPr>
        <w:t> </w:t>
      </w:r>
      <w:r>
        <w:rPr/>
        <w:t>Ordinary</w:t>
      </w:r>
      <w:r>
        <w:rPr>
          <w:spacing w:val="-3"/>
        </w:rPr>
        <w:t> </w:t>
      </w:r>
      <w:r>
        <w:rPr/>
        <w:t>Logistic</w:t>
      </w:r>
    </w:p>
    <w:p>
      <w:pPr>
        <w:pStyle w:val="BodyText"/>
        <w:tabs>
          <w:tab w:pos="2320" w:val="left" w:leader="none"/>
        </w:tabs>
        <w:spacing w:line="272" w:lineRule="exact"/>
        <w:ind w:left="880"/>
      </w:pPr>
      <w:r>
        <w:rPr/>
        <w:t>RE</w:t>
        <w:tab/>
        <w:t>Random</w:t>
      </w:r>
      <w:r>
        <w:rPr>
          <w:spacing w:val="-3"/>
        </w:rPr>
        <w:t> </w:t>
      </w:r>
      <w:r>
        <w:rPr/>
        <w:t>Effect</w:t>
      </w:r>
    </w:p>
    <w:p>
      <w:pPr>
        <w:pStyle w:val="BodyText"/>
        <w:tabs>
          <w:tab w:pos="2320" w:val="left" w:leader="none"/>
        </w:tabs>
        <w:spacing w:line="276" w:lineRule="auto" w:before="35"/>
        <w:ind w:left="880" w:right="4278"/>
      </w:pPr>
      <w:r>
        <w:rPr/>
        <w:t>SDGs</w:t>
        <w:tab/>
        <w:t>Sustainable Development Goals</w:t>
      </w:r>
      <w:r>
        <w:rPr>
          <w:spacing w:val="-58"/>
        </w:rPr>
        <w:t> </w:t>
      </w:r>
      <w:r>
        <w:rPr/>
        <w:t>SSA</w:t>
        <w:tab/>
        <w:t>Sub-Saharan</w:t>
      </w:r>
      <w:r>
        <w:rPr>
          <w:spacing w:val="-1"/>
        </w:rPr>
        <w:t> </w:t>
      </w:r>
      <w:r>
        <w:rPr/>
        <w:t>Africa</w:t>
      </w:r>
    </w:p>
    <w:p>
      <w:pPr>
        <w:pStyle w:val="BodyText"/>
        <w:tabs>
          <w:tab w:pos="2320" w:val="left" w:leader="none"/>
        </w:tabs>
        <w:spacing w:line="276" w:lineRule="auto" w:before="2"/>
        <w:ind w:left="880" w:right="2684"/>
      </w:pPr>
      <w:r>
        <w:rPr/>
        <w:t>SWIID</w:t>
        <w:tab/>
        <w:t>Standardized</w:t>
      </w:r>
      <w:r>
        <w:rPr>
          <w:spacing w:val="-3"/>
        </w:rPr>
        <w:t> </w:t>
      </w:r>
      <w:r>
        <w:rPr/>
        <w:t>World</w:t>
      </w:r>
      <w:r>
        <w:rPr>
          <w:spacing w:val="-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</w:t>
      </w:r>
      <w:r>
        <w:rPr>
          <w:spacing w:val="-7"/>
        </w:rPr>
        <w:t> </w:t>
      </w:r>
      <w:r>
        <w:rPr/>
        <w:t>Database</w:t>
      </w:r>
      <w:r>
        <w:rPr>
          <w:spacing w:val="-57"/>
        </w:rPr>
        <w:t> </w:t>
      </w:r>
      <w:r>
        <w:rPr/>
        <w:t>UN</w:t>
        <w:tab/>
        <w:t>United</w:t>
      </w:r>
      <w:r>
        <w:rPr>
          <w:spacing w:val="-1"/>
        </w:rPr>
        <w:t> </w:t>
      </w:r>
      <w:r>
        <w:rPr/>
        <w:t>Nations</w:t>
      </w:r>
    </w:p>
    <w:p>
      <w:pPr>
        <w:pStyle w:val="BodyText"/>
        <w:tabs>
          <w:tab w:pos="2320" w:val="left" w:leader="none"/>
        </w:tabs>
        <w:spacing w:line="275" w:lineRule="exact"/>
        <w:ind w:left="880"/>
      </w:pPr>
      <w:r>
        <w:rPr/>
        <w:t>WHO</w:t>
        <w:tab/>
        <w:t>World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Organization</w:t>
      </w:r>
    </w:p>
    <w:p>
      <w:pPr>
        <w:spacing w:after="0" w:line="275" w:lineRule="exact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tabs>
          <w:tab w:pos="880" w:val="left" w:leader="none"/>
        </w:tabs>
        <w:spacing w:before="0"/>
        <w:ind w:left="160" w:right="0" w:firstLine="0"/>
        <w:jc w:val="left"/>
        <w:rPr>
          <w:b/>
          <w:sz w:val="24"/>
        </w:rPr>
      </w:pPr>
      <w:bookmarkStart w:name="_TOC_250071" w:id="6"/>
      <w:r>
        <w:rPr>
          <w:b/>
          <w:sz w:val="24"/>
        </w:rPr>
        <w:t>1.1</w:t>
        <w:tab/>
        <w:t>Background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bookmarkEnd w:id="6"/>
      <w:r>
        <w:rPr>
          <w:b/>
          <w:sz w:val="24"/>
        </w:rPr>
        <w:t>Study</w:t>
      </w:r>
    </w:p>
    <w:p>
      <w:pPr>
        <w:pStyle w:val="Heading1"/>
        <w:spacing w:line="360" w:lineRule="auto"/>
        <w:ind w:left="160" w:right="3699" w:firstLine="98"/>
        <w:jc w:val="left"/>
      </w:pPr>
      <w:r>
        <w:rPr>
          <w:b w:val="0"/>
        </w:rPr>
        <w:br w:type="column"/>
      </w: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spacing w:after="0" w:line="360" w:lineRule="auto"/>
        <w:jc w:val="left"/>
        <w:sectPr>
          <w:footerReference w:type="default" r:id="rId6"/>
          <w:pgSz w:w="12240" w:h="15840"/>
          <w:pgMar w:footer="1015" w:header="0" w:top="1360" w:bottom="1200" w:left="1280" w:right="1280"/>
          <w:pgNumType w:start="1"/>
          <w:cols w:num="2" w:equalWidth="0">
            <w:col w:w="3487" w:space="73"/>
            <w:col w:w="6120"/>
          </w:cols>
        </w:sectPr>
      </w:pPr>
    </w:p>
    <w:p>
      <w:pPr>
        <w:pStyle w:val="BodyText"/>
        <w:spacing w:line="360" w:lineRule="auto" w:before="135"/>
        <w:ind w:left="160" w:right="152"/>
        <w:jc w:val="both"/>
      </w:pPr>
      <w:r>
        <w:rPr/>
        <w:t>The</w:t>
      </w:r>
      <w:r>
        <w:rPr>
          <w:spacing w:val="-9"/>
        </w:rPr>
        <w:t> </w:t>
      </w:r>
      <w:r>
        <w:rPr/>
        <w:t>prevalence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poor</w:t>
      </w:r>
      <w:r>
        <w:rPr>
          <w:spacing w:val="-6"/>
        </w:rPr>
        <w:t> </w:t>
      </w:r>
      <w:r>
        <w:rPr/>
        <w:t>health</w:t>
      </w:r>
      <w:r>
        <w:rPr>
          <w:spacing w:val="-8"/>
        </w:rPr>
        <w:t> </w:t>
      </w:r>
      <w:r>
        <w:rPr/>
        <w:t>outcomes</w:t>
      </w:r>
      <w:r>
        <w:rPr>
          <w:vertAlign w:val="superscript"/>
        </w:rPr>
        <w:t>1</w:t>
      </w:r>
      <w:r>
        <w:rPr>
          <w:spacing w:val="-6"/>
          <w:vertAlign w:val="baseline"/>
        </w:rPr>
        <w:t> </w:t>
      </w:r>
      <w:r>
        <w:rPr>
          <w:vertAlign w:val="baseline"/>
        </w:rPr>
        <w:t>particularly</w:t>
      </w:r>
      <w:r>
        <w:rPr>
          <w:spacing w:val="-12"/>
          <w:vertAlign w:val="baseline"/>
        </w:rPr>
        <w:t> </w:t>
      </w:r>
      <w:r>
        <w:rPr>
          <w:vertAlign w:val="baseline"/>
        </w:rPr>
        <w:t>from</w:t>
      </w:r>
      <w:r>
        <w:rPr>
          <w:spacing w:val="-7"/>
          <w:vertAlign w:val="baseline"/>
        </w:rPr>
        <w:t> </w:t>
      </w:r>
      <w:r>
        <w:rPr>
          <w:vertAlign w:val="baseline"/>
        </w:rPr>
        <w:t>non-communicable</w:t>
      </w:r>
      <w:r>
        <w:rPr>
          <w:spacing w:val="-7"/>
          <w:vertAlign w:val="baseline"/>
        </w:rPr>
        <w:t> </w:t>
      </w:r>
      <w:r>
        <w:rPr>
          <w:vertAlign w:val="baseline"/>
        </w:rPr>
        <w:t>diseases</w:t>
      </w:r>
      <w:r>
        <w:rPr>
          <w:spacing w:val="-5"/>
          <w:vertAlign w:val="baseline"/>
        </w:rPr>
        <w:t> </w:t>
      </w:r>
      <w:r>
        <w:rPr>
          <w:vertAlign w:val="baseline"/>
        </w:rPr>
        <w:t>(NCDs)</w:t>
      </w:r>
      <w:r>
        <w:rPr>
          <w:spacing w:val="-6"/>
          <w:vertAlign w:val="baseline"/>
        </w:rPr>
        <w:t> </w:t>
      </w:r>
      <w:r>
        <w:rPr>
          <w:vertAlign w:val="baseline"/>
        </w:rPr>
        <w:t>is</w:t>
      </w:r>
      <w:r>
        <w:rPr>
          <w:spacing w:val="-58"/>
          <w:vertAlign w:val="baseline"/>
        </w:rPr>
        <w:t> </w:t>
      </w:r>
      <w:r>
        <w:rPr>
          <w:vertAlign w:val="baseline"/>
        </w:rPr>
        <w:t>on the disastrous rise among the populations of both developed and developing nations (World</w:t>
      </w:r>
      <w:r>
        <w:rPr>
          <w:spacing w:val="1"/>
          <w:vertAlign w:val="baseline"/>
        </w:rPr>
        <w:t> </w:t>
      </w:r>
      <w:r>
        <w:rPr>
          <w:vertAlign w:val="baseline"/>
        </w:rPr>
        <w:t>Bank, 2019; United Nations Children’s Fund, UNICEF, 2019). At the global level, NCDs make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-9"/>
          <w:vertAlign w:val="baseline"/>
        </w:rPr>
        <w:t> </w:t>
      </w:r>
      <w:r>
        <w:rPr>
          <w:vertAlign w:val="baseline"/>
        </w:rPr>
        <w:t>4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10</w:t>
      </w:r>
      <w:r>
        <w:rPr>
          <w:spacing w:val="-8"/>
          <w:vertAlign w:val="baseline"/>
        </w:rPr>
        <w:t> </w:t>
      </w:r>
      <w:r>
        <w:rPr>
          <w:vertAlign w:val="baseline"/>
        </w:rPr>
        <w:t>leading</w:t>
      </w:r>
      <w:r>
        <w:rPr>
          <w:spacing w:val="-7"/>
          <w:vertAlign w:val="baseline"/>
        </w:rPr>
        <w:t> </w:t>
      </w:r>
      <w:r>
        <w:rPr>
          <w:vertAlign w:val="baseline"/>
        </w:rPr>
        <w:t>causes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chronic</w:t>
      </w:r>
      <w:r>
        <w:rPr>
          <w:spacing w:val="-9"/>
          <w:vertAlign w:val="baseline"/>
        </w:rPr>
        <w:t> </w:t>
      </w:r>
      <w:r>
        <w:rPr>
          <w:vertAlign w:val="baseline"/>
        </w:rPr>
        <w:t>illnesses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deaths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2000.</w:t>
      </w:r>
      <w:r>
        <w:rPr>
          <w:spacing w:val="-8"/>
          <w:vertAlign w:val="baseline"/>
        </w:rPr>
        <w:t> </w:t>
      </w:r>
      <w:r>
        <w:rPr>
          <w:vertAlign w:val="baseline"/>
        </w:rPr>
        <w:t>This</w:t>
      </w:r>
      <w:r>
        <w:rPr>
          <w:spacing w:val="-7"/>
          <w:vertAlign w:val="baseline"/>
        </w:rPr>
        <w:t> </w:t>
      </w:r>
      <w:r>
        <w:rPr>
          <w:vertAlign w:val="baseline"/>
        </w:rPr>
        <w:t>issue</w:t>
      </w:r>
      <w:r>
        <w:rPr>
          <w:spacing w:val="-9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-8"/>
          <w:vertAlign w:val="baseline"/>
        </w:rPr>
        <w:t> </w:t>
      </w:r>
      <w:r>
        <w:rPr>
          <w:vertAlign w:val="baseline"/>
        </w:rPr>
        <w:t>speedily</w:t>
      </w:r>
      <w:r>
        <w:rPr>
          <w:spacing w:val="-57"/>
          <w:vertAlign w:val="baseline"/>
        </w:rPr>
        <w:t> </w:t>
      </w:r>
      <w:r>
        <w:rPr>
          <w:vertAlign w:val="baseline"/>
        </w:rPr>
        <w:t>to 7 of the world’s top 10 causes of poor health outcomes in 2019 (World Health Organization,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WHO, 2020). The statistics clearly suggest the urgency and need for an intensified global focus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9"/>
          <w:vertAlign w:val="baseline"/>
        </w:rPr>
        <w:t> </w:t>
      </w:r>
      <w:r>
        <w:rPr>
          <w:vertAlign w:val="baseline"/>
        </w:rPr>
        <w:t>preventing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treating</w:t>
      </w:r>
      <w:r>
        <w:rPr>
          <w:spacing w:val="-10"/>
          <w:vertAlign w:val="baseline"/>
        </w:rPr>
        <w:t> </w:t>
      </w:r>
      <w:r>
        <w:rPr>
          <w:vertAlign w:val="baseline"/>
        </w:rPr>
        <w:t>NCDs</w:t>
      </w:r>
      <w:r>
        <w:rPr>
          <w:spacing w:val="-9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all</w:t>
      </w:r>
      <w:r>
        <w:rPr>
          <w:spacing w:val="-7"/>
          <w:vertAlign w:val="baseline"/>
        </w:rPr>
        <w:t> </w:t>
      </w:r>
      <w:r>
        <w:rPr>
          <w:vertAlign w:val="baseline"/>
        </w:rPr>
        <w:t>regions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world,</w:t>
      </w:r>
      <w:r>
        <w:rPr>
          <w:spacing w:val="-7"/>
          <w:vertAlign w:val="baseline"/>
        </w:rPr>
        <w:t> </w:t>
      </w:r>
      <w:r>
        <w:rPr>
          <w:vertAlign w:val="baseline"/>
        </w:rPr>
        <w:t>as</w:t>
      </w:r>
      <w:r>
        <w:rPr>
          <w:spacing w:val="-8"/>
          <w:vertAlign w:val="baseline"/>
        </w:rPr>
        <w:t> </w:t>
      </w:r>
      <w:r>
        <w:rPr>
          <w:vertAlign w:val="baseline"/>
        </w:rPr>
        <w:t>set</w:t>
      </w:r>
      <w:r>
        <w:rPr>
          <w:spacing w:val="-7"/>
          <w:vertAlign w:val="baseline"/>
        </w:rPr>
        <w:t> </w:t>
      </w:r>
      <w:r>
        <w:rPr>
          <w:vertAlign w:val="baseline"/>
        </w:rPr>
        <w:t>out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agenda</w:t>
      </w:r>
      <w:r>
        <w:rPr>
          <w:spacing w:val="-7"/>
          <w:vertAlign w:val="baseline"/>
        </w:rPr>
        <w:t> </w:t>
      </w:r>
      <w:r>
        <w:rPr>
          <w:vertAlign w:val="baseline"/>
        </w:rPr>
        <w:t>for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United</w:t>
      </w:r>
      <w:r>
        <w:rPr>
          <w:spacing w:val="-57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Sustainable Development</w:t>
      </w:r>
      <w:r>
        <w:rPr>
          <w:spacing w:val="-1"/>
          <w:vertAlign w:val="baseline"/>
        </w:rPr>
        <w:t> </w:t>
      </w:r>
      <w:r>
        <w:rPr>
          <w:vertAlign w:val="baseline"/>
        </w:rPr>
        <w:t>Goal (SDG)</w:t>
      </w:r>
      <w:r>
        <w:rPr>
          <w:spacing w:val="-1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achieving</w:t>
      </w:r>
      <w:r>
        <w:rPr>
          <w:spacing w:val="-1"/>
          <w:vertAlign w:val="baseline"/>
        </w:rPr>
        <w:t> </w:t>
      </w:r>
      <w:r>
        <w:rPr>
          <w:vertAlign w:val="baseline"/>
        </w:rPr>
        <w:t>good</w:t>
      </w:r>
      <w:r>
        <w:rPr>
          <w:spacing w:val="-1"/>
          <w:vertAlign w:val="baseline"/>
        </w:rPr>
        <w:t> </w:t>
      </w:r>
      <w:r>
        <w:rPr>
          <w:vertAlign w:val="baseline"/>
        </w:rPr>
        <w:t>health for</w:t>
      </w:r>
      <w:r>
        <w:rPr>
          <w:spacing w:val="-3"/>
          <w:vertAlign w:val="baseline"/>
        </w:rPr>
        <w:t> </w:t>
      </w:r>
      <w:r>
        <w:rPr>
          <w:vertAlign w:val="baseline"/>
        </w:rPr>
        <w:t>all at</w:t>
      </w:r>
      <w:r>
        <w:rPr>
          <w:spacing w:val="-1"/>
          <w:vertAlign w:val="baseline"/>
        </w:rPr>
        <w:t> </w:t>
      </w:r>
      <w:r>
        <w:rPr>
          <w:vertAlign w:val="baseline"/>
        </w:rPr>
        <w:t>all ages.</w:t>
      </w:r>
    </w:p>
    <w:p>
      <w:pPr>
        <w:pStyle w:val="BodyText"/>
        <w:spacing w:line="360" w:lineRule="auto" w:before="183"/>
        <w:ind w:left="160" w:right="153"/>
        <w:jc w:val="both"/>
      </w:pPr>
      <w:r>
        <w:rPr/>
        <w:t>It is worthy of note that prior to the 1990s, infectious diseases such as, malaria, yellow fever,</w:t>
      </w:r>
      <w:r>
        <w:rPr>
          <w:spacing w:val="1"/>
        </w:rPr>
        <w:t> </w:t>
      </w:r>
      <w:r>
        <w:rPr/>
        <w:t>tuberculosis,</w:t>
      </w:r>
      <w:r>
        <w:rPr>
          <w:spacing w:val="-5"/>
        </w:rPr>
        <w:t> </w:t>
      </w:r>
      <w:r>
        <w:rPr/>
        <w:t>pneumonia,</w:t>
      </w:r>
      <w:r>
        <w:rPr>
          <w:spacing w:val="-4"/>
        </w:rPr>
        <w:t> </w:t>
      </w:r>
      <w:r>
        <w:rPr/>
        <w:t>cholera,</w:t>
      </w:r>
      <w:r>
        <w:rPr>
          <w:spacing w:val="-5"/>
        </w:rPr>
        <w:t> </w:t>
      </w:r>
      <w:r>
        <w:rPr/>
        <w:t>measles,</w:t>
      </w:r>
      <w:r>
        <w:rPr>
          <w:spacing w:val="-4"/>
        </w:rPr>
        <w:t> </w:t>
      </w:r>
      <w:r>
        <w:rPr/>
        <w:t>polio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sexually</w:t>
      </w:r>
      <w:r>
        <w:rPr>
          <w:spacing w:val="-11"/>
        </w:rPr>
        <w:t> </w:t>
      </w:r>
      <w:r>
        <w:rPr/>
        <w:t>transmitted</w:t>
      </w:r>
      <w:r>
        <w:rPr>
          <w:spacing w:val="-5"/>
        </w:rPr>
        <w:t> </w:t>
      </w:r>
      <w:r>
        <w:rPr/>
        <w:t>diseases,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main</w:t>
      </w:r>
      <w:r>
        <w:rPr>
          <w:spacing w:val="-58"/>
        </w:rPr>
        <w:t> </w:t>
      </w:r>
      <w:r>
        <w:rPr/>
        <w:t>causes of human ill-health and deaths, especially in Africa (Gubler, 1998:442; WHO, 2017). The</w:t>
      </w:r>
      <w:r>
        <w:rPr>
          <w:spacing w:val="-57"/>
        </w:rPr>
        <w:t> </w:t>
      </w:r>
      <w:r>
        <w:rPr/>
        <w:t>discovery, effective use of insecticides, control and prevention programs in the last three decades</w:t>
      </w:r>
      <w:r>
        <w:rPr>
          <w:spacing w:val="-57"/>
        </w:rPr>
        <w:t> </w:t>
      </w:r>
      <w:r>
        <w:rPr/>
        <w:t>contributed significantly to reducing the prevalence of infectious diseases globally. For instance,</w:t>
      </w:r>
      <w:r>
        <w:rPr>
          <w:spacing w:val="1"/>
        </w:rPr>
        <w:t> </w:t>
      </w:r>
      <w:r>
        <w:rPr/>
        <w:t>pneumonia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bronchitis</w:t>
      </w:r>
      <w:r>
        <w:rPr>
          <w:spacing w:val="-7"/>
        </w:rPr>
        <w:t> </w:t>
      </w:r>
      <w:r>
        <w:rPr/>
        <w:t>were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deadliest</w:t>
      </w:r>
      <w:r>
        <w:rPr>
          <w:spacing w:val="-8"/>
        </w:rPr>
        <w:t> </w:t>
      </w:r>
      <w:r>
        <w:rPr/>
        <w:t>group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communicable</w:t>
      </w:r>
      <w:r>
        <w:rPr>
          <w:spacing w:val="-9"/>
        </w:rPr>
        <w:t> </w:t>
      </w:r>
      <w:r>
        <w:rPr/>
        <w:t>diseases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together</w:t>
      </w:r>
      <w:r>
        <w:rPr>
          <w:spacing w:val="-9"/>
        </w:rPr>
        <w:t> </w:t>
      </w:r>
      <w:r>
        <w:rPr/>
        <w:t>ranked</w:t>
      </w:r>
      <w:r>
        <w:rPr>
          <w:spacing w:val="-58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-9"/>
          <w:vertAlign w:val="baseline"/>
        </w:rPr>
        <w:t> </w:t>
      </w:r>
      <w:r>
        <w:rPr>
          <w:vertAlign w:val="baseline"/>
        </w:rPr>
        <w:t>leading</w:t>
      </w:r>
      <w:r>
        <w:rPr>
          <w:spacing w:val="-13"/>
          <w:vertAlign w:val="baseline"/>
        </w:rPr>
        <w:t> </w:t>
      </w:r>
      <w:r>
        <w:rPr>
          <w:vertAlign w:val="baseline"/>
        </w:rPr>
        <w:t>causes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poor</w:t>
      </w:r>
      <w:r>
        <w:rPr>
          <w:spacing w:val="-11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11"/>
          <w:vertAlign w:val="baseline"/>
        </w:rPr>
        <w:t> </w:t>
      </w:r>
      <w:r>
        <w:rPr>
          <w:vertAlign w:val="baseline"/>
        </w:rPr>
        <w:t>outcomes</w:t>
      </w:r>
      <w:r>
        <w:rPr>
          <w:spacing w:val="-10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2000.</w:t>
      </w:r>
      <w:r>
        <w:rPr>
          <w:spacing w:val="-10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-12"/>
          <w:vertAlign w:val="baseline"/>
        </w:rPr>
        <w:t> </w:t>
      </w:r>
      <w:r>
        <w:rPr>
          <w:vertAlign w:val="baseline"/>
        </w:rPr>
        <w:t>it</w:t>
      </w:r>
      <w:r>
        <w:rPr>
          <w:spacing w:val="-9"/>
          <w:vertAlign w:val="baseline"/>
        </w:rPr>
        <w:t> </w:t>
      </w:r>
      <w:r>
        <w:rPr>
          <w:vertAlign w:val="baseline"/>
        </w:rPr>
        <w:t>claimed</w:t>
      </w:r>
      <w:r>
        <w:rPr>
          <w:spacing w:val="-11"/>
          <w:vertAlign w:val="baseline"/>
        </w:rPr>
        <w:t> </w:t>
      </w:r>
      <w:r>
        <w:rPr>
          <w:vertAlign w:val="baseline"/>
        </w:rPr>
        <w:t>fewer</w:t>
      </w:r>
      <w:r>
        <w:rPr>
          <w:spacing w:val="-11"/>
          <w:vertAlign w:val="baseline"/>
        </w:rPr>
        <w:t> </w:t>
      </w:r>
      <w:r>
        <w:rPr>
          <w:vertAlign w:val="baseline"/>
        </w:rPr>
        <w:t>lives</w:t>
      </w:r>
      <w:r>
        <w:rPr>
          <w:spacing w:val="-11"/>
          <w:vertAlign w:val="baseline"/>
        </w:rPr>
        <w:t> </w:t>
      </w:r>
      <w:r>
        <w:rPr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vertAlign w:val="baseline"/>
        </w:rPr>
        <w:t>2019,</w:t>
      </w:r>
      <w:r>
        <w:rPr>
          <w:spacing w:val="-58"/>
          <w:vertAlign w:val="baseline"/>
        </w:rPr>
        <w:t> </w:t>
      </w:r>
      <w:r>
        <w:rPr>
          <w:vertAlign w:val="baseline"/>
        </w:rPr>
        <w:t>with the global number of deaths decreasing by nearly half a million (WHO, 2020). Tuberculosis</w:t>
      </w:r>
      <w:r>
        <w:rPr>
          <w:spacing w:val="-57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also</w:t>
      </w:r>
      <w:r>
        <w:rPr>
          <w:spacing w:val="-2"/>
          <w:vertAlign w:val="baseline"/>
        </w:rPr>
        <w:t> </w:t>
      </w:r>
      <w:r>
        <w:rPr>
          <w:vertAlign w:val="baseline"/>
        </w:rPr>
        <w:t>no</w:t>
      </w:r>
      <w:r>
        <w:rPr>
          <w:spacing w:val="-4"/>
          <w:vertAlign w:val="baseline"/>
        </w:rPr>
        <w:t> </w:t>
      </w:r>
      <w:r>
        <w:rPr>
          <w:vertAlign w:val="baseline"/>
        </w:rPr>
        <w:t>longer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the global</w:t>
      </w:r>
      <w:r>
        <w:rPr>
          <w:spacing w:val="-2"/>
          <w:vertAlign w:val="baseline"/>
        </w:rPr>
        <w:t> </w:t>
      </w:r>
      <w:r>
        <w:rPr>
          <w:vertAlign w:val="baseline"/>
        </w:rPr>
        <w:t>top</w:t>
      </w:r>
      <w:r>
        <w:rPr>
          <w:spacing w:val="-3"/>
          <w:vertAlign w:val="baseline"/>
        </w:rPr>
        <w:t> </w:t>
      </w:r>
      <w:r>
        <w:rPr>
          <w:vertAlign w:val="baseline"/>
        </w:rPr>
        <w:t>10</w:t>
      </w:r>
      <w:r>
        <w:rPr>
          <w:spacing w:val="-3"/>
          <w:vertAlign w:val="baseline"/>
        </w:rPr>
        <w:t> </w:t>
      </w:r>
      <w:r>
        <w:rPr>
          <w:vertAlign w:val="baseline"/>
        </w:rPr>
        <w:t>causes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death, as</w:t>
      </w:r>
      <w:r>
        <w:rPr>
          <w:spacing w:val="-4"/>
          <w:vertAlign w:val="baseline"/>
        </w:rPr>
        <w:t> </w:t>
      </w:r>
      <w:r>
        <w:rPr>
          <w:vertAlign w:val="baseline"/>
        </w:rPr>
        <w:t>it</w:t>
      </w:r>
      <w:r>
        <w:rPr>
          <w:spacing w:val="-2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-4"/>
          <w:vertAlign w:val="baseline"/>
        </w:rPr>
        <w:t> </w:t>
      </w:r>
      <w:r>
        <w:rPr>
          <w:vertAlign w:val="baseline"/>
        </w:rPr>
        <w:t>from</w:t>
      </w:r>
      <w:r>
        <w:rPr>
          <w:spacing w:val="-2"/>
          <w:vertAlign w:val="baseline"/>
        </w:rPr>
        <w:t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place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2000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13</w:t>
      </w:r>
      <w:r>
        <w:rPr>
          <w:vertAlign w:val="superscript"/>
        </w:rPr>
        <w:t>th</w:t>
      </w:r>
      <w:r>
        <w:rPr>
          <w:spacing w:val="-58"/>
          <w:vertAlign w:val="baseline"/>
        </w:rPr>
        <w:t> </w:t>
      </w:r>
      <w:r>
        <w:rPr>
          <w:vertAlign w:val="baseline"/>
        </w:rPr>
        <w:t>in 2019, with a 30% reduction in global’s poor health outcomes. Again, HIV/AIDs (an infectious</w:t>
      </w:r>
      <w:r>
        <w:rPr>
          <w:spacing w:val="-57"/>
          <w:vertAlign w:val="baseline"/>
        </w:rPr>
        <w:t> </w:t>
      </w:r>
      <w:r>
        <w:rPr>
          <w:vertAlign w:val="baseline"/>
        </w:rPr>
        <w:t>diseases)</w:t>
      </w:r>
      <w:r>
        <w:rPr>
          <w:spacing w:val="10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not</w:t>
      </w:r>
      <w:r>
        <w:rPr>
          <w:spacing w:val="13"/>
          <w:vertAlign w:val="baseline"/>
        </w:rPr>
        <w:t> </w:t>
      </w:r>
      <w:r>
        <w:rPr>
          <w:vertAlign w:val="baseline"/>
        </w:rPr>
        <w:t>among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world’s</w:t>
      </w:r>
      <w:r>
        <w:rPr>
          <w:spacing w:val="10"/>
          <w:vertAlign w:val="baseline"/>
        </w:rPr>
        <w:t> </w:t>
      </w:r>
      <w:r>
        <w:rPr>
          <w:vertAlign w:val="baseline"/>
        </w:rPr>
        <w:t>top</w:t>
      </w:r>
      <w:r>
        <w:rPr>
          <w:spacing w:val="12"/>
          <w:vertAlign w:val="baseline"/>
        </w:rPr>
        <w:t> </w:t>
      </w:r>
      <w:r>
        <w:rPr>
          <w:vertAlign w:val="baseline"/>
        </w:rPr>
        <w:t>10</w:t>
      </w:r>
      <w:r>
        <w:rPr>
          <w:spacing w:val="12"/>
          <w:vertAlign w:val="baseline"/>
        </w:rPr>
        <w:t> </w:t>
      </w:r>
      <w:r>
        <w:rPr>
          <w:vertAlign w:val="baseline"/>
        </w:rPr>
        <w:t>causes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poor</w:t>
      </w:r>
      <w:r>
        <w:rPr>
          <w:spacing w:val="10"/>
          <w:vertAlign w:val="baseline"/>
        </w:rPr>
        <w:t> </w:t>
      </w:r>
      <w:r>
        <w:rPr>
          <w:vertAlign w:val="baseline"/>
        </w:rPr>
        <w:t>health</w:t>
      </w:r>
      <w:r>
        <w:rPr>
          <w:spacing w:val="10"/>
          <w:vertAlign w:val="baseline"/>
        </w:rPr>
        <w:t> </w:t>
      </w:r>
      <w:r>
        <w:rPr>
          <w:vertAlign w:val="baseline"/>
        </w:rPr>
        <w:t>outcomes,</w:t>
      </w:r>
      <w:r>
        <w:rPr>
          <w:spacing w:val="10"/>
          <w:vertAlign w:val="baseline"/>
        </w:rPr>
        <w:t> </w:t>
      </w:r>
      <w:r>
        <w:rPr>
          <w:vertAlign w:val="baseline"/>
        </w:rPr>
        <w:t>having</w:t>
      </w:r>
      <w:r>
        <w:rPr>
          <w:spacing w:val="12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13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spacing w:line="360" w:lineRule="auto"/>
        <w:ind w:left="160" w:right="156"/>
        <w:jc w:val="both"/>
      </w:pPr>
      <w:r>
        <w:rPr/>
        <w:t>1.5 million in 2000 to less than a million in 2019. For example, HIV/AIDs dropped from the 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leading cause of deaths in 2000 to 19</w:t>
      </w:r>
      <w:r>
        <w:rPr>
          <w:vertAlign w:val="superscript"/>
        </w:rPr>
        <w:t>th</w:t>
      </w:r>
      <w:r>
        <w:rPr>
          <w:vertAlign w:val="baseline"/>
        </w:rPr>
        <w:t> in 2019. All these reflect the success of efforts to prevent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test 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 virus and treat the</w:t>
      </w:r>
      <w:r>
        <w:rPr>
          <w:spacing w:val="-2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-1"/>
          <w:vertAlign w:val="baseline"/>
        </w:rPr>
        <w:t> </w:t>
      </w:r>
      <w:r>
        <w:rPr>
          <w:vertAlign w:val="baseline"/>
        </w:rPr>
        <w:t>over the</w:t>
      </w:r>
      <w:r>
        <w:rPr>
          <w:spacing w:val="-2"/>
          <w:vertAlign w:val="baseline"/>
        </w:rPr>
        <w:t> </w:t>
      </w:r>
      <w:r>
        <w:rPr>
          <w:vertAlign w:val="baseline"/>
        </w:rPr>
        <w:t>last two decades.</w:t>
      </w:r>
    </w:p>
    <w:p>
      <w:pPr>
        <w:pStyle w:val="BodyText"/>
        <w:spacing w:line="360" w:lineRule="auto" w:before="208"/>
        <w:ind w:left="160" w:right="155"/>
        <w:jc w:val="both"/>
      </w:pPr>
      <w:r>
        <w:rPr/>
        <w:t>However,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1990s</w:t>
      </w:r>
      <w:r>
        <w:rPr>
          <w:spacing w:val="-1"/>
        </w:rPr>
        <w:t> </w:t>
      </w:r>
      <w:r>
        <w:rPr/>
        <w:t>onwards,</w:t>
      </w:r>
      <w:r>
        <w:rPr>
          <w:spacing w:val="2"/>
        </w:rPr>
        <w:t> </w:t>
      </w:r>
      <w:r>
        <w:rPr/>
        <w:t>global</w:t>
      </w:r>
      <w:r>
        <w:rPr>
          <w:spacing w:val="-3"/>
        </w:rPr>
        <w:t> </w:t>
      </w:r>
      <w:r>
        <w:rPr/>
        <w:t>medical</w:t>
      </w:r>
      <w:r>
        <w:rPr>
          <w:spacing w:val="-1"/>
        </w:rPr>
        <w:t> </w:t>
      </w:r>
      <w:r>
        <w:rPr/>
        <w:t>sciences</w:t>
      </w:r>
      <w:r>
        <w:rPr>
          <w:spacing w:val="-4"/>
        </w:rPr>
        <w:t> </w:t>
      </w:r>
      <w:r>
        <w:rPr/>
        <w:t>began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emphasize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serious</w:t>
      </w:r>
      <w:r>
        <w:rPr>
          <w:spacing w:val="-4"/>
        </w:rPr>
        <w:t> </w:t>
      </w:r>
      <w:r>
        <w:rPr/>
        <w:t>threat</w:t>
      </w:r>
      <w:r>
        <w:rPr>
          <w:spacing w:val="-57"/>
        </w:rPr>
        <w:t> </w:t>
      </w:r>
      <w:r>
        <w:rPr/>
        <w:t>and growing trends of poor health outcomes from NCDs particularly in low and middle-income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2017).</w:t>
      </w:r>
      <w:r>
        <w:rPr>
          <w:spacing w:val="4"/>
        </w:rPr>
        <w:t> </w:t>
      </w:r>
      <w:r>
        <w:rPr/>
        <w:t>Chronic illness</w:t>
      </w:r>
      <w:r>
        <w:rPr>
          <w:spacing w:val="2"/>
        </w:rPr>
        <w:t> </w:t>
      </w:r>
      <w:r>
        <w:rPr/>
        <w:t>from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alone claimed 1.6</w:t>
      </w:r>
      <w:r>
        <w:rPr>
          <w:spacing w:val="2"/>
        </w:rPr>
        <w:t> </w:t>
      </w:r>
      <w:r>
        <w:rPr/>
        <w:t>million</w:t>
      </w:r>
      <w:r>
        <w:rPr>
          <w:spacing w:val="1"/>
        </w:rPr>
        <w:t> </w:t>
      </w:r>
      <w:r>
        <w:rPr/>
        <w:t>lives</w:t>
      </w:r>
      <w:r>
        <w:rPr>
          <w:spacing w:val="4"/>
        </w:rPr>
        <w:t> </w:t>
      </w:r>
      <w:r>
        <w:rPr/>
        <w:t>globally</w:t>
      </w:r>
      <w:r>
        <w:rPr>
          <w:spacing w:val="-4"/>
        </w:rPr>
        <w:t> </w:t>
      </w:r>
      <w:r>
        <w:rPr/>
        <w:t>in</w:t>
      </w: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72.024002pt;margin-top:13.905541pt;width:144.020pt;height:.71997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92"/>
        <w:ind w:left="160" w:right="351" w:firstLine="0"/>
        <w:jc w:val="left"/>
        <w:rPr>
          <w:sz w:val="18"/>
        </w:rPr>
      </w:pPr>
      <w:r>
        <w:rPr>
          <w:rFonts w:ascii="Calibri"/>
          <w:sz w:val="18"/>
          <w:vertAlign w:val="superscript"/>
        </w:rPr>
        <w:t>1</w:t>
      </w:r>
      <w:r>
        <w:rPr>
          <w:rFonts w:ascii="Calibri"/>
          <w:sz w:val="18"/>
          <w:vertAlign w:val="baseline"/>
        </w:rPr>
        <w:t> </w:t>
      </w:r>
      <w:r>
        <w:rPr>
          <w:sz w:val="18"/>
          <w:vertAlign w:val="baseline"/>
        </w:rPr>
        <w:t>Health outcomes are the changes in the health status of people. It could be poor or better. While the former relates to illnesses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and deaths;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latter concern functioning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well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mentally, physically,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socially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and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being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alive.</w:t>
      </w:r>
    </w:p>
    <w:p>
      <w:pPr>
        <w:spacing w:after="0" w:line="242" w:lineRule="auto"/>
        <w:jc w:val="left"/>
        <w:rPr>
          <w:sz w:val="18"/>
        </w:rPr>
        <w:sectPr>
          <w:type w:val="continuous"/>
          <w:pgSz w:w="12240" w:h="15840"/>
          <w:pgMar w:top="1380" w:bottom="280" w:left="1280" w:right="1280"/>
        </w:sectPr>
      </w:pPr>
    </w:p>
    <w:p>
      <w:pPr>
        <w:pStyle w:val="BodyText"/>
        <w:spacing w:line="360" w:lineRule="auto" w:before="74"/>
        <w:ind w:left="160" w:right="153"/>
        <w:jc w:val="both"/>
      </w:pPr>
      <w:r>
        <w:rPr/>
        <w:t>2016, up from less than 1 million in 2000 (WHO, 2018a). The deaths from diabetes increased by</w:t>
      </w:r>
      <w:r>
        <w:rPr>
          <w:spacing w:val="1"/>
        </w:rPr>
        <w:t> </w:t>
      </w:r>
      <w:r>
        <w:rPr/>
        <w:t>70% between 2000 and 2019, with an 80% rise in deaths among males (WHO, 2020). Similarly,</w:t>
      </w:r>
      <w:r>
        <w:rPr>
          <w:spacing w:val="1"/>
        </w:rPr>
        <w:t> </w:t>
      </w:r>
      <w:r>
        <w:rPr/>
        <w:t>illness cases due to dementia (symptoms of decline in memory) more than tripled between 2000</w:t>
      </w:r>
      <w:r>
        <w:rPr>
          <w:spacing w:val="1"/>
        </w:rPr>
        <w:t> </w:t>
      </w:r>
      <w:r>
        <w:rPr/>
        <w:t>and 2019, making it the 3</w:t>
      </w:r>
      <w:r>
        <w:rPr>
          <w:vertAlign w:val="superscript"/>
        </w:rPr>
        <w:t>rd</w:t>
      </w:r>
      <w:r>
        <w:rPr>
          <w:vertAlign w:val="baseline"/>
        </w:rPr>
        <w:t> main cause of global deaths in 2019 compared to 14</w:t>
      </w:r>
      <w:r>
        <w:rPr>
          <w:vertAlign w:val="superscript"/>
        </w:rPr>
        <w:t>th</w:t>
      </w:r>
      <w:r>
        <w:rPr>
          <w:vertAlign w:val="baseline"/>
        </w:rPr>
        <w:t> in 2000 (WHO,</w:t>
      </w:r>
      <w:r>
        <w:rPr>
          <w:spacing w:val="-57"/>
          <w:vertAlign w:val="baseline"/>
        </w:rPr>
        <w:t> </w:t>
      </w:r>
      <w:r>
        <w:rPr>
          <w:vertAlign w:val="baseline"/>
        </w:rPr>
        <w:t>2020). Heart diseases and stroke are the world’s biggest killers, accounting for about 17.7 million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lives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2016.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Similarly,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deaths</w:t>
      </w:r>
      <w:r>
        <w:rPr>
          <w:spacing w:val="-8"/>
          <w:vertAlign w:val="baseline"/>
        </w:rPr>
        <w:t> </w:t>
      </w:r>
      <w:r>
        <w:rPr>
          <w:vertAlign w:val="baseline"/>
        </w:rPr>
        <w:t>from</w:t>
      </w:r>
      <w:r>
        <w:rPr>
          <w:spacing w:val="-10"/>
          <w:vertAlign w:val="baseline"/>
        </w:rPr>
        <w:t> </w:t>
      </w:r>
      <w:r>
        <w:rPr>
          <w:vertAlign w:val="baseline"/>
        </w:rPr>
        <w:t>heart</w:t>
      </w:r>
      <w:r>
        <w:rPr>
          <w:spacing w:val="-9"/>
          <w:vertAlign w:val="baseline"/>
        </w:rPr>
        <w:t> </w:t>
      </w:r>
      <w:r>
        <w:rPr>
          <w:vertAlign w:val="baseline"/>
        </w:rPr>
        <w:t>diseases</w:t>
      </w:r>
      <w:r>
        <w:rPr>
          <w:spacing w:val="-10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-10"/>
          <w:vertAlign w:val="baseline"/>
        </w:rPr>
        <w:t> </w:t>
      </w:r>
      <w:r>
        <w:rPr>
          <w:vertAlign w:val="baseline"/>
        </w:rPr>
        <w:t>by</w:t>
      </w:r>
      <w:r>
        <w:rPr>
          <w:spacing w:val="-14"/>
          <w:vertAlign w:val="baseline"/>
        </w:rPr>
        <w:t> </w:t>
      </w:r>
      <w:r>
        <w:rPr>
          <w:vertAlign w:val="baseline"/>
        </w:rPr>
        <w:t>more</w:t>
      </w:r>
      <w:r>
        <w:rPr>
          <w:spacing w:val="-1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0"/>
          <w:vertAlign w:val="baseline"/>
        </w:rPr>
        <w:t> </w:t>
      </w:r>
      <w:r>
        <w:rPr>
          <w:vertAlign w:val="baseline"/>
        </w:rPr>
        <w:t>2</w:t>
      </w:r>
      <w:r>
        <w:rPr>
          <w:spacing w:val="-10"/>
          <w:vertAlign w:val="baseline"/>
        </w:rPr>
        <w:t> </w:t>
      </w:r>
      <w:r>
        <w:rPr>
          <w:vertAlign w:val="baseline"/>
        </w:rPr>
        <w:t>million</w:t>
      </w:r>
      <w:r>
        <w:rPr>
          <w:spacing w:val="-57"/>
          <w:vertAlign w:val="baseline"/>
        </w:rPr>
        <w:t> </w:t>
      </w:r>
      <w:r>
        <w:rPr>
          <w:vertAlign w:val="baseline"/>
        </w:rPr>
        <w:t>since 2000 to nearly 9 million in 2019; which represents 16% of total deaths from all causes of</w:t>
      </w:r>
      <w:r>
        <w:rPr>
          <w:spacing w:val="1"/>
          <w:vertAlign w:val="baseline"/>
        </w:rPr>
        <w:t> </w:t>
      </w:r>
      <w:r>
        <w:rPr>
          <w:vertAlign w:val="baseline"/>
        </w:rPr>
        <w:t>poor health outcomes at the period (WHO, 2020). While illnesses from heart diseases, diabetes,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stroke,</w:t>
      </w:r>
      <w:r>
        <w:rPr>
          <w:spacing w:val="-12"/>
          <w:vertAlign w:val="baseline"/>
        </w:rPr>
        <w:t> </w:t>
      </w:r>
      <w:r>
        <w:rPr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vertAlign w:val="baseline"/>
        </w:rPr>
        <w:t>all</w:t>
      </w:r>
      <w:r>
        <w:rPr>
          <w:spacing w:val="-12"/>
          <w:vertAlign w:val="baseline"/>
        </w:rPr>
        <w:t> </w:t>
      </w:r>
      <w:r>
        <w:rPr>
          <w:vertAlign w:val="baseline"/>
        </w:rPr>
        <w:t>forms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cancer</w:t>
      </w:r>
      <w:r>
        <w:rPr>
          <w:spacing w:val="-12"/>
          <w:vertAlign w:val="baseline"/>
        </w:rPr>
        <w:t> </w:t>
      </w:r>
      <w:r>
        <w:rPr>
          <w:vertAlign w:val="baseline"/>
        </w:rPr>
        <w:t>collectively</w:t>
      </w:r>
      <w:r>
        <w:rPr>
          <w:spacing w:val="-17"/>
          <w:vertAlign w:val="baseline"/>
        </w:rPr>
        <w:t> </w:t>
      </w:r>
      <w:r>
        <w:rPr>
          <w:vertAlign w:val="baseline"/>
        </w:rPr>
        <w:t>responsible</w:t>
      </w:r>
      <w:r>
        <w:rPr>
          <w:spacing w:val="-13"/>
          <w:vertAlign w:val="baseline"/>
        </w:rPr>
        <w:t> </w:t>
      </w:r>
      <w:r>
        <w:rPr>
          <w:vertAlign w:val="baseline"/>
        </w:rPr>
        <w:t>for</w:t>
      </w:r>
      <w:r>
        <w:rPr>
          <w:spacing w:val="-14"/>
          <w:vertAlign w:val="baseline"/>
        </w:rPr>
        <w:t> </w:t>
      </w:r>
      <w:r>
        <w:rPr>
          <w:vertAlign w:val="baseline"/>
        </w:rPr>
        <w:t>nearly</w:t>
      </w:r>
      <w:r>
        <w:rPr>
          <w:spacing w:val="-17"/>
          <w:vertAlign w:val="baseline"/>
        </w:rPr>
        <w:t> </w:t>
      </w:r>
      <w:r>
        <w:rPr>
          <w:vertAlign w:val="baseline"/>
        </w:rPr>
        <w:t>100</w:t>
      </w:r>
      <w:r>
        <w:rPr>
          <w:spacing w:val="-12"/>
          <w:vertAlign w:val="baseline"/>
        </w:rPr>
        <w:t> </w:t>
      </w:r>
      <w:r>
        <w:rPr>
          <w:vertAlign w:val="baseline"/>
        </w:rPr>
        <w:t>million</w:t>
      </w:r>
      <w:r>
        <w:rPr>
          <w:spacing w:val="-14"/>
          <w:vertAlign w:val="baseline"/>
        </w:rPr>
        <w:t> </w:t>
      </w:r>
      <w:r>
        <w:rPr>
          <w:vertAlign w:val="baseline"/>
        </w:rPr>
        <w:t>deaths,</w:t>
      </w:r>
      <w:r>
        <w:rPr>
          <w:spacing w:val="-10"/>
          <w:vertAlign w:val="baseline"/>
        </w:rPr>
        <w:t> </w:t>
      </w:r>
      <w:r>
        <w:rPr>
          <w:vertAlign w:val="baseline"/>
        </w:rPr>
        <w:t>in</w:t>
      </w:r>
      <w:r>
        <w:rPr>
          <w:spacing w:val="-12"/>
          <w:vertAlign w:val="baseline"/>
        </w:rPr>
        <w:t> </w:t>
      </w:r>
      <w:r>
        <w:rPr>
          <w:vertAlign w:val="baseline"/>
        </w:rPr>
        <w:t>total</w:t>
      </w:r>
      <w:r>
        <w:rPr>
          <w:spacing w:val="-12"/>
          <w:vertAlign w:val="baseline"/>
        </w:rPr>
        <w:t> </w:t>
      </w:r>
      <w:r>
        <w:rPr>
          <w:vertAlign w:val="baseline"/>
        </w:rPr>
        <w:t>NCDs</w:t>
      </w:r>
      <w:r>
        <w:rPr>
          <w:spacing w:val="-58"/>
          <w:vertAlign w:val="baseline"/>
        </w:rPr>
        <w:t> </w:t>
      </w:r>
      <w:r>
        <w:rPr>
          <w:vertAlign w:val="baseline"/>
        </w:rPr>
        <w:t>accounted for more than 71% of deaths globally in 2019 alone (WHO, 2020). These issues also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weak</w:t>
      </w:r>
      <w:r>
        <w:rPr>
          <w:spacing w:val="1"/>
          <w:vertAlign w:val="baseline"/>
        </w:rPr>
        <w:t> </w:t>
      </w:r>
      <w:r>
        <w:rPr>
          <w:vertAlign w:val="baseline"/>
        </w:rPr>
        <w:t>healthcare seeking</w:t>
      </w:r>
      <w:r>
        <w:rPr>
          <w:spacing w:val="1"/>
          <w:vertAlign w:val="baseline"/>
        </w:rPr>
        <w:t> </w:t>
      </w:r>
      <w:r>
        <w:rPr>
          <w:vertAlign w:val="baseline"/>
        </w:rPr>
        <w:t>behaviour</w:t>
      </w:r>
      <w:r>
        <w:rPr>
          <w:spacing w:val="1"/>
          <w:vertAlign w:val="baseline"/>
        </w:rPr>
        <w:t> </w:t>
      </w:r>
      <w:r>
        <w:rPr>
          <w:vertAlign w:val="baseline"/>
        </w:rPr>
        <w:t>(HSB)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non-use</w:t>
      </w:r>
      <w:r>
        <w:rPr>
          <w:spacing w:val="1"/>
          <w:vertAlign w:val="baseline"/>
        </w:rPr>
        <w:t> </w:t>
      </w:r>
      <w:r>
        <w:rPr>
          <w:vertAlign w:val="baseline"/>
        </w:rPr>
        <w:t>of appropriate health</w:t>
      </w:r>
      <w:r>
        <w:rPr>
          <w:spacing w:val="1"/>
          <w:vertAlign w:val="baseline"/>
        </w:rPr>
        <w:t> </w:t>
      </w:r>
      <w:r>
        <w:rPr>
          <w:vertAlign w:val="baseline"/>
        </w:rPr>
        <w:t>facilities and undesirable HSB such as patients using traditional remedies or self-medication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especially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spacing w:val="-14"/>
          <w:vertAlign w:val="baseline"/>
        </w:rPr>
        <w:t> </w:t>
      </w:r>
      <w:r>
        <w:rPr>
          <w:vertAlign w:val="baseline"/>
        </w:rPr>
        <w:t>developing</w:t>
      </w:r>
      <w:r>
        <w:rPr>
          <w:spacing w:val="-17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-15"/>
          <w:vertAlign w:val="baseline"/>
        </w:rPr>
        <w:t> </w:t>
      </w:r>
      <w:r>
        <w:rPr>
          <w:vertAlign w:val="baseline"/>
        </w:rPr>
        <w:t>leads</w:t>
      </w:r>
      <w:r>
        <w:rPr>
          <w:spacing w:val="-15"/>
          <w:vertAlign w:val="baseline"/>
        </w:rPr>
        <w:t> </w:t>
      </w:r>
      <w:r>
        <w:rPr>
          <w:vertAlign w:val="baseline"/>
        </w:rPr>
        <w:t>to</w:t>
      </w:r>
      <w:r>
        <w:rPr>
          <w:spacing w:val="-14"/>
          <w:vertAlign w:val="baseline"/>
        </w:rPr>
        <w:t> </w:t>
      </w:r>
      <w:r>
        <w:rPr>
          <w:vertAlign w:val="baseline"/>
        </w:rPr>
        <w:t>more</w:t>
      </w:r>
      <w:r>
        <w:rPr>
          <w:spacing w:val="-14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14"/>
          <w:vertAlign w:val="baseline"/>
        </w:rPr>
        <w:t> </w:t>
      </w:r>
      <w:r>
        <w:rPr>
          <w:vertAlign w:val="baseline"/>
        </w:rPr>
        <w:t>issues</w:t>
      </w:r>
      <w:r>
        <w:rPr>
          <w:spacing w:val="-13"/>
          <w:vertAlign w:val="baseline"/>
        </w:rPr>
        <w:t> </w:t>
      </w:r>
      <w:r>
        <w:rPr>
          <w:vertAlign w:val="baseline"/>
        </w:rPr>
        <w:t>(Kuuire,</w:t>
      </w:r>
      <w:r>
        <w:rPr>
          <w:spacing w:val="-15"/>
          <w:vertAlign w:val="baseline"/>
        </w:rPr>
        <w:t> </w:t>
      </w:r>
      <w:r>
        <w:rPr>
          <w:vertAlign w:val="baseline"/>
        </w:rPr>
        <w:t>Bisung</w:t>
      </w:r>
      <w:r>
        <w:rPr>
          <w:spacing w:val="-17"/>
          <w:vertAlign w:val="baseline"/>
        </w:rPr>
        <w:t> </w:t>
      </w:r>
      <w:r>
        <w:rPr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vertAlign w:val="baseline"/>
        </w:rPr>
        <w:t>Luginaah,</w:t>
      </w:r>
      <w:r>
        <w:rPr>
          <w:spacing w:val="-15"/>
          <w:vertAlign w:val="baseline"/>
        </w:rPr>
        <w:t> </w:t>
      </w:r>
      <w:r>
        <w:rPr>
          <w:vertAlign w:val="baseline"/>
        </w:rPr>
        <w:t>2015;</w:t>
      </w:r>
      <w:r>
        <w:rPr>
          <w:spacing w:val="-57"/>
          <w:vertAlign w:val="baseline"/>
        </w:rPr>
        <w:t> </w:t>
      </w:r>
      <w:r>
        <w:rPr>
          <w:vertAlign w:val="baseline"/>
        </w:rPr>
        <w:t>Khan,</w:t>
      </w:r>
      <w:r>
        <w:rPr>
          <w:spacing w:val="-1"/>
          <w:vertAlign w:val="baseline"/>
        </w:rPr>
        <w:t> </w:t>
      </w:r>
      <w:r>
        <w:rPr>
          <w:vertAlign w:val="baseline"/>
        </w:rPr>
        <w:t>2018).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160" w:right="156"/>
        <w:jc w:val="both"/>
      </w:pPr>
      <w:r>
        <w:rPr/>
        <w:t>Interestingly, reports of WHO (2017, 2018, and 2020) established that tackling the risk factors of</w:t>
      </w:r>
      <w:r>
        <w:rPr>
          <w:spacing w:val="-57"/>
        </w:rPr>
        <w:t> </w:t>
      </w:r>
      <w:r>
        <w:rPr/>
        <w:t>poor</w:t>
      </w:r>
      <w:r>
        <w:rPr>
          <w:spacing w:val="-6"/>
        </w:rPr>
        <w:t> </w:t>
      </w:r>
      <w:r>
        <w:rPr/>
        <w:t>health</w:t>
      </w:r>
      <w:r>
        <w:rPr>
          <w:spacing w:val="-5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NCDs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only</w:t>
      </w:r>
      <w:r>
        <w:rPr>
          <w:spacing w:val="-10"/>
        </w:rPr>
        <w:t> </w:t>
      </w:r>
      <w:r>
        <w:rPr/>
        <w:t>save</w:t>
      </w:r>
      <w:r>
        <w:rPr>
          <w:spacing w:val="-6"/>
        </w:rPr>
        <w:t> </w:t>
      </w:r>
      <w:r>
        <w:rPr/>
        <w:t>lives;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also</w:t>
      </w:r>
      <w:r>
        <w:rPr>
          <w:spacing w:val="-5"/>
        </w:rPr>
        <w:t> </w:t>
      </w:r>
      <w:r>
        <w:rPr/>
        <w:t>provide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huge</w:t>
      </w:r>
      <w:r>
        <w:rPr>
          <w:spacing w:val="-6"/>
        </w:rPr>
        <w:t> </w:t>
      </w:r>
      <w:r>
        <w:rPr/>
        <w:t>boost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economic development of countries. These risk factors are chronic stress, anxiety, unhealthy diet,</w:t>
      </w:r>
      <w:r>
        <w:rPr>
          <w:spacing w:val="-57"/>
        </w:rPr>
        <w:t> </w:t>
      </w:r>
      <w:r>
        <w:rPr/>
        <w:t>raised blood pressure, shock, poverty, smoking, lack of economic investment and inaccessibity to</w:t>
      </w:r>
      <w:r>
        <w:rPr>
          <w:spacing w:val="-57"/>
        </w:rPr>
        <w:t> </w:t>
      </w:r>
      <w:r>
        <w:rPr/>
        <w:t>preventable healthcare services. As Mikkelson (2019) and Ganju (2020) noted, NCDs prevention</w:t>
      </w:r>
      <w:r>
        <w:rPr>
          <w:spacing w:val="-57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effective</w:t>
      </w:r>
      <w:r>
        <w:rPr>
          <w:spacing w:val="-4"/>
        </w:rPr>
        <w:t> </w:t>
      </w:r>
      <w:r>
        <w:rPr/>
        <w:t>when</w:t>
      </w:r>
      <w:r>
        <w:rPr>
          <w:spacing w:val="-3"/>
        </w:rPr>
        <w:t> </w:t>
      </w:r>
      <w:r>
        <w:rPr/>
        <w:t>focusing</w:t>
      </w:r>
      <w:r>
        <w:rPr>
          <w:spacing w:val="-6"/>
        </w:rPr>
        <w:t> </w:t>
      </w:r>
      <w:r>
        <w:rPr/>
        <w:t>policy</w:t>
      </w:r>
      <w:r>
        <w:rPr>
          <w:spacing w:val="-9"/>
        </w:rPr>
        <w:t> </w:t>
      </w:r>
      <w:r>
        <w:rPr/>
        <w:t>on</w:t>
      </w:r>
      <w:r>
        <w:rPr>
          <w:spacing w:val="-2"/>
        </w:rPr>
        <w:t> </w:t>
      </w:r>
      <w:r>
        <w:rPr/>
        <w:t>its</w:t>
      </w:r>
      <w:r>
        <w:rPr>
          <w:spacing w:val="-6"/>
        </w:rPr>
        <w:t> </w:t>
      </w:r>
      <w:r>
        <w:rPr/>
        <w:t>roots.</w:t>
      </w:r>
      <w:r>
        <w:rPr>
          <w:spacing w:val="-3"/>
        </w:rPr>
        <w:t> </w:t>
      </w:r>
      <w:r>
        <w:rPr/>
        <w:t>These</w:t>
      </w:r>
      <w:r>
        <w:rPr>
          <w:spacing w:val="-5"/>
        </w:rPr>
        <w:t> </w:t>
      </w:r>
      <w:r>
        <w:rPr/>
        <w:t>poor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outcomes</w:t>
      </w:r>
      <w:r>
        <w:rPr>
          <w:spacing w:val="-4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58"/>
        </w:rPr>
        <w:t> </w:t>
      </w:r>
      <w:r>
        <w:rPr/>
        <w:t>considerable evidence in the health economics literature are inextricably and largely linked to</w:t>
      </w:r>
      <w:r>
        <w:rPr>
          <w:spacing w:val="1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9"/>
        </w:rPr>
        <w:t> </w:t>
      </w:r>
      <w:r>
        <w:rPr/>
        <w:t>(see</w:t>
      </w:r>
      <w:r>
        <w:rPr>
          <w:spacing w:val="-4"/>
        </w:rPr>
        <w:t> </w:t>
      </w:r>
      <w:r>
        <w:rPr/>
        <w:t>Bakkeli,</w:t>
      </w:r>
      <w:r>
        <w:rPr>
          <w:spacing w:val="-6"/>
        </w:rPr>
        <w:t> </w:t>
      </w:r>
      <w:r>
        <w:rPr/>
        <w:t>2016;</w:t>
      </w:r>
      <w:r>
        <w:rPr>
          <w:spacing w:val="-3"/>
        </w:rPr>
        <w:t> </w:t>
      </w:r>
      <w:r>
        <w:rPr/>
        <w:t>Liu,</w:t>
      </w:r>
      <w:r>
        <w:rPr>
          <w:spacing w:val="-5"/>
        </w:rPr>
        <w:t> </w:t>
      </w:r>
      <w:r>
        <w:rPr/>
        <w:t>2017:35;</w:t>
      </w:r>
      <w:r>
        <w:rPr>
          <w:spacing w:val="-6"/>
        </w:rPr>
        <w:t> </w:t>
      </w:r>
      <w:r>
        <w:rPr/>
        <w:t>Tan,</w:t>
      </w:r>
      <w:r>
        <w:rPr>
          <w:spacing w:val="-6"/>
        </w:rPr>
        <w:t> </w:t>
      </w:r>
      <w:r>
        <w:rPr/>
        <w:t>Shi,</w:t>
      </w:r>
      <w:r>
        <w:rPr>
          <w:spacing w:val="-2"/>
        </w:rPr>
        <w:t> </w:t>
      </w:r>
      <w:r>
        <w:rPr/>
        <w:t>Liang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Xu,</w:t>
      </w:r>
      <w:r>
        <w:rPr>
          <w:spacing w:val="-6"/>
        </w:rPr>
        <w:t> </w:t>
      </w:r>
      <w:r>
        <w:rPr/>
        <w:t>2018;</w:t>
      </w:r>
      <w:r>
        <w:rPr>
          <w:spacing w:val="-6"/>
        </w:rPr>
        <w:t> </w:t>
      </w:r>
      <w:r>
        <w:rPr/>
        <w:t>Sigh,</w:t>
      </w:r>
      <w:r>
        <w:rPr>
          <w:spacing w:val="-3"/>
        </w:rPr>
        <w:t> </w:t>
      </w:r>
      <w:r>
        <w:rPr/>
        <w:t>Antunes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Pere, Harford, 2018;</w:t>
      </w:r>
      <w:r>
        <w:rPr>
          <w:spacing w:val="-1"/>
        </w:rPr>
        <w:t> </w:t>
      </w:r>
      <w:r>
        <w:rPr/>
        <w:t>and Hill, Jorgenson,</w:t>
      </w:r>
      <w:r>
        <w:rPr>
          <w:spacing w:val="-1"/>
        </w:rPr>
        <w:t> </w:t>
      </w:r>
      <w:r>
        <w:rPr/>
        <w:t>Ballistite</w:t>
      </w:r>
      <w:r>
        <w:rPr>
          <w:spacing w:val="-1"/>
        </w:rPr>
        <w:t> </w:t>
      </w:r>
      <w:r>
        <w:rPr/>
        <w:t>and Clark, 2019).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160" w:right="154"/>
        <w:jc w:val="both"/>
      </w:pPr>
      <w:r>
        <w:rPr/>
        <w:t>Wilkinson’s seminal papers of 1990s were the first to formalize the income inequality-health link</w:t>
      </w:r>
      <w:r>
        <w:rPr>
          <w:spacing w:val="-57"/>
        </w:rPr>
        <w:t> </w:t>
      </w:r>
      <w:r>
        <w:rPr/>
        <w:t>(See Wilkinson, 1992; 1994). He opined that in the process of economic growth, there will be a</w:t>
      </w:r>
      <w:r>
        <w:rPr>
          <w:spacing w:val="1"/>
        </w:rPr>
        <w:t> </w:t>
      </w:r>
      <w:r>
        <w:rPr>
          <w:i/>
        </w:rPr>
        <w:t>point </w:t>
      </w:r>
      <w:r>
        <w:rPr/>
        <w:t>at which income disparity rises. This point corresponds with the shift in the main causes of</w:t>
      </w:r>
      <w:r>
        <w:rPr>
          <w:spacing w:val="1"/>
        </w:rPr>
        <w:t> </w:t>
      </w:r>
      <w:r>
        <w:rPr/>
        <w:t>ill-health</w:t>
      </w:r>
      <w:r>
        <w:rPr>
          <w:spacing w:val="-10"/>
        </w:rPr>
        <w:t> </w:t>
      </w:r>
      <w:r>
        <w:rPr/>
        <w:t>from</w:t>
      </w:r>
      <w:r>
        <w:rPr>
          <w:spacing w:val="-8"/>
        </w:rPr>
        <w:t> </w:t>
      </w:r>
      <w:r>
        <w:rPr/>
        <w:t>infectious</w:t>
      </w:r>
      <w:r>
        <w:rPr>
          <w:spacing w:val="-8"/>
        </w:rPr>
        <w:t> </w:t>
      </w:r>
      <w:r>
        <w:rPr/>
        <w:t>diseases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more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chronic</w:t>
      </w:r>
      <w:r>
        <w:rPr>
          <w:spacing w:val="-9"/>
        </w:rPr>
        <w:t> </w:t>
      </w:r>
      <w:r>
        <w:rPr/>
        <w:t>illnesses</w:t>
      </w:r>
      <w:r>
        <w:rPr>
          <w:spacing w:val="-8"/>
        </w:rPr>
        <w:t> </w:t>
      </w:r>
      <w:r>
        <w:rPr/>
        <w:t>particularly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NCDs.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suggest</w:t>
      </w:r>
      <w:r>
        <w:rPr>
          <w:spacing w:val="-57"/>
        </w:rPr>
        <w:t> </w:t>
      </w:r>
      <w:r>
        <w:rPr/>
        <w:t>that rising income inequality is the primary cause of poor health outcomes, because of it explicit</w:t>
      </w:r>
      <w:r>
        <w:rPr>
          <w:spacing w:val="1"/>
        </w:rPr>
        <w:t> </w:t>
      </w:r>
      <w:r>
        <w:rPr/>
        <w:t>psycho-social impacts through chronic stress, status anxiety, debt burden, long working hours,</w:t>
      </w:r>
      <w:r>
        <w:rPr>
          <w:spacing w:val="1"/>
        </w:rPr>
        <w:t> </w:t>
      </w:r>
      <w:r>
        <w:rPr/>
        <w:t>depression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frustration (Patel,</w:t>
      </w:r>
      <w:r>
        <w:rPr>
          <w:spacing w:val="-1"/>
        </w:rPr>
        <w:t> </w:t>
      </w:r>
      <w:r>
        <w:rPr/>
        <w:t>2018; Kim,</w:t>
      </w:r>
      <w:r>
        <w:rPr>
          <w:spacing w:val="-1"/>
        </w:rPr>
        <w:t> </w:t>
      </w:r>
      <w:r>
        <w:rPr/>
        <w:t>2019),</w:t>
      </w:r>
      <w:r>
        <w:rPr>
          <w:spacing w:val="-1"/>
        </w:rPr>
        <w:t> </w:t>
      </w:r>
      <w:r>
        <w:rPr/>
        <w:t>as well</w:t>
      </w:r>
      <w:r>
        <w:rPr>
          <w:spacing w:val="-1"/>
        </w:rPr>
        <w:t> </w:t>
      </w:r>
      <w:r>
        <w:rPr/>
        <w:t>as social</w:t>
      </w:r>
      <w:r>
        <w:rPr>
          <w:spacing w:val="-1"/>
        </w:rPr>
        <w:t> </w:t>
      </w:r>
      <w:r>
        <w:rPr/>
        <w:t>dysfunction</w:t>
      </w:r>
      <w:r>
        <w:rPr>
          <w:spacing w:val="-1"/>
        </w:rPr>
        <w:t> </w:t>
      </w:r>
      <w:r>
        <w:rPr/>
        <w:t>that causes</w:t>
      </w:r>
      <w:r>
        <w:rPr>
          <w:spacing w:val="-1"/>
        </w:rPr>
        <w:t> </w:t>
      </w:r>
      <w:r>
        <w:rPr/>
        <w:t>fear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6"/>
        <w:jc w:val="both"/>
      </w:pPr>
      <w:r>
        <w:rPr/>
        <w:t>and</w:t>
      </w:r>
      <w:r>
        <w:rPr>
          <w:spacing w:val="-11"/>
        </w:rPr>
        <w:t> </w:t>
      </w:r>
      <w:r>
        <w:rPr/>
        <w:t>shock</w:t>
      </w:r>
      <w:r>
        <w:rPr>
          <w:spacing w:val="-11"/>
        </w:rPr>
        <w:t> </w:t>
      </w:r>
      <w:r>
        <w:rPr/>
        <w:t>via</w:t>
      </w:r>
      <w:r>
        <w:rPr>
          <w:spacing w:val="-12"/>
        </w:rPr>
        <w:t> </w:t>
      </w:r>
      <w:r>
        <w:rPr/>
        <w:t>low</w:t>
      </w:r>
      <w:r>
        <w:rPr>
          <w:spacing w:val="-11"/>
        </w:rPr>
        <w:t> </w:t>
      </w:r>
      <w:r>
        <w:rPr/>
        <w:t>social</w:t>
      </w:r>
      <w:r>
        <w:rPr>
          <w:spacing w:val="-10"/>
        </w:rPr>
        <w:t> </w:t>
      </w:r>
      <w:r>
        <w:rPr/>
        <w:t>capital</w:t>
      </w:r>
      <w:r>
        <w:rPr>
          <w:spacing w:val="-11"/>
        </w:rPr>
        <w:t> </w:t>
      </w:r>
      <w:r>
        <w:rPr/>
        <w:t>(Kragten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Rozer,</w:t>
      </w:r>
      <w:r>
        <w:rPr>
          <w:spacing w:val="-12"/>
        </w:rPr>
        <w:t> </w:t>
      </w:r>
      <w:r>
        <w:rPr/>
        <w:t>2017).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synthesis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all</w:t>
      </w:r>
      <w:r>
        <w:rPr>
          <w:spacing w:val="-10"/>
        </w:rPr>
        <w:t> </w:t>
      </w:r>
      <w:r>
        <w:rPr/>
        <w:t>these</w:t>
      </w:r>
      <w:r>
        <w:rPr>
          <w:spacing w:val="-12"/>
        </w:rPr>
        <w:t> </w:t>
      </w:r>
      <w:r>
        <w:rPr/>
        <w:t>explanations</w:t>
      </w:r>
      <w:r>
        <w:rPr>
          <w:spacing w:val="-57"/>
        </w:rPr>
        <w:t> </w:t>
      </w:r>
      <w:r>
        <w:rPr/>
        <w:t>is that, rising income inequality relates with social comparison, competition, social dysfunction,</w:t>
      </w:r>
      <w:r>
        <w:rPr>
          <w:spacing w:val="1"/>
        </w:rPr>
        <w:t> </w:t>
      </w:r>
      <w:r>
        <w:rPr/>
        <w:t>reduced social cohension and trust. These intensify fear and shocks which lower the immulogical</w:t>
      </w:r>
      <w:r>
        <w:rPr>
          <w:spacing w:val="-57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to health issues.</w:t>
      </w:r>
    </w:p>
    <w:p>
      <w:pPr>
        <w:pStyle w:val="BodyText"/>
        <w:spacing w:line="360" w:lineRule="auto" w:before="183"/>
        <w:ind w:left="160" w:right="152"/>
        <w:jc w:val="both"/>
      </w:pPr>
      <w:r>
        <w:rPr/>
        <w:t>Though, widening income inequality is necessary to reward talents, skills and a willingness to</w:t>
      </w:r>
      <w:r>
        <w:rPr>
          <w:spacing w:val="1"/>
        </w:rPr>
        <w:t> </w:t>
      </w:r>
      <w:r>
        <w:rPr/>
        <w:t>innovate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take</w:t>
      </w:r>
      <w:r>
        <w:rPr>
          <w:spacing w:val="-6"/>
        </w:rPr>
        <w:t> </w:t>
      </w:r>
      <w:r>
        <w:rPr/>
        <w:t>entrepreneurial</w:t>
      </w:r>
      <w:r>
        <w:rPr>
          <w:spacing w:val="-6"/>
        </w:rPr>
        <w:t> </w:t>
      </w:r>
      <w:r>
        <w:rPr/>
        <w:t>risks;</w:t>
      </w:r>
      <w:r>
        <w:rPr>
          <w:spacing w:val="-3"/>
        </w:rPr>
        <w:t> </w:t>
      </w:r>
      <w:r>
        <w:rPr/>
        <w:t>increasing</w:t>
      </w:r>
      <w:r>
        <w:rPr>
          <w:spacing w:val="-6"/>
        </w:rPr>
        <w:t> </w:t>
      </w:r>
      <w:r>
        <w:rPr/>
        <w:t>disparities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income</w:t>
      </w:r>
      <w:r>
        <w:rPr>
          <w:spacing w:val="-6"/>
        </w:rPr>
        <w:t> </w:t>
      </w:r>
      <w:r>
        <w:rPr/>
        <w:t>hurts</w:t>
      </w:r>
      <w:r>
        <w:rPr>
          <w:spacing w:val="-6"/>
        </w:rPr>
        <w:t> </w:t>
      </w:r>
      <w:r>
        <w:rPr/>
        <w:t>everyone,</w:t>
      </w:r>
      <w:r>
        <w:rPr>
          <w:spacing w:val="-5"/>
        </w:rPr>
        <w:t> </w:t>
      </w:r>
      <w:r>
        <w:rPr/>
        <w:t>particular</w:t>
      </w:r>
      <w:r>
        <w:rPr>
          <w:spacing w:val="-58"/>
        </w:rPr>
        <w:t> </w:t>
      </w:r>
      <w:r>
        <w:rPr/>
        <w:t>their health outcomes and HSB. This is because it related with violent crimes, insecurity and</w:t>
      </w:r>
      <w:r>
        <w:rPr>
          <w:spacing w:val="1"/>
        </w:rPr>
        <w:t> </w:t>
      </w:r>
      <w:r>
        <w:rPr/>
        <w:t>kidnapping that intensify fear and shock for all citizens, including those at the top and bottom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income</w:t>
      </w:r>
      <w:r>
        <w:rPr>
          <w:spacing w:val="-10"/>
        </w:rPr>
        <w:t> </w:t>
      </w:r>
      <w:r>
        <w:rPr>
          <w:spacing w:val="-1"/>
        </w:rPr>
        <w:t>distribution</w:t>
      </w:r>
      <w:r>
        <w:rPr>
          <w:spacing w:val="-8"/>
        </w:rPr>
        <w:t> </w:t>
      </w:r>
      <w:r>
        <w:rPr/>
        <w:t>(Seery</w:t>
      </w:r>
      <w:r>
        <w:rPr>
          <w:spacing w:val="-14"/>
        </w:rPr>
        <w:t> </w:t>
      </w:r>
      <w:r>
        <w:rPr/>
        <w:t>and</w:t>
      </w:r>
      <w:r>
        <w:rPr>
          <w:spacing w:val="-9"/>
        </w:rPr>
        <w:t> </w:t>
      </w:r>
      <w:r>
        <w:rPr/>
        <w:t>Arendar,</w:t>
      </w:r>
      <w:r>
        <w:rPr>
          <w:spacing w:val="-10"/>
        </w:rPr>
        <w:t> </w:t>
      </w:r>
      <w:r>
        <w:rPr/>
        <w:t>2014;</w:t>
      </w:r>
      <w:r>
        <w:rPr>
          <w:spacing w:val="-6"/>
        </w:rPr>
        <w:t> </w:t>
      </w:r>
      <w:r>
        <w:rPr/>
        <w:t>Hardoon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Fuentes-Nieva,</w:t>
      </w:r>
      <w:r>
        <w:rPr>
          <w:spacing w:val="-9"/>
        </w:rPr>
        <w:t> </w:t>
      </w:r>
      <w:r>
        <w:rPr/>
        <w:t>2016).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rising</w:t>
      </w:r>
      <w:r>
        <w:rPr>
          <w:spacing w:val="-58"/>
        </w:rPr>
        <w:t> </w:t>
      </w:r>
      <w:r>
        <w:rPr/>
        <w:t>income inequality, the budget line of households chiefly those at the bottom income-quintile is</w:t>
      </w:r>
      <w:r>
        <w:rPr>
          <w:spacing w:val="1"/>
        </w:rPr>
        <w:t> </w:t>
      </w:r>
      <w:r>
        <w:rPr/>
        <w:t>constrained, due to allocation to other competing needs such as food, education, house rent, and</w:t>
      </w:r>
      <w:r>
        <w:rPr>
          <w:spacing w:val="1"/>
        </w:rPr>
        <w:t> </w:t>
      </w:r>
      <w:r>
        <w:rPr/>
        <w:t>so on. This basic need amidst low economic opportunities rises the debt burden on all citizens,</w:t>
      </w:r>
      <w:r>
        <w:rPr>
          <w:spacing w:val="1"/>
        </w:rPr>
        <w:t> </w:t>
      </w:r>
      <w:r>
        <w:rPr/>
        <w:t>which could also culminate in fear and shock which may in turn lead to stroke and high blood</w:t>
      </w:r>
      <w:r>
        <w:rPr>
          <w:spacing w:val="1"/>
        </w:rPr>
        <w:t> </w:t>
      </w:r>
      <w:r>
        <w:rPr/>
        <w:t>pressure. All these implies that the adverse consequences of income disparities via disinvestment</w:t>
      </w:r>
      <w:r>
        <w:rPr>
          <w:spacing w:val="-57"/>
        </w:rPr>
        <w:t> </w:t>
      </w:r>
      <w:r>
        <w:rPr/>
        <w:t>in</w:t>
      </w:r>
      <w:r>
        <w:rPr>
          <w:spacing w:val="-3"/>
        </w:rPr>
        <w:t> </w:t>
      </w:r>
      <w:r>
        <w:rPr/>
        <w:t>public</w:t>
      </w:r>
      <w:r>
        <w:rPr>
          <w:spacing w:val="-5"/>
        </w:rPr>
        <w:t> </w:t>
      </w:r>
      <w:r>
        <w:rPr/>
        <w:t>health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human</w:t>
      </w:r>
      <w:r>
        <w:rPr>
          <w:spacing w:val="-3"/>
        </w:rPr>
        <w:t> </w:t>
      </w:r>
      <w:r>
        <w:rPr/>
        <w:t>capital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/>
        <w:t>affect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of all</w:t>
      </w:r>
      <w:r>
        <w:rPr>
          <w:spacing w:val="-3"/>
        </w:rPr>
        <w:t> </w:t>
      </w:r>
      <w:r>
        <w:rPr/>
        <w:t>citizens,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only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those</w:t>
      </w:r>
      <w:r>
        <w:rPr>
          <w:spacing w:val="3"/>
        </w:rPr>
        <w:t> </w:t>
      </w:r>
      <w:r>
        <w:rPr/>
        <w:t>citizens</w:t>
      </w:r>
      <w:r>
        <w:rPr>
          <w:spacing w:val="-58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bottom of the</w:t>
      </w:r>
      <w:r>
        <w:rPr>
          <w:spacing w:val="-2"/>
        </w:rPr>
        <w:t> </w:t>
      </w:r>
      <w:r>
        <w:rPr/>
        <w:t>income</w:t>
      </w:r>
      <w:r>
        <w:rPr>
          <w:spacing w:val="-1"/>
        </w:rPr>
        <w:t> </w:t>
      </w:r>
      <w:r>
        <w:rPr/>
        <w:t>distribution (Coady</w:t>
      </w:r>
      <w:r>
        <w:rPr>
          <w:spacing w:val="-4"/>
        </w:rPr>
        <w:t> </w:t>
      </w:r>
      <w:r>
        <w:rPr/>
        <w:t>and Dizidi,</w:t>
      </w:r>
      <w:r>
        <w:rPr>
          <w:spacing w:val="-1"/>
        </w:rPr>
        <w:t> </w:t>
      </w:r>
      <w:r>
        <w:rPr/>
        <w:t>2017; Dotollenaere</w:t>
      </w:r>
      <w:r>
        <w:rPr>
          <w:spacing w:val="2"/>
        </w:rPr>
        <w:t>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2018).</w:t>
      </w:r>
    </w:p>
    <w:p>
      <w:pPr>
        <w:pStyle w:val="BodyText"/>
        <w:spacing w:line="360" w:lineRule="auto" w:before="162"/>
        <w:ind w:left="160" w:right="155"/>
        <w:jc w:val="both"/>
      </w:pPr>
      <w:r>
        <w:rPr/>
        <w:t>Again income disparities concern less stable and inefficient economic system (Stiglitz, 2012). As</w:t>
      </w:r>
      <w:r>
        <w:rPr>
          <w:spacing w:val="-57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accelerates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vulnerability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people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economic</w:t>
      </w:r>
      <w:r>
        <w:rPr>
          <w:spacing w:val="-9"/>
        </w:rPr>
        <w:t> </w:t>
      </w:r>
      <w:r>
        <w:rPr/>
        <w:t>crises,</w:t>
      </w:r>
      <w:r>
        <w:rPr>
          <w:spacing w:val="-9"/>
        </w:rPr>
        <w:t> </w:t>
      </w:r>
      <w:r>
        <w:rPr/>
        <w:t>creating</w:t>
      </w:r>
      <w:r>
        <w:rPr>
          <w:spacing w:val="-14"/>
        </w:rPr>
        <w:t> </w:t>
      </w:r>
      <w:r>
        <w:rPr/>
        <w:t>poverty</w:t>
      </w:r>
      <w:r>
        <w:rPr>
          <w:spacing w:val="-17"/>
        </w:rPr>
        <w:t> </w:t>
      </w:r>
      <w:r>
        <w:rPr/>
        <w:t>traps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discourages</w:t>
      </w:r>
      <w:r>
        <w:rPr>
          <w:spacing w:val="-58"/>
        </w:rPr>
        <w:t> </w:t>
      </w:r>
      <w:r>
        <w:rPr/>
        <w:t>every effort of establishing healthy outcomes especially in times of ill-health (Matthew and</w:t>
      </w:r>
      <w:r>
        <w:rPr>
          <w:spacing w:val="1"/>
        </w:rPr>
        <w:t> </w:t>
      </w:r>
      <w:r>
        <w:rPr/>
        <w:t>Brodersen, 2019). This further suggest that, rising income disparities could motive inappropriate</w:t>
      </w:r>
      <w:r>
        <w:rPr>
          <w:spacing w:val="1"/>
        </w:rPr>
        <w:t> </w:t>
      </w:r>
      <w:r>
        <w:rPr/>
        <w:t>healthcare seeking; mainly because of its tendency to limit quality access to healthcare services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reduce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quantity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of</w:t>
      </w:r>
      <w:r>
        <w:rPr>
          <w:spacing w:val="-11"/>
        </w:rPr>
        <w:t> </w:t>
      </w:r>
      <w:r>
        <w:rPr/>
        <w:t>health-promoting</w:t>
      </w:r>
      <w:r>
        <w:rPr>
          <w:spacing w:val="-11"/>
        </w:rPr>
        <w:t> </w:t>
      </w:r>
      <w:r>
        <w:rPr/>
        <w:t>goods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services.</w:t>
      </w:r>
      <w:r>
        <w:rPr>
          <w:spacing w:val="-7"/>
        </w:rPr>
        <w:t> </w:t>
      </w:r>
      <w:r>
        <w:rPr/>
        <w:t>Thus,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high</w:t>
      </w:r>
      <w:r>
        <w:rPr>
          <w:spacing w:val="-10"/>
        </w:rPr>
        <w:t> </w:t>
      </w:r>
      <w:r>
        <w:rPr/>
        <w:t>income</w:t>
      </w:r>
      <w:r>
        <w:rPr>
          <w:spacing w:val="-57"/>
        </w:rPr>
        <w:t> </w:t>
      </w:r>
      <w:r>
        <w:rPr/>
        <w:t>inequality,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addition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its</w:t>
      </w:r>
      <w:r>
        <w:rPr>
          <w:spacing w:val="-12"/>
        </w:rPr>
        <w:t> </w:t>
      </w:r>
      <w:r>
        <w:rPr>
          <w:sz w:val="23"/>
        </w:rPr>
        <w:t>implication</w:t>
      </w:r>
      <w:r>
        <w:rPr>
          <w:spacing w:val="-10"/>
          <w:sz w:val="23"/>
        </w:rPr>
        <w:t> </w:t>
      </w:r>
      <w:r>
        <w:rPr/>
        <w:t>on</w:t>
      </w:r>
      <w:r>
        <w:rPr>
          <w:spacing w:val="-13"/>
        </w:rPr>
        <w:t> </w:t>
      </w:r>
      <w:r>
        <w:rPr/>
        <w:t>social</w:t>
      </w:r>
      <w:r>
        <w:rPr>
          <w:spacing w:val="-13"/>
        </w:rPr>
        <w:t> </w:t>
      </w:r>
      <w:r>
        <w:rPr/>
        <w:t>unrest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purchasing-power</w:t>
      </w:r>
      <w:r>
        <w:rPr>
          <w:spacing w:val="-14"/>
        </w:rPr>
        <w:t> </w:t>
      </w:r>
      <w:r>
        <w:rPr/>
        <w:t>disparities,</w:t>
      </w:r>
      <w:r>
        <w:rPr>
          <w:spacing w:val="-14"/>
        </w:rPr>
        <w:t> </w:t>
      </w:r>
      <w:r>
        <w:rPr/>
        <w:t>suggests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income</w:t>
      </w:r>
      <w:r>
        <w:rPr>
          <w:spacing w:val="-1"/>
        </w:rPr>
        <w:t> </w:t>
      </w:r>
      <w:r>
        <w:rPr/>
        <w:t>inequality</w:t>
      </w:r>
      <w:r>
        <w:rPr>
          <w:spacing w:val="-6"/>
        </w:rPr>
        <w:t> </w:t>
      </w:r>
      <w:r>
        <w:rPr/>
        <w:t>may</w:t>
      </w:r>
      <w:r>
        <w:rPr>
          <w:spacing w:val="-3"/>
        </w:rPr>
        <w:t> </w:t>
      </w:r>
      <w:r>
        <w:rPr/>
        <w:t>exert</w:t>
      </w:r>
      <w:r>
        <w:rPr>
          <w:spacing w:val="-1"/>
        </w:rPr>
        <w:t> </w:t>
      </w:r>
      <w:r>
        <w:rPr/>
        <w:t>both direct and</w:t>
      </w:r>
      <w:r>
        <w:rPr>
          <w:spacing w:val="-1"/>
        </w:rPr>
        <w:t> </w:t>
      </w:r>
      <w:r>
        <w:rPr/>
        <w:t>indirect effects</w:t>
      </w:r>
      <w:r>
        <w:rPr>
          <w:spacing w:val="-1"/>
        </w:rPr>
        <w:t> </w:t>
      </w:r>
      <w:r>
        <w:rPr/>
        <w:t>on health</w:t>
      </w:r>
      <w:r>
        <w:rPr>
          <w:spacing w:val="1"/>
        </w:rPr>
        <w:t> </w:t>
      </w:r>
      <w:r>
        <w:rPr/>
        <w:t>outcomes and</w:t>
      </w:r>
      <w:r>
        <w:rPr>
          <w:spacing w:val="5"/>
        </w:rPr>
        <w:t> </w:t>
      </w:r>
      <w:r>
        <w:rPr/>
        <w:t>HSB.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60" w:right="154"/>
        <w:jc w:val="both"/>
      </w:pPr>
      <w:r>
        <w:rPr/>
        <w:t>In Africa, the 2</w:t>
      </w:r>
      <w:r>
        <w:rPr>
          <w:vertAlign w:val="superscript"/>
        </w:rPr>
        <w:t>nd</w:t>
      </w:r>
      <w:r>
        <w:rPr>
          <w:vertAlign w:val="baseline"/>
        </w:rPr>
        <w:t> most (income)</w:t>
      </w:r>
      <w:r>
        <w:rPr>
          <w:spacing w:val="1"/>
          <w:vertAlign w:val="baseline"/>
        </w:rPr>
        <w:t> </w:t>
      </w:r>
      <w:r>
        <w:rPr>
          <w:vertAlign w:val="baseline"/>
        </w:rPr>
        <w:t>unequal continent in the world after Latin America, </w:t>
      </w:r>
      <w:r>
        <w:rPr>
          <w:sz w:val="23"/>
          <w:vertAlign w:val="baseline"/>
        </w:rPr>
        <w:t>46%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adults</w:t>
      </w:r>
      <w:r>
        <w:rPr>
          <w:spacing w:val="-11"/>
          <w:vertAlign w:val="baseline"/>
        </w:rPr>
        <w:t> </w:t>
      </w:r>
      <w:r>
        <w:rPr>
          <w:vertAlign w:val="baseline"/>
        </w:rPr>
        <w:t>above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age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25</w:t>
      </w:r>
      <w:r>
        <w:rPr>
          <w:spacing w:val="-11"/>
          <w:vertAlign w:val="baseline"/>
        </w:rPr>
        <w:t> </w:t>
      </w:r>
      <w:r>
        <w:rPr>
          <w:vertAlign w:val="baseline"/>
        </w:rPr>
        <w:t>are</w:t>
      </w:r>
      <w:r>
        <w:rPr>
          <w:spacing w:val="-11"/>
          <w:vertAlign w:val="baseline"/>
        </w:rPr>
        <w:t> </w:t>
      </w:r>
      <w:r>
        <w:rPr>
          <w:vertAlign w:val="baseline"/>
        </w:rPr>
        <w:t>hypertensive</w:t>
      </w:r>
      <w:r>
        <w:rPr>
          <w:spacing w:val="-11"/>
          <w:vertAlign w:val="baseline"/>
        </w:rPr>
        <w:t> </w:t>
      </w:r>
      <w:r>
        <w:rPr>
          <w:vertAlign w:val="baseline"/>
        </w:rPr>
        <w:t>(</w:t>
      </w:r>
      <w:r>
        <w:rPr>
          <w:sz w:val="23"/>
          <w:vertAlign w:val="baseline"/>
        </w:rPr>
        <w:t>WHO,</w:t>
      </w:r>
      <w:r>
        <w:rPr>
          <w:spacing w:val="-11"/>
          <w:sz w:val="23"/>
          <w:vertAlign w:val="baseline"/>
        </w:rPr>
        <w:t> </w:t>
      </w:r>
      <w:r>
        <w:rPr>
          <w:sz w:val="23"/>
          <w:vertAlign w:val="baseline"/>
        </w:rPr>
        <w:t>2018a;</w:t>
      </w:r>
      <w:r>
        <w:rPr>
          <w:spacing w:val="-11"/>
          <w:sz w:val="23"/>
          <w:vertAlign w:val="baseline"/>
        </w:rPr>
        <w:t> </w:t>
      </w:r>
      <w:r>
        <w:rPr>
          <w:sz w:val="23"/>
          <w:vertAlign w:val="baseline"/>
        </w:rPr>
        <w:t>African</w:t>
      </w:r>
      <w:r>
        <w:rPr>
          <w:spacing w:val="-11"/>
          <w:sz w:val="23"/>
          <w:vertAlign w:val="baseline"/>
        </w:rPr>
        <w:t> </w:t>
      </w:r>
      <w:r>
        <w:rPr>
          <w:sz w:val="23"/>
          <w:vertAlign w:val="baseline"/>
        </w:rPr>
        <w:t>Development</w:t>
      </w:r>
      <w:r>
        <w:rPr>
          <w:spacing w:val="-11"/>
          <w:sz w:val="23"/>
          <w:vertAlign w:val="baseline"/>
        </w:rPr>
        <w:t> </w:t>
      </w:r>
      <w:r>
        <w:rPr>
          <w:sz w:val="23"/>
          <w:vertAlign w:val="baseline"/>
        </w:rPr>
        <w:t>Bank,</w:t>
      </w:r>
      <w:r>
        <w:rPr>
          <w:spacing w:val="-11"/>
          <w:sz w:val="23"/>
          <w:vertAlign w:val="baseline"/>
        </w:rPr>
        <w:t> </w:t>
      </w:r>
      <w:r>
        <w:rPr>
          <w:sz w:val="23"/>
          <w:vertAlign w:val="baseline"/>
        </w:rPr>
        <w:t>ADB,</w:t>
      </w:r>
      <w:r>
        <w:rPr>
          <w:spacing w:val="-11"/>
          <w:sz w:val="23"/>
          <w:vertAlign w:val="baseline"/>
        </w:rPr>
        <w:t> </w:t>
      </w:r>
      <w:r>
        <w:rPr>
          <w:sz w:val="23"/>
          <w:vertAlign w:val="baseline"/>
        </w:rPr>
        <w:t>2019</w:t>
      </w:r>
      <w:r>
        <w:rPr>
          <w:vertAlign w:val="baseline"/>
        </w:rPr>
        <w:t>).</w:t>
      </w:r>
      <w:r>
        <w:rPr>
          <w:spacing w:val="-58"/>
          <w:vertAlign w:val="baseline"/>
        </w:rPr>
        <w:t> </w:t>
      </w:r>
      <w:r>
        <w:rPr>
          <w:vertAlign w:val="baseline"/>
        </w:rPr>
        <w:t>Due to the epidemiologic transition of diseases in Africa, the continent is expected to have 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world’s</w:t>
      </w:r>
      <w:r>
        <w:rPr>
          <w:spacing w:val="-2"/>
          <w:vertAlign w:val="baseline"/>
        </w:rPr>
        <w:t> </w:t>
      </w:r>
      <w:r>
        <w:rPr>
          <w:vertAlign w:val="baseline"/>
        </w:rPr>
        <w:t>largest</w:t>
      </w:r>
      <w:r>
        <w:rPr>
          <w:spacing w:val="-3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NCDs</w:t>
      </w:r>
      <w:r>
        <w:rPr>
          <w:spacing w:val="-1"/>
          <w:vertAlign w:val="baseline"/>
        </w:rPr>
        <w:t> </w:t>
      </w:r>
      <w:r>
        <w:rPr>
          <w:vertAlign w:val="baseline"/>
        </w:rPr>
        <w:t>illness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deaths</w:t>
      </w:r>
      <w:r>
        <w:rPr>
          <w:spacing w:val="-2"/>
          <w:vertAlign w:val="baseline"/>
        </w:rPr>
        <w:t> </w:t>
      </w:r>
      <w:r>
        <w:rPr>
          <w:vertAlign w:val="baseline"/>
        </w:rPr>
        <w:t>over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next</w:t>
      </w:r>
      <w:r>
        <w:rPr>
          <w:spacing w:val="-4"/>
          <w:vertAlign w:val="baseline"/>
        </w:rPr>
        <w:t> </w:t>
      </w:r>
      <w:r>
        <w:rPr>
          <w:vertAlign w:val="baseline"/>
        </w:rPr>
        <w:t>decades.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instance,</w:t>
      </w:r>
      <w:r>
        <w:rPr>
          <w:spacing w:val="-2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number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poor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health</w:t>
      </w:r>
      <w:r>
        <w:rPr>
          <w:spacing w:val="-10"/>
          <w:vertAlign w:val="baseline"/>
        </w:rPr>
        <w:t> </w:t>
      </w:r>
      <w:r>
        <w:rPr>
          <w:vertAlign w:val="baseline"/>
        </w:rPr>
        <w:t>outcomes</w:t>
      </w:r>
      <w:r>
        <w:rPr>
          <w:spacing w:val="-10"/>
          <w:vertAlign w:val="baseline"/>
        </w:rPr>
        <w:t> </w:t>
      </w:r>
      <w:r>
        <w:rPr>
          <w:vertAlign w:val="baseline"/>
        </w:rPr>
        <w:t>from</w:t>
      </w:r>
      <w:r>
        <w:rPr>
          <w:spacing w:val="-10"/>
          <w:vertAlign w:val="baseline"/>
        </w:rPr>
        <w:t> </w:t>
      </w:r>
      <w:r>
        <w:rPr>
          <w:vertAlign w:val="baseline"/>
        </w:rPr>
        <w:t>HIV/AIDs</w:t>
      </w:r>
      <w:r>
        <w:rPr>
          <w:spacing w:val="-10"/>
          <w:vertAlign w:val="baseline"/>
        </w:rPr>
        <w:t> </w:t>
      </w:r>
      <w:r>
        <w:rPr>
          <w:vertAlign w:val="baseline"/>
        </w:rPr>
        <w:t>dropped</w:t>
      </w:r>
      <w:r>
        <w:rPr>
          <w:spacing w:val="-10"/>
          <w:vertAlign w:val="baseline"/>
        </w:rPr>
        <w:t> </w:t>
      </w:r>
      <w:r>
        <w:rPr>
          <w:vertAlign w:val="baseline"/>
        </w:rPr>
        <w:t>by</w:t>
      </w:r>
      <w:r>
        <w:rPr>
          <w:spacing w:val="-14"/>
          <w:vertAlign w:val="baseline"/>
        </w:rPr>
        <w:t> </w:t>
      </w:r>
      <w:r>
        <w:rPr>
          <w:vertAlign w:val="baseline"/>
        </w:rPr>
        <w:t>more</w:t>
      </w:r>
      <w:r>
        <w:rPr>
          <w:spacing w:val="-1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1"/>
          <w:vertAlign w:val="baseline"/>
        </w:rPr>
        <w:t> </w:t>
      </w:r>
      <w:r>
        <w:rPr>
          <w:vertAlign w:val="baseline"/>
        </w:rPr>
        <w:t>half</w:t>
      </w:r>
      <w:r>
        <w:rPr>
          <w:spacing w:val="-8"/>
          <w:vertAlign w:val="baseline"/>
        </w:rPr>
        <w:t> </w:t>
      </w:r>
      <w:r>
        <w:rPr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vertAlign w:val="baseline"/>
        </w:rPr>
        <w:t>Africa,</w:t>
      </w:r>
      <w:r>
        <w:rPr>
          <w:spacing w:val="-10"/>
          <w:vertAlign w:val="baseline"/>
        </w:rPr>
        <w:t> </w:t>
      </w:r>
      <w:r>
        <w:rPr>
          <w:vertAlign w:val="baseline"/>
        </w:rPr>
        <w:t>falling</w:t>
      </w:r>
      <w:r>
        <w:rPr>
          <w:spacing w:val="-12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spacing w:line="275" w:lineRule="exact"/>
        <w:ind w:left="160"/>
        <w:jc w:val="both"/>
      </w:pPr>
      <w:r>
        <w:rPr/>
        <w:t>1.5</w:t>
      </w:r>
      <w:r>
        <w:rPr>
          <w:spacing w:val="39"/>
        </w:rPr>
        <w:t> </w:t>
      </w:r>
      <w:r>
        <w:rPr/>
        <w:t>million</w:t>
      </w:r>
      <w:r>
        <w:rPr>
          <w:spacing w:val="40"/>
        </w:rPr>
        <w:t> </w:t>
      </w:r>
      <w:r>
        <w:rPr/>
        <w:t>in</w:t>
      </w:r>
      <w:r>
        <w:rPr>
          <w:spacing w:val="38"/>
        </w:rPr>
        <w:t> </w:t>
      </w:r>
      <w:r>
        <w:rPr/>
        <w:t>2000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435,000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2019</w:t>
      </w:r>
      <w:r>
        <w:rPr>
          <w:spacing w:val="40"/>
        </w:rPr>
        <w:t> </w:t>
      </w:r>
      <w:r>
        <w:rPr/>
        <w:t>(WHO,</w:t>
      </w:r>
      <w:r>
        <w:rPr>
          <w:spacing w:val="39"/>
        </w:rPr>
        <w:t> </w:t>
      </w:r>
      <w:r>
        <w:rPr/>
        <w:t>2020);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most</w:t>
      </w:r>
      <w:r>
        <w:rPr>
          <w:spacing w:val="40"/>
        </w:rPr>
        <w:t> </w:t>
      </w:r>
      <w:r>
        <w:rPr/>
        <w:t>African</w:t>
      </w:r>
      <w:r>
        <w:rPr>
          <w:spacing w:val="39"/>
        </w:rPr>
        <w:t> </w:t>
      </w:r>
      <w:r>
        <w:rPr/>
        <w:t>countries,</w:t>
      </w:r>
      <w:r>
        <w:rPr>
          <w:spacing w:val="40"/>
        </w:rPr>
        <w:t> </w:t>
      </w:r>
      <w:r>
        <w:rPr/>
        <w:t>NCDs</w:t>
      </w:r>
      <w:r>
        <w:rPr>
          <w:spacing w:val="39"/>
        </w:rPr>
        <w:t> </w:t>
      </w:r>
      <w:r>
        <w:rPr/>
        <w:t>are</w:t>
      </w:r>
    </w:p>
    <w:p>
      <w:pPr>
        <w:spacing w:after="0" w:line="275" w:lineRule="exact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3"/>
        <w:jc w:val="both"/>
      </w:pPr>
      <w:r>
        <w:rPr/>
        <w:t>responsible for more than three-quarters (75%) of all deaths, which could continue if urgent and</w:t>
      </w:r>
      <w:r>
        <w:rPr>
          <w:spacing w:val="1"/>
        </w:rPr>
        <w:t> </w:t>
      </w:r>
      <w:r>
        <w:rPr/>
        <w:t>evidence-based policies are not successfully implemented (Idris, Mensah and Kitamusa, 2020).</w:t>
      </w:r>
      <w:r>
        <w:rPr>
          <w:spacing w:val="1"/>
        </w:rPr>
        <w:t> </w:t>
      </w:r>
      <w:r>
        <w:rPr/>
        <w:t>This explain that the widening income gaps in Africa could be detrimental to both poverty</w:t>
      </w:r>
      <w:r>
        <w:rPr>
          <w:spacing w:val="1"/>
        </w:rPr>
        <w:t> </w:t>
      </w:r>
      <w:r>
        <w:rPr/>
        <w:t>reduction efforts and health policies, because rising income inequality can have an adverse effect</w:t>
      </w:r>
      <w:r>
        <w:rPr>
          <w:spacing w:val="-57"/>
        </w:rPr>
        <w:t> </w:t>
      </w:r>
      <w:r>
        <w:rPr/>
        <w:t>on political representation and cause political capture (Bartels, 2008; Wolf, 2015), where the rich</w:t>
      </w:r>
      <w:r>
        <w:rPr>
          <w:spacing w:val="-57"/>
        </w:rPr>
        <w:t> </w:t>
      </w:r>
      <w:r>
        <w:rPr/>
        <w:t>citizens use their favour at the expense of everyone else. Tita and Aziakpolo (2016:2) observed</w:t>
      </w:r>
      <w:r>
        <w:rPr>
          <w:spacing w:val="1"/>
        </w:rPr>
        <w:t> </w:t>
      </w:r>
      <w:r>
        <w:rPr/>
        <w:t>that the greatest challenge facing the African continent is rising levels of income inequality and</w:t>
      </w:r>
      <w:r>
        <w:rPr>
          <w:spacing w:val="1"/>
        </w:rPr>
        <w:t> </w:t>
      </w:r>
      <w:r>
        <w:rPr/>
        <w:t>poorest</w:t>
      </w:r>
      <w:r>
        <w:rPr>
          <w:spacing w:val="-1"/>
        </w:rPr>
        <w:t> </w:t>
      </w:r>
      <w:r>
        <w:rPr/>
        <w:t>health outcomes.</w:t>
      </w:r>
    </w:p>
    <w:p>
      <w:pPr>
        <w:pStyle w:val="BodyText"/>
        <w:spacing w:line="360" w:lineRule="auto" w:before="186"/>
        <w:ind w:left="160" w:right="156"/>
        <w:jc w:val="both"/>
      </w:pPr>
      <w:r>
        <w:rPr/>
        <w:t>In Nigeria, there is also a growing income gap since the 1990s (Isah, 2011; Aigbokhan, 2017).</w:t>
      </w:r>
      <w:r>
        <w:rPr>
          <w:spacing w:val="1"/>
        </w:rPr>
        <w:t> </w:t>
      </w:r>
      <w:r>
        <w:rPr/>
        <w:t>While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nation’s</w:t>
      </w:r>
      <w:r>
        <w:rPr>
          <w:spacing w:val="-8"/>
        </w:rPr>
        <w:t> </w:t>
      </w:r>
      <w:r>
        <w:rPr/>
        <w:t>income</w:t>
      </w:r>
      <w:r>
        <w:rPr>
          <w:spacing w:val="-9"/>
        </w:rPr>
        <w:t> </w:t>
      </w:r>
      <w:r>
        <w:rPr/>
        <w:t>inequality</w:t>
      </w:r>
      <w:r>
        <w:rPr>
          <w:spacing w:val="-12"/>
        </w:rPr>
        <w:t> </w:t>
      </w:r>
      <w:r>
        <w:rPr/>
        <w:t>was</w:t>
      </w:r>
      <w:r>
        <w:rPr>
          <w:spacing w:val="-5"/>
        </w:rPr>
        <w:t> </w:t>
      </w:r>
      <w:r>
        <w:rPr/>
        <w:t>merely</w:t>
      </w:r>
      <w:r>
        <w:rPr>
          <w:spacing w:val="-10"/>
        </w:rPr>
        <w:t> </w:t>
      </w:r>
      <w:r>
        <w:rPr/>
        <w:t>0.36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1980s,</w:t>
      </w:r>
      <w:r>
        <w:rPr>
          <w:spacing w:val="-7"/>
        </w:rPr>
        <w:t> </w:t>
      </w:r>
      <w:r>
        <w:rPr/>
        <w:t>poor</w:t>
      </w:r>
      <w:r>
        <w:rPr>
          <w:spacing w:val="-8"/>
        </w:rPr>
        <w:t> </w:t>
      </w:r>
      <w:r>
        <w:rPr/>
        <w:t>health</w:t>
      </w:r>
      <w:r>
        <w:rPr>
          <w:spacing w:val="-5"/>
        </w:rPr>
        <w:t> </w:t>
      </w:r>
      <w:r>
        <w:rPr/>
        <w:t>outcomes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NCDs</w:t>
      </w:r>
      <w:r>
        <w:rPr>
          <w:spacing w:val="-58"/>
        </w:rPr>
        <w:t> </w:t>
      </w:r>
      <w:r>
        <w:rPr/>
        <w:t>were</w:t>
      </w:r>
      <w:r>
        <w:rPr>
          <w:spacing w:val="-9"/>
        </w:rPr>
        <w:t> </w:t>
      </w:r>
      <w:r>
        <w:rPr/>
        <w:t>very</w:t>
      </w:r>
      <w:r>
        <w:rPr>
          <w:spacing w:val="-12"/>
        </w:rPr>
        <w:t> </w:t>
      </w:r>
      <w:r>
        <w:rPr/>
        <w:t>rare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</w:t>
      </w:r>
      <w:r>
        <w:rPr>
          <w:spacing w:val="-5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7"/>
        </w:rPr>
        <w:t> </w:t>
      </w:r>
      <w:r>
        <w:rPr/>
        <w:t>periods.</w:t>
      </w:r>
      <w:r>
        <w:rPr>
          <w:spacing w:val="-8"/>
        </w:rPr>
        <w:t> </w:t>
      </w:r>
      <w:r>
        <w:rPr/>
        <w:t>Surprisingly,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income</w:t>
      </w:r>
      <w:r>
        <w:rPr>
          <w:spacing w:val="-8"/>
        </w:rPr>
        <w:t> </w:t>
      </w:r>
      <w:r>
        <w:rPr/>
        <w:t>disparity</w:t>
      </w:r>
      <w:r>
        <w:rPr>
          <w:spacing w:val="-11"/>
        </w:rPr>
        <w:t> </w:t>
      </w:r>
      <w:r>
        <w:rPr/>
        <w:t>rose</w:t>
      </w:r>
      <w:r>
        <w:rPr>
          <w:spacing w:val="-9"/>
        </w:rPr>
        <w:t> </w:t>
      </w:r>
      <w:r>
        <w:rPr/>
        <w:t>steadily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nation, illness and deaths particularly from NCDs increase speedily (Federal Ministry of Health,</w:t>
      </w:r>
      <w:r>
        <w:rPr>
          <w:spacing w:val="1"/>
        </w:rPr>
        <w:t> </w:t>
      </w:r>
      <w:r>
        <w:rPr/>
        <w:t>2013;</w:t>
      </w:r>
      <w:r>
        <w:rPr>
          <w:spacing w:val="-8"/>
        </w:rPr>
        <w:t> </w:t>
      </w:r>
      <w:r>
        <w:rPr/>
        <w:t>WHO,</w:t>
      </w:r>
      <w:r>
        <w:rPr>
          <w:spacing w:val="-9"/>
        </w:rPr>
        <w:t> </w:t>
      </w:r>
      <w:r>
        <w:rPr/>
        <w:t>2018b).</w:t>
      </w:r>
      <w:r>
        <w:rPr>
          <w:spacing w:val="-8"/>
        </w:rPr>
        <w:t> </w:t>
      </w:r>
      <w:r>
        <w:rPr/>
        <w:t>According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Seery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Arendar</w:t>
      </w:r>
      <w:r>
        <w:rPr>
          <w:spacing w:val="-8"/>
        </w:rPr>
        <w:t> </w:t>
      </w:r>
      <w:r>
        <w:rPr/>
        <w:t>(2019),</w:t>
      </w:r>
      <w:r>
        <w:rPr>
          <w:spacing w:val="-9"/>
        </w:rPr>
        <w:t> </w:t>
      </w:r>
      <w:r>
        <w:rPr/>
        <w:t>Nigeria</w:t>
      </w:r>
      <w:r>
        <w:rPr>
          <w:spacing w:val="-10"/>
        </w:rPr>
        <w:t> </w:t>
      </w:r>
      <w:r>
        <w:rPr/>
        <w:t>has</w:t>
      </w:r>
      <w:r>
        <w:rPr>
          <w:spacing w:val="-7"/>
        </w:rPr>
        <w:t> </w:t>
      </w:r>
      <w:r>
        <w:rPr/>
        <w:t>slightly</w:t>
      </w:r>
      <w:r>
        <w:rPr>
          <w:spacing w:val="-13"/>
        </w:rPr>
        <w:t> </w:t>
      </w:r>
      <w:r>
        <w:rPr/>
        <w:t>average</w:t>
      </w:r>
      <w:r>
        <w:rPr>
          <w:spacing w:val="-10"/>
        </w:rPr>
        <w:t> </w:t>
      </w:r>
      <w:r>
        <w:rPr/>
        <w:t>growth</w:t>
      </w:r>
      <w:r>
        <w:rPr>
          <w:spacing w:val="-57"/>
        </w:rPr>
        <w:t> </w:t>
      </w:r>
      <w:r>
        <w:rPr/>
        <w:t>rate than Bangladesh before her economic recession of 2015-2016, but it is far less equal in terms</w:t>
      </w:r>
      <w:r>
        <w:rPr>
          <w:spacing w:val="-58"/>
        </w:rPr>
        <w:t> </w:t>
      </w:r>
      <w:r>
        <w:rPr/>
        <w:t>of income distribution. Consequently, a child born in Nigeria is three times more likely to die</w:t>
      </w:r>
      <w:r>
        <w:rPr>
          <w:spacing w:val="1"/>
        </w:rPr>
        <w:t> </w:t>
      </w:r>
      <w:r>
        <w:rPr/>
        <w:t>before</w:t>
      </w:r>
      <w:r>
        <w:rPr>
          <w:spacing w:val="-3"/>
        </w:rPr>
        <w:t> </w:t>
      </w:r>
      <w:r>
        <w:rPr/>
        <w:t>his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her</w:t>
      </w:r>
      <w:r>
        <w:rPr>
          <w:spacing w:val="-2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vertAlign w:val="baseline"/>
        </w:rPr>
        <w:t> birthday,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vertAlign w:val="baseline"/>
        </w:rPr>
        <w:t>child</w:t>
      </w:r>
      <w:r>
        <w:rPr>
          <w:spacing w:val="-1"/>
          <w:vertAlign w:val="baseline"/>
        </w:rPr>
        <w:t> </w:t>
      </w:r>
      <w:r>
        <w:rPr>
          <w:vertAlign w:val="baseline"/>
        </w:rPr>
        <w:t>born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Bangladesh</w:t>
      </w:r>
      <w:r>
        <w:rPr>
          <w:spacing w:val="-1"/>
          <w:vertAlign w:val="baseline"/>
        </w:rPr>
        <w:t> </w:t>
      </w:r>
      <w:r>
        <w:rPr>
          <w:vertAlign w:val="baseline"/>
        </w:rPr>
        <w:t>(see</w:t>
      </w:r>
      <w:r>
        <w:rPr>
          <w:spacing w:val="-2"/>
          <w:vertAlign w:val="baseline"/>
        </w:rPr>
        <w:t> </w:t>
      </w:r>
      <w:r>
        <w:rPr>
          <w:vertAlign w:val="baseline"/>
        </w:rPr>
        <w:t>World</w:t>
      </w:r>
      <w:r>
        <w:rPr>
          <w:spacing w:val="-1"/>
          <w:vertAlign w:val="baseline"/>
        </w:rPr>
        <w:t> </w:t>
      </w:r>
      <w:r>
        <w:rPr>
          <w:vertAlign w:val="baseline"/>
        </w:rPr>
        <w:t>Bank,</w:t>
      </w:r>
      <w:r>
        <w:rPr>
          <w:spacing w:val="-1"/>
          <w:vertAlign w:val="baseline"/>
        </w:rPr>
        <w:t> </w:t>
      </w:r>
      <w:r>
        <w:rPr>
          <w:vertAlign w:val="baseline"/>
        </w:rPr>
        <w:t>2019).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seem</w:t>
      </w:r>
      <w:r>
        <w:rPr>
          <w:spacing w:val="-58"/>
          <w:vertAlign w:val="baseline"/>
        </w:rPr>
        <w:t> </w:t>
      </w:r>
      <w:r>
        <w:rPr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vertAlign w:val="baseline"/>
        </w:rPr>
        <w:t>suggest</w:t>
      </w:r>
      <w:r>
        <w:rPr>
          <w:spacing w:val="-3"/>
          <w:vertAlign w:val="baseline"/>
        </w:rPr>
        <w:t> </w:t>
      </w:r>
      <w:r>
        <w:rPr>
          <w:vertAlign w:val="baseline"/>
        </w:rPr>
        <w:t>that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widening</w:t>
      </w:r>
      <w:r>
        <w:rPr>
          <w:spacing w:val="-3"/>
          <w:vertAlign w:val="baseline"/>
        </w:rPr>
        <w:t> </w:t>
      </w:r>
      <w:r>
        <w:rPr>
          <w:vertAlign w:val="baseline"/>
        </w:rPr>
        <w:t>gap</w:t>
      </w:r>
      <w:r>
        <w:rPr>
          <w:spacing w:val="-4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rich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poor</w:t>
      </w:r>
      <w:r>
        <w:rPr>
          <w:spacing w:val="-5"/>
          <w:vertAlign w:val="baseline"/>
        </w:rPr>
        <w:t> </w:t>
      </w:r>
      <w:r>
        <w:rPr>
          <w:vertAlign w:val="baseline"/>
        </w:rPr>
        <w:t>coexist</w:t>
      </w:r>
      <w:r>
        <w:rPr>
          <w:spacing w:val="-3"/>
          <w:vertAlign w:val="baseline"/>
        </w:rPr>
        <w:t> </w:t>
      </w:r>
      <w:r>
        <w:rPr>
          <w:vertAlign w:val="baseline"/>
        </w:rPr>
        <w:t>with</w:t>
      </w:r>
      <w:r>
        <w:rPr>
          <w:spacing w:val="-3"/>
          <w:vertAlign w:val="baseline"/>
        </w:rPr>
        <w:t> </w:t>
      </w:r>
      <w:r>
        <w:rPr>
          <w:vertAlign w:val="baseline"/>
        </w:rPr>
        <w:t>poor</w:t>
      </w:r>
      <w:r>
        <w:rPr>
          <w:spacing w:val="-7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4"/>
          <w:vertAlign w:val="baseline"/>
        </w:rPr>
        <w:t> </w:t>
      </w:r>
      <w:r>
        <w:rPr>
          <w:vertAlign w:val="baseline"/>
        </w:rPr>
        <w:t>outcomes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58"/>
          <w:vertAlign w:val="baseline"/>
        </w:rPr>
        <w:t> </w:t>
      </w:r>
      <w:r>
        <w:rPr>
          <w:vertAlign w:val="baseline"/>
        </w:rPr>
        <w:t>weak HSB in Nigeria. It further implies that the rising income inequality in Nigeria might have a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-2"/>
          <w:vertAlign w:val="baseline"/>
        </w:rPr>
        <w:t> </w:t>
      </w:r>
      <w:r>
        <w:rPr>
          <w:vertAlign w:val="baseline"/>
        </w:rPr>
        <w:t>effect on health outcomes and HSB.</w:t>
      </w:r>
    </w:p>
    <w:p>
      <w:pPr>
        <w:pStyle w:val="BodyText"/>
        <w:spacing w:line="360" w:lineRule="auto" w:before="185"/>
        <w:ind w:left="160" w:right="156"/>
        <w:jc w:val="both"/>
      </w:pPr>
      <w:r>
        <w:rPr/>
        <w:t>These</w:t>
      </w:r>
      <w:r>
        <w:rPr>
          <w:spacing w:val="-5"/>
        </w:rPr>
        <w:t> </w:t>
      </w:r>
      <w:r>
        <w:rPr/>
        <w:t>issues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underscores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United</w:t>
      </w:r>
      <w:r>
        <w:rPr>
          <w:spacing w:val="-1"/>
        </w:rPr>
        <w:t> </w:t>
      </w:r>
      <w:r>
        <w:rPr/>
        <w:t>Nations</w:t>
      </w:r>
      <w:r>
        <w:rPr>
          <w:spacing w:val="-1"/>
        </w:rPr>
        <w:t> </w:t>
      </w:r>
      <w:r>
        <w:rPr/>
        <w:t>SDG</w:t>
      </w:r>
      <w:r>
        <w:rPr>
          <w:spacing w:val="-3"/>
        </w:rPr>
        <w:t> </w:t>
      </w:r>
      <w:r>
        <w:rPr/>
        <w:t>number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10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achieving</w:t>
      </w:r>
      <w:r>
        <w:rPr>
          <w:spacing w:val="-4"/>
        </w:rPr>
        <w:t> </w:t>
      </w:r>
      <w:r>
        <w:rPr/>
        <w:t>good</w:t>
      </w:r>
      <w:r>
        <w:rPr>
          <w:spacing w:val="-4"/>
        </w:rPr>
        <w:t> </w:t>
      </w:r>
      <w:r>
        <w:rPr/>
        <w:t>health</w:t>
      </w:r>
      <w:r>
        <w:rPr>
          <w:spacing w:val="-57"/>
        </w:rPr>
        <w:t> </w:t>
      </w:r>
      <w:r>
        <w:rPr/>
        <w:t>for</w:t>
      </w:r>
      <w:r>
        <w:rPr>
          <w:spacing w:val="-5"/>
        </w:rPr>
        <w:t> </w:t>
      </w:r>
      <w:r>
        <w:rPr/>
        <w:t>all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ages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reduce</w:t>
      </w:r>
      <w:r>
        <w:rPr>
          <w:spacing w:val="-5"/>
        </w:rPr>
        <w:t> </w:t>
      </w:r>
      <w:r>
        <w:rPr/>
        <w:t>income</w:t>
      </w:r>
      <w:r>
        <w:rPr>
          <w:spacing w:val="-4"/>
        </w:rPr>
        <w:t> </w:t>
      </w:r>
      <w:r>
        <w:rPr/>
        <w:t>inequality</w:t>
      </w:r>
      <w:r>
        <w:rPr>
          <w:spacing w:val="-9"/>
        </w:rPr>
        <w:t> </w:t>
      </w:r>
      <w:r>
        <w:rPr/>
        <w:t>within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among</w:t>
      </w:r>
      <w:r>
        <w:rPr>
          <w:spacing w:val="-6"/>
        </w:rPr>
        <w:t> </w:t>
      </w:r>
      <w:r>
        <w:rPr/>
        <w:t>nations,</w:t>
      </w:r>
      <w:r>
        <w:rPr>
          <w:spacing w:val="1"/>
        </w:rPr>
        <w:t> </w:t>
      </w:r>
      <w:r>
        <w:rPr/>
        <w:t>respectively,</w:t>
      </w:r>
      <w:r>
        <w:rPr>
          <w:spacing w:val="-4"/>
        </w:rPr>
        <w:t> </w:t>
      </w:r>
      <w:r>
        <w:rPr/>
        <w:t>before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year 2030. However, efforts geared at these have been hindered partly by insufficient knowledge</w:t>
      </w:r>
      <w:r>
        <w:rPr>
          <w:spacing w:val="1"/>
        </w:rPr>
        <w:t> </w:t>
      </w:r>
      <w:r>
        <w:rPr/>
        <w:t>of how income inequality affects health outcomes and motives inappropriate healthcare-seeking</w:t>
      </w:r>
      <w:r>
        <w:rPr>
          <w:spacing w:val="1"/>
        </w:rPr>
        <w:t> </w:t>
      </w:r>
      <w:r>
        <w:rPr/>
        <w:t>among households. This perhaps inhibits policy planning and formulation toward achieving the</w:t>
      </w:r>
      <w:r>
        <w:rPr>
          <w:spacing w:val="1"/>
        </w:rPr>
        <w:t> </w:t>
      </w:r>
      <w:r>
        <w:rPr/>
        <w:t>United</w:t>
      </w:r>
      <w:r>
        <w:rPr>
          <w:spacing w:val="-2"/>
        </w:rPr>
        <w:t> </w:t>
      </w:r>
      <w:r>
        <w:rPr/>
        <w:t>Nation’s</w:t>
      </w:r>
      <w:r>
        <w:rPr>
          <w:spacing w:val="1"/>
        </w:rPr>
        <w:t> </w:t>
      </w:r>
      <w:r>
        <w:rPr/>
        <w:t>goals.</w:t>
      </w:r>
    </w:p>
    <w:p>
      <w:pPr>
        <w:pStyle w:val="BodyText"/>
        <w:spacing w:line="360" w:lineRule="auto" w:before="183"/>
        <w:ind w:left="160" w:right="154"/>
        <w:jc w:val="both"/>
      </w:pPr>
      <w:r>
        <w:rPr/>
        <w:t>Therefore, with the advent of the SDGs, in-depth studies of both direct and indirect effects of</w:t>
      </w:r>
      <w:r>
        <w:rPr>
          <w:spacing w:val="1"/>
        </w:rPr>
        <w:t> </w:t>
      </w:r>
      <w:r>
        <w:rPr/>
        <w:t>income inequality on health outcomes and health-seeking behaviour of households are needed in</w:t>
      </w:r>
      <w:r>
        <w:rPr>
          <w:spacing w:val="1"/>
        </w:rPr>
        <w:t> </w:t>
      </w:r>
      <w:r>
        <w:rPr/>
        <w:t>order to articulate necessary measures for improving good health for all citizens and reducing</w:t>
      </w:r>
      <w:r>
        <w:rPr>
          <w:spacing w:val="1"/>
        </w:rPr>
        <w:t> </w:t>
      </w:r>
      <w:r>
        <w:rPr/>
        <w:t>income</w:t>
      </w:r>
      <w:r>
        <w:rPr>
          <w:spacing w:val="-2"/>
        </w:rPr>
        <w:t> </w:t>
      </w:r>
      <w:r>
        <w:rPr/>
        <w:t>disparities in Nigeria</w:t>
      </w:r>
      <w:r>
        <w:rPr>
          <w:spacing w:val="-2"/>
        </w:rPr>
        <w:t> </w:t>
      </w:r>
      <w:r>
        <w:rPr/>
        <w:t>with a view to inform policies to achieve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goals.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Heading4"/>
        <w:numPr>
          <w:ilvl w:val="1"/>
          <w:numId w:val="7"/>
        </w:numPr>
        <w:tabs>
          <w:tab w:pos="881" w:val="left" w:leader="none"/>
        </w:tabs>
        <w:spacing w:line="240" w:lineRule="auto" w:before="79" w:after="0"/>
        <w:ind w:left="880" w:right="0" w:hanging="721"/>
        <w:jc w:val="both"/>
      </w:pPr>
      <w:bookmarkStart w:name="_TOC_250070" w:id="7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bookmarkEnd w:id="7"/>
      <w:r>
        <w:rPr/>
        <w:t>Problem</w:t>
      </w:r>
    </w:p>
    <w:p>
      <w:pPr>
        <w:pStyle w:val="BodyText"/>
        <w:spacing w:line="360" w:lineRule="auto" w:before="132"/>
        <w:ind w:left="160" w:right="154"/>
        <w:jc w:val="both"/>
      </w:pPr>
      <w:r>
        <w:rPr/>
        <w:t>The poor health outcomes and weak healthcare-seeking behaviour in Nigeria has been a major</w:t>
      </w:r>
      <w:r>
        <w:rPr>
          <w:spacing w:val="1"/>
        </w:rPr>
        <w:t> </w:t>
      </w:r>
      <w:r>
        <w:rPr/>
        <w:t>concern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both</w:t>
      </w:r>
      <w:r>
        <w:rPr>
          <w:spacing w:val="-7"/>
        </w:rPr>
        <w:t> </w:t>
      </w:r>
      <w:r>
        <w:rPr/>
        <w:t>scholars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policy</w:t>
      </w:r>
      <w:r>
        <w:rPr>
          <w:spacing w:val="-8"/>
        </w:rPr>
        <w:t> </w:t>
      </w:r>
      <w:r>
        <w:rPr/>
        <w:t>makers</w:t>
      </w:r>
      <w:r>
        <w:rPr>
          <w:spacing w:val="-8"/>
        </w:rPr>
        <w:t> </w:t>
      </w:r>
      <w:r>
        <w:rPr/>
        <w:t>over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past</w:t>
      </w:r>
      <w:r>
        <w:rPr>
          <w:spacing w:val="-7"/>
        </w:rPr>
        <w:t> </w:t>
      </w:r>
      <w:r>
        <w:rPr/>
        <w:t>decades.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issue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reinforced</w:t>
      </w:r>
      <w:r>
        <w:rPr>
          <w:spacing w:val="-6"/>
        </w:rPr>
        <w:t> </w:t>
      </w:r>
      <w:r>
        <w:rPr/>
        <w:t>by</w:t>
      </w:r>
      <w:r>
        <w:rPr>
          <w:spacing w:val="-57"/>
        </w:rPr>
        <w:t> </w:t>
      </w:r>
      <w:r>
        <w:rPr/>
        <w:t>international pressures on nations (Nigeria inclusive) to achieve the SDGs target 3 before 2030</w:t>
      </w:r>
      <w:r>
        <w:rPr>
          <w:spacing w:val="1"/>
        </w:rPr>
        <w:t> </w:t>
      </w:r>
      <w:r>
        <w:rPr/>
        <w:t>(United</w:t>
      </w:r>
      <w:r>
        <w:rPr>
          <w:spacing w:val="-6"/>
        </w:rPr>
        <w:t> </w:t>
      </w:r>
      <w:r>
        <w:rPr/>
        <w:t>Nations,</w:t>
      </w:r>
      <w:r>
        <w:rPr>
          <w:spacing w:val="-6"/>
        </w:rPr>
        <w:t> </w:t>
      </w:r>
      <w:r>
        <w:rPr/>
        <w:t>2018).</w:t>
      </w:r>
      <w:r>
        <w:rPr>
          <w:spacing w:val="-2"/>
        </w:rPr>
        <w:t> </w:t>
      </w:r>
      <w:r>
        <w:rPr/>
        <w:t>Though</w:t>
      </w:r>
      <w:r>
        <w:rPr>
          <w:spacing w:val="-6"/>
        </w:rPr>
        <w:t> </w:t>
      </w:r>
      <w:r>
        <w:rPr/>
        <w:t>illness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deaths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NCDs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new</w:t>
      </w:r>
      <w:r>
        <w:rPr>
          <w:spacing w:val="-7"/>
        </w:rPr>
        <w:t> </w:t>
      </w:r>
      <w:r>
        <w:rPr/>
        <w:t>problem</w:t>
      </w:r>
      <w:r>
        <w:rPr>
          <w:spacing w:val="-5"/>
        </w:rPr>
        <w:t> </w:t>
      </w:r>
      <w:r>
        <w:rPr/>
        <w:t>having</w:t>
      </w:r>
      <w:r>
        <w:rPr>
          <w:spacing w:val="-9"/>
        </w:rPr>
        <w:t> </w:t>
      </w:r>
      <w:r>
        <w:rPr/>
        <w:t>long</w:t>
      </w:r>
      <w:r>
        <w:rPr>
          <w:spacing w:val="-57"/>
        </w:rPr>
        <w:t> </w:t>
      </w:r>
      <w:r>
        <w:rPr/>
        <w:t>been of concern in developed countries; they are however, of increasing issue in Nigeria. For</w:t>
      </w:r>
      <w:r>
        <w:rPr>
          <w:spacing w:val="1"/>
        </w:rPr>
        <w:t> </w:t>
      </w:r>
      <w:r>
        <w:rPr/>
        <w:t>instance, the percentage of deaths in Nigeria from NCDs alone such as, dementia, stroke, heart</w:t>
      </w:r>
      <w:r>
        <w:rPr>
          <w:spacing w:val="1"/>
        </w:rPr>
        <w:t> </w:t>
      </w:r>
      <w:r>
        <w:rPr/>
        <w:t>disease,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high blood</w:t>
      </w:r>
      <w:r>
        <w:rPr>
          <w:spacing w:val="-1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increased rapidly</w:t>
      </w:r>
      <w:r>
        <w:rPr>
          <w:spacing w:val="-4"/>
        </w:rPr>
        <w:t> </w:t>
      </w:r>
      <w:r>
        <w:rPr/>
        <w:t>from 21.9%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2000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 29%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2016</w:t>
      </w:r>
      <w:r>
        <w:rPr>
          <w:spacing w:val="-57"/>
        </w:rPr>
        <w:t> </w:t>
      </w:r>
      <w:r>
        <w:rPr>
          <w:spacing w:val="-1"/>
        </w:rPr>
        <w:t>(WHO,</w:t>
      </w:r>
      <w:r>
        <w:rPr>
          <w:spacing w:val="-15"/>
        </w:rPr>
        <w:t> </w:t>
      </w:r>
      <w:r>
        <w:rPr>
          <w:spacing w:val="-1"/>
        </w:rPr>
        <w:t>2019).</w:t>
      </w:r>
      <w:r>
        <w:rPr>
          <w:spacing w:val="-16"/>
        </w:rPr>
        <w:t> </w:t>
      </w:r>
      <w:r>
        <w:rPr/>
        <w:t>Furthermore,</w:t>
      </w:r>
      <w:r>
        <w:rPr>
          <w:spacing w:val="-15"/>
        </w:rPr>
        <w:t> </w:t>
      </w:r>
      <w:r>
        <w:rPr/>
        <w:t>more</w:t>
      </w:r>
      <w:r>
        <w:rPr>
          <w:spacing w:val="-16"/>
        </w:rPr>
        <w:t> </w:t>
      </w:r>
      <w:r>
        <w:rPr/>
        <w:t>than</w:t>
      </w:r>
      <w:r>
        <w:rPr>
          <w:spacing w:val="-15"/>
        </w:rPr>
        <w:t> </w:t>
      </w:r>
      <w:r>
        <w:rPr/>
        <w:t>31%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Nigerian</w:t>
      </w:r>
      <w:r>
        <w:rPr>
          <w:spacing w:val="-15"/>
        </w:rPr>
        <w:t> </w:t>
      </w:r>
      <w:r>
        <w:rPr/>
        <w:t>adults</w:t>
      </w:r>
      <w:r>
        <w:rPr>
          <w:spacing w:val="-15"/>
        </w:rPr>
        <w:t> </w:t>
      </w:r>
      <w:r>
        <w:rPr/>
        <w:t>older</w:t>
      </w:r>
      <w:r>
        <w:rPr>
          <w:spacing w:val="-16"/>
        </w:rPr>
        <w:t> </w:t>
      </w:r>
      <w:r>
        <w:rPr/>
        <w:t>than</w:t>
      </w:r>
      <w:r>
        <w:rPr>
          <w:spacing w:val="-14"/>
        </w:rPr>
        <w:t> </w:t>
      </w:r>
      <w:r>
        <w:rPr/>
        <w:t>25</w:t>
      </w:r>
      <w:r>
        <w:rPr>
          <w:spacing w:val="-12"/>
        </w:rPr>
        <w:t> </w:t>
      </w:r>
      <w:r>
        <w:rPr/>
        <w:t>years</w:t>
      </w:r>
      <w:r>
        <w:rPr>
          <w:spacing w:val="-15"/>
        </w:rPr>
        <w:t> </w:t>
      </w:r>
      <w:r>
        <w:rPr/>
        <w:t>are</w:t>
      </w:r>
      <w:r>
        <w:rPr>
          <w:spacing w:val="-17"/>
        </w:rPr>
        <w:t> </w:t>
      </w:r>
      <w:r>
        <w:rPr/>
        <w:t>hypertensive</w:t>
      </w:r>
      <w:r>
        <w:rPr>
          <w:spacing w:val="-57"/>
        </w:rPr>
        <w:t> </w:t>
      </w:r>
      <w:r>
        <w:rPr/>
        <w:t>(WHO, 2020). Again 23% and 25% of men and women, respectively, reported having an illness</w:t>
      </w:r>
      <w:r>
        <w:rPr>
          <w:spacing w:val="1"/>
        </w:rPr>
        <w:t> </w:t>
      </w:r>
      <w:r>
        <w:rPr/>
        <w:t>in the four weeks preceding the Nigeria General Household Panel Survey (NGHPS) Wave 4 of</w:t>
      </w:r>
      <w:r>
        <w:rPr>
          <w:spacing w:val="1"/>
        </w:rPr>
        <w:t> </w:t>
      </w:r>
      <w:r>
        <w:rPr/>
        <w:t>2019,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14% and</w:t>
      </w:r>
      <w:r>
        <w:rPr>
          <w:spacing w:val="-1"/>
        </w:rPr>
        <w:t> </w:t>
      </w:r>
      <w:r>
        <w:rPr/>
        <w:t>15%,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Wave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of 2016</w:t>
      </w:r>
      <w:r>
        <w:rPr>
          <w:spacing w:val="-1"/>
        </w:rPr>
        <w:t> </w:t>
      </w:r>
      <w:r>
        <w:rPr/>
        <w:t>(National</w:t>
      </w:r>
      <w:r>
        <w:rPr>
          <w:spacing w:val="-1"/>
        </w:rPr>
        <w:t> </w:t>
      </w:r>
      <w:r>
        <w:rPr/>
        <w:t>Bureau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Statistics,</w:t>
      </w:r>
    </w:p>
    <w:p>
      <w:pPr>
        <w:pStyle w:val="BodyText"/>
        <w:spacing w:before="2"/>
        <w:ind w:left="160"/>
        <w:jc w:val="both"/>
      </w:pPr>
      <w:r>
        <w:rPr/>
        <w:t>NBS,</w:t>
      </w:r>
      <w:r>
        <w:rPr>
          <w:spacing w:val="-2"/>
        </w:rPr>
        <w:t> </w:t>
      </w:r>
      <w:r>
        <w:rPr/>
        <w:t>2016,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0" w:lineRule="auto"/>
        <w:ind w:left="160" w:right="155"/>
        <w:jc w:val="both"/>
      </w:pPr>
      <w:r>
        <w:rPr/>
        <w:t>There is also a growing concern about weak healthcare-seeking behaviour in Nigeria. Arguably,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health-seeking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worsen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(Nonvignon,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because HSB is all behaviours associated with establishing and maintaining physical, social and</w:t>
      </w:r>
      <w:r>
        <w:rPr>
          <w:spacing w:val="1"/>
        </w:rPr>
        <w:t> </w:t>
      </w:r>
      <w:r>
        <w:rPr/>
        <w:t>mental health (WHO 2015). However, with the rise in the number of public, private </w:t>
      </w:r>
      <w:r>
        <w:rPr>
          <w:sz w:val="22"/>
        </w:rPr>
        <w:t>and </w:t>
      </w:r>
      <w:r>
        <w:rPr/>
        <w:t>non-</w:t>
      </w:r>
      <w:r>
        <w:rPr>
          <w:spacing w:val="1"/>
        </w:rPr>
        <w:t> </w:t>
      </w:r>
      <w:r>
        <w:rPr/>
        <w:t>governmental health facilities between 1980 and 2019, the trend of inappropriate HSB in Nigeria</w:t>
      </w:r>
      <w:r>
        <w:rPr>
          <w:spacing w:val="-57"/>
        </w:rPr>
        <w:t> </w:t>
      </w:r>
      <w:r>
        <w:rPr/>
        <w:t>(that is healthcare services from chemist, traditionalist, spiritualist, and self-medication) increase</w:t>
      </w:r>
      <w:r>
        <w:rPr>
          <w:spacing w:val="1"/>
        </w:rPr>
        <w:t> </w:t>
      </w:r>
      <w:r>
        <w:rPr/>
        <w:t>steadily from 46.7% in 2013 to 68.1% in 2019 (NBS, 2013, 2019). In addition, 71% and 53% of</w:t>
      </w:r>
      <w:r>
        <w:rPr>
          <w:spacing w:val="1"/>
        </w:rPr>
        <w:t> </w:t>
      </w:r>
      <w:r>
        <w:rPr/>
        <w:t>rural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urban</w:t>
      </w:r>
      <w:r>
        <w:rPr>
          <w:spacing w:val="-4"/>
        </w:rPr>
        <w:t> </w:t>
      </w:r>
      <w:r>
        <w:rPr/>
        <w:t>dwellers</w:t>
      </w:r>
      <w:r>
        <w:rPr>
          <w:spacing w:val="-4"/>
        </w:rPr>
        <w:t> </w:t>
      </w:r>
      <w:r>
        <w:rPr/>
        <w:t>respectively,</w:t>
      </w:r>
      <w:r>
        <w:rPr>
          <w:spacing w:val="-3"/>
        </w:rPr>
        <w:t> </w:t>
      </w:r>
      <w:r>
        <w:rPr/>
        <w:t>reported</w:t>
      </w:r>
      <w:r>
        <w:rPr>
          <w:spacing w:val="-3"/>
        </w:rPr>
        <w:t> </w:t>
      </w:r>
      <w:r>
        <w:rPr/>
        <w:t>inappropriate</w:t>
      </w:r>
      <w:r>
        <w:rPr>
          <w:spacing w:val="-4"/>
        </w:rPr>
        <w:t> </w:t>
      </w:r>
      <w:r>
        <w:rPr/>
        <w:t>HSB</w:t>
      </w:r>
      <w:r>
        <w:rPr>
          <w:spacing w:val="-5"/>
        </w:rPr>
        <w:t> </w:t>
      </w:r>
      <w:r>
        <w:rPr/>
        <w:t>during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last</w:t>
      </w:r>
      <w:r>
        <w:rPr>
          <w:spacing w:val="-4"/>
        </w:rPr>
        <w:t> </w:t>
      </w:r>
      <w:r>
        <w:rPr/>
        <w:t>illness</w:t>
      </w:r>
      <w:r>
        <w:rPr>
          <w:spacing w:val="-4"/>
        </w:rPr>
        <w:t> </w:t>
      </w:r>
      <w:r>
        <w:rPr/>
        <w:t>episode</w:t>
      </w:r>
      <w:r>
        <w:rPr>
          <w:spacing w:val="-58"/>
        </w:rPr>
        <w:t> </w:t>
      </w:r>
      <w:r>
        <w:rPr/>
        <w:t>(Latunji and Adeyemi, 2018). This suggest that the nation’s HSB is weak (Fagbemigbe, 2015:2;</w:t>
      </w:r>
      <w:r>
        <w:rPr>
          <w:spacing w:val="1"/>
        </w:rPr>
        <w:t> </w:t>
      </w:r>
      <w:r>
        <w:rPr/>
        <w:t>Abiola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2018:381).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60" w:right="154"/>
        <w:jc w:val="both"/>
      </w:pPr>
      <w:r>
        <w:rPr/>
        <w:t>These poor health outcomes and weak HSB in Nigeria could pose devastating health, social and</w:t>
      </w:r>
      <w:r>
        <w:rPr>
          <w:spacing w:val="1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consequences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individuals,</w:t>
      </w:r>
      <w:r>
        <w:rPr>
          <w:spacing w:val="-4"/>
        </w:rPr>
        <w:t> </w:t>
      </w:r>
      <w:r>
        <w:rPr/>
        <w:t>families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nation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large</w:t>
      </w:r>
      <w:r>
        <w:rPr>
          <w:spacing w:val="-2"/>
        </w:rPr>
        <w:t> </w:t>
      </w:r>
      <w:r>
        <w:rPr/>
        <w:t>(Becker,</w:t>
      </w:r>
      <w:r>
        <w:rPr>
          <w:spacing w:val="-5"/>
        </w:rPr>
        <w:t> </w:t>
      </w:r>
      <w:r>
        <w:rPr/>
        <w:t>1964;</w:t>
      </w:r>
      <w:r>
        <w:rPr>
          <w:spacing w:val="-2"/>
        </w:rPr>
        <w:t> </w:t>
      </w:r>
      <w:r>
        <w:rPr/>
        <w:t>Cai</w:t>
      </w:r>
      <w:r>
        <w:rPr>
          <w:spacing w:val="-3"/>
        </w:rPr>
        <w:t> </w:t>
      </w:r>
      <w:r>
        <w:rPr/>
        <w:t>and Kalb,</w:t>
      </w:r>
      <w:r>
        <w:rPr>
          <w:spacing w:val="-58"/>
        </w:rPr>
        <w:t> </w:t>
      </w:r>
      <w:r>
        <w:rPr/>
        <w:t>2005). It could lead to a decline in working-age population, and participation in the labour force,</w:t>
      </w:r>
      <w:r>
        <w:rPr>
          <w:spacing w:val="1"/>
        </w:rPr>
        <w:t> </w:t>
      </w:r>
      <w:r>
        <w:rPr/>
        <w:t>reduce productivity and in turn limit per capita Gross Domestic Product (GDP). It can also affect</w:t>
      </w:r>
      <w:r>
        <w:rPr>
          <w:spacing w:val="1"/>
        </w:rPr>
        <w:t> </w:t>
      </w:r>
      <w:r>
        <w:rPr>
          <w:spacing w:val="-1"/>
        </w:rPr>
        <w:t>households’</w:t>
      </w:r>
      <w:r>
        <w:rPr>
          <w:spacing w:val="-16"/>
        </w:rPr>
        <w:t> </w:t>
      </w:r>
      <w:r>
        <w:rPr/>
        <w:t>finance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drive</w:t>
      </w:r>
      <w:r>
        <w:rPr>
          <w:spacing w:val="-15"/>
        </w:rPr>
        <w:t> </w:t>
      </w:r>
      <w:r>
        <w:rPr/>
        <w:t>them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poverty</w:t>
      </w:r>
      <w:r>
        <w:rPr>
          <w:spacing w:val="-20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catastrophic</w:t>
      </w:r>
      <w:r>
        <w:rPr>
          <w:spacing w:val="-14"/>
        </w:rPr>
        <w:t> </w:t>
      </w:r>
      <w:r>
        <w:rPr/>
        <w:t>healthcare</w:t>
      </w:r>
      <w:r>
        <w:rPr>
          <w:spacing w:val="-13"/>
        </w:rPr>
        <w:t> </w:t>
      </w:r>
      <w:r>
        <w:rPr/>
        <w:t>expenditures</w:t>
      </w:r>
      <w:r>
        <w:rPr>
          <w:spacing w:val="-11"/>
        </w:rPr>
        <w:t> </w:t>
      </w:r>
      <w:r>
        <w:rPr/>
        <w:t>(Fukai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Iwamoto,</w:t>
      </w:r>
      <w:r>
        <w:rPr>
          <w:spacing w:val="-4"/>
        </w:rPr>
        <w:t> </w:t>
      </w:r>
      <w:r>
        <w:rPr/>
        <w:t>2003). This</w:t>
      </w:r>
      <w:r>
        <w:rPr>
          <w:spacing w:val="-4"/>
        </w:rPr>
        <w:t> </w:t>
      </w:r>
      <w:r>
        <w:rPr/>
        <w:t>implies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poor</w:t>
      </w:r>
      <w:r>
        <w:rPr>
          <w:spacing w:val="-1"/>
        </w:rPr>
        <w:t> </w:t>
      </w:r>
      <w:r>
        <w:rPr/>
        <w:t>health</w:t>
      </w:r>
      <w:r>
        <w:rPr>
          <w:spacing w:val="-2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linked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NCDs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predicted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much</w:t>
      </w:r>
      <w:r>
        <w:rPr>
          <w:spacing w:val="-57"/>
        </w:rPr>
        <w:t> </w:t>
      </w:r>
      <w:r>
        <w:rPr/>
        <w:t>higher</w:t>
      </w:r>
      <w:r>
        <w:rPr>
          <w:spacing w:val="12"/>
        </w:rPr>
        <w:t> </w:t>
      </w:r>
      <w:r>
        <w:rPr/>
        <w:t>risk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falling</w:t>
      </w:r>
      <w:r>
        <w:rPr>
          <w:spacing w:val="11"/>
        </w:rPr>
        <w:t> </w:t>
      </w:r>
      <w:r>
        <w:rPr/>
        <w:t>into</w:t>
      </w:r>
      <w:r>
        <w:rPr>
          <w:spacing w:val="13"/>
        </w:rPr>
        <w:t> </w:t>
      </w:r>
      <w:r>
        <w:rPr/>
        <w:t>poverty</w:t>
      </w:r>
      <w:r>
        <w:rPr>
          <w:spacing w:val="9"/>
        </w:rPr>
        <w:t> </w:t>
      </w:r>
      <w:r>
        <w:rPr/>
        <w:t>trap.</w:t>
      </w:r>
      <w:r>
        <w:rPr>
          <w:spacing w:val="14"/>
        </w:rPr>
        <w:t> </w:t>
      </w:r>
      <w:r>
        <w:rPr/>
        <w:t>This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especially</w:t>
      </w:r>
      <w:r>
        <w:rPr>
          <w:spacing w:val="6"/>
        </w:rPr>
        <w:t> </w:t>
      </w:r>
      <w:r>
        <w:rPr/>
        <w:t>true</w:t>
      </w:r>
      <w:r>
        <w:rPr>
          <w:spacing w:val="12"/>
        </w:rPr>
        <w:t> </w:t>
      </w:r>
      <w:r>
        <w:rPr/>
        <w:t>for</w:t>
      </w:r>
      <w:r>
        <w:rPr>
          <w:spacing w:val="12"/>
        </w:rPr>
        <w:t> </w:t>
      </w:r>
      <w:r>
        <w:rPr/>
        <w:t>inpatient</w:t>
      </w:r>
      <w:r>
        <w:rPr>
          <w:spacing w:val="13"/>
        </w:rPr>
        <w:t> </w:t>
      </w:r>
      <w:r>
        <w:rPr/>
        <w:t>treatment.</w:t>
      </w:r>
      <w:r>
        <w:rPr>
          <w:spacing w:val="18"/>
        </w:rPr>
        <w:t> </w:t>
      </w:r>
      <w:r>
        <w:rPr/>
        <w:t>Overall,</w:t>
      </w:r>
      <w:r>
        <w:rPr>
          <w:spacing w:val="13"/>
        </w:rPr>
        <w:t> </w:t>
      </w:r>
      <w:r>
        <w:rPr/>
        <w:t>it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9"/>
        <w:jc w:val="both"/>
      </w:pPr>
      <w:r>
        <w:rPr/>
        <w:t>could lead to reduced human capital and opportunities because those with poor health outcomes</w:t>
      </w:r>
      <w:r>
        <w:rPr>
          <w:spacing w:val="1"/>
        </w:rPr>
        <w:t> </w:t>
      </w:r>
      <w:r>
        <w:rPr/>
        <w:t>often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lower</w:t>
      </w:r>
      <w:r>
        <w:rPr>
          <w:spacing w:val="-5"/>
        </w:rPr>
        <w:t> </w:t>
      </w:r>
      <w:r>
        <w:rPr/>
        <w:t>educational</w:t>
      </w:r>
      <w:r>
        <w:rPr>
          <w:spacing w:val="-5"/>
        </w:rPr>
        <w:t> </w:t>
      </w:r>
      <w:r>
        <w:rPr/>
        <w:t>attainment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poorer</w:t>
      </w:r>
      <w:r>
        <w:rPr>
          <w:spacing w:val="-6"/>
        </w:rPr>
        <w:t> </w:t>
      </w:r>
      <w:r>
        <w:rPr/>
        <w:t>access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employment</w:t>
      </w:r>
      <w:r>
        <w:rPr>
          <w:spacing w:val="-3"/>
        </w:rPr>
        <w:t> </w:t>
      </w:r>
      <w:r>
        <w:rPr/>
        <w:t>(Becker,</w:t>
      </w:r>
      <w:r>
        <w:rPr>
          <w:spacing w:val="-5"/>
        </w:rPr>
        <w:t> </w:t>
      </w:r>
      <w:r>
        <w:rPr/>
        <w:t>1964;</w:t>
      </w:r>
      <w:r>
        <w:rPr>
          <w:spacing w:val="-6"/>
        </w:rPr>
        <w:t> </w:t>
      </w:r>
      <w:r>
        <w:rPr/>
        <w:t>Cai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Kalb,</w:t>
      </w:r>
      <w:r>
        <w:rPr>
          <w:spacing w:val="-1"/>
        </w:rPr>
        <w:t> </w:t>
      </w:r>
      <w:r>
        <w:rPr/>
        <w:t>2005; UNICEF, 2019).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160" w:right="155"/>
        <w:jc w:val="both"/>
      </w:pPr>
      <w:r>
        <w:rPr/>
        <w:t>Despite</w:t>
      </w:r>
      <w:r>
        <w:rPr>
          <w:spacing w:val="-5"/>
        </w:rPr>
        <w:t> </w:t>
      </w:r>
      <w:r>
        <w:rPr/>
        <w:t>these</w:t>
      </w:r>
      <w:r>
        <w:rPr>
          <w:spacing w:val="-3"/>
        </w:rPr>
        <w:t> </w:t>
      </w:r>
      <w:r>
        <w:rPr/>
        <w:t>adverse</w:t>
      </w:r>
      <w:r>
        <w:rPr>
          <w:spacing w:val="-3"/>
        </w:rPr>
        <w:t> </w:t>
      </w:r>
      <w:r>
        <w:rPr/>
        <w:t>consequences, poor</w:t>
      </w:r>
      <w:r>
        <w:rPr>
          <w:spacing w:val="-5"/>
        </w:rPr>
        <w:t> </w:t>
      </w:r>
      <w:r>
        <w:rPr/>
        <w:t>health</w:t>
      </w:r>
      <w:r>
        <w:rPr>
          <w:spacing w:val="-1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weak</w:t>
      </w:r>
      <w:r>
        <w:rPr>
          <w:spacing w:val="-1"/>
        </w:rPr>
        <w:t> </w:t>
      </w:r>
      <w:r>
        <w:rPr/>
        <w:t>HSB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neglected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public</w:t>
      </w:r>
      <w:r>
        <w:rPr>
          <w:spacing w:val="-57"/>
        </w:rPr>
        <w:t> </w:t>
      </w:r>
      <w:r>
        <w:rPr>
          <w:spacing w:val="-1"/>
        </w:rPr>
        <w:t>health</w:t>
      </w:r>
      <w:r>
        <w:rPr>
          <w:spacing w:val="-13"/>
        </w:rPr>
        <w:t> </w:t>
      </w:r>
      <w:r>
        <w:rPr/>
        <w:t>policies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discourse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Nigeria.</w:t>
      </w:r>
      <w:r>
        <w:rPr>
          <w:spacing w:val="-13"/>
        </w:rPr>
        <w:t> </w:t>
      </w:r>
      <w:r>
        <w:rPr/>
        <w:t>Furthermore,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Nigeria’s</w:t>
      </w:r>
      <w:r>
        <w:rPr>
          <w:spacing w:val="-14"/>
        </w:rPr>
        <w:t> </w:t>
      </w:r>
      <w:r>
        <w:rPr/>
        <w:t>public</w:t>
      </w:r>
      <w:r>
        <w:rPr>
          <w:spacing w:val="-14"/>
        </w:rPr>
        <w:t> </w:t>
      </w:r>
      <w:r>
        <w:rPr/>
        <w:t>health</w:t>
      </w:r>
      <w:r>
        <w:rPr>
          <w:spacing w:val="-13"/>
        </w:rPr>
        <w:t> </w:t>
      </w:r>
      <w:r>
        <w:rPr/>
        <w:t>policies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many</w:t>
      </w:r>
      <w:r>
        <w:rPr>
          <w:spacing w:val="-58"/>
        </w:rPr>
        <w:t> </w:t>
      </w:r>
      <w:r>
        <w:rPr/>
        <w:t>years have focused on the control of infectious diseases, with attendant dearth of necessary data</w:t>
      </w:r>
      <w:r>
        <w:rPr>
          <w:spacing w:val="1"/>
        </w:rPr>
        <w:t> </w:t>
      </w:r>
      <w:r>
        <w:rPr/>
        <w:t>for</w:t>
      </w:r>
      <w:r>
        <w:rPr>
          <w:spacing w:val="-9"/>
        </w:rPr>
        <w:t> </w:t>
      </w:r>
      <w:r>
        <w:rPr/>
        <w:t>policy</w:t>
      </w:r>
      <w:r>
        <w:rPr>
          <w:spacing w:val="-12"/>
        </w:rPr>
        <w:t> </w:t>
      </w:r>
      <w:r>
        <w:rPr/>
        <w:t>decisions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reduce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poor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outcomes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NCDs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promote</w:t>
      </w:r>
      <w:r>
        <w:rPr>
          <w:spacing w:val="-9"/>
        </w:rPr>
        <w:t> </w:t>
      </w:r>
      <w:r>
        <w:rPr/>
        <w:t>appropriate</w:t>
      </w:r>
      <w:r>
        <w:rPr>
          <w:spacing w:val="-9"/>
        </w:rPr>
        <w:t> </w:t>
      </w:r>
      <w:r>
        <w:rPr/>
        <w:t>HSB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Nigeria.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way</w:t>
      </w:r>
      <w:r>
        <w:rPr>
          <w:spacing w:val="-9"/>
        </w:rPr>
        <w:t> </w:t>
      </w:r>
      <w:r>
        <w:rPr/>
        <w:t>forward,</w:t>
      </w:r>
      <w:r>
        <w:rPr>
          <w:spacing w:val="-4"/>
        </w:rPr>
        <w:t> </w:t>
      </w:r>
      <w:r>
        <w:rPr/>
        <w:t>both</w:t>
      </w:r>
      <w:r>
        <w:rPr>
          <w:spacing w:val="-3"/>
        </w:rPr>
        <w:t> </w:t>
      </w:r>
      <w:r>
        <w:rPr/>
        <w:t>UNICEF</w:t>
      </w:r>
      <w:r>
        <w:rPr>
          <w:spacing w:val="-5"/>
        </w:rPr>
        <w:t> </w:t>
      </w:r>
      <w:r>
        <w:rPr/>
        <w:t>(2019)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/>
        <w:t>(2020)</w:t>
      </w:r>
      <w:r>
        <w:rPr>
          <w:spacing w:val="-5"/>
        </w:rPr>
        <w:t> </w:t>
      </w:r>
      <w:r>
        <w:rPr/>
        <w:t>reports</w:t>
      </w:r>
      <w:r>
        <w:rPr>
          <w:spacing w:val="-4"/>
        </w:rPr>
        <w:t> </w:t>
      </w:r>
      <w:r>
        <w:rPr/>
        <w:t>revealed</w:t>
      </w:r>
      <w:r>
        <w:rPr>
          <w:spacing w:val="-4"/>
        </w:rPr>
        <w:t> </w:t>
      </w:r>
      <w:r>
        <w:rPr/>
        <w:t>that,</w:t>
      </w:r>
      <w:r>
        <w:rPr>
          <w:spacing w:val="-4"/>
        </w:rPr>
        <w:t> </w:t>
      </w:r>
      <w:r>
        <w:rPr/>
        <w:t>larger</w:t>
      </w:r>
      <w:r>
        <w:rPr>
          <w:spacing w:val="-58"/>
        </w:rPr>
        <w:t> </w:t>
      </w:r>
      <w:r>
        <w:rPr/>
        <w:t>burden of health problem from NCDs is avoidable in developing countries if policy is targeted on</w:t>
      </w:r>
      <w:r>
        <w:rPr>
          <w:spacing w:val="-58"/>
        </w:rPr>
        <w:t> </w:t>
      </w:r>
      <w:r>
        <w:rPr/>
        <w:t>reducing</w:t>
      </w:r>
      <w:r>
        <w:rPr>
          <w:spacing w:val="-4"/>
        </w:rPr>
        <w:t> </w:t>
      </w:r>
      <w:r>
        <w:rPr/>
        <w:t>risk factors of</w:t>
      </w:r>
      <w:r>
        <w:rPr>
          <w:spacing w:val="-1"/>
        </w:rPr>
        <w:t> </w:t>
      </w:r>
      <w:r>
        <w:rPr/>
        <w:t>these health issues.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160" w:right="154"/>
        <w:jc w:val="both"/>
      </w:pPr>
      <w:r>
        <w:rPr/>
        <w:t>Wilkinson’s hypothesis (Wilkinson, 1992 and 1994) argued that there is a strong link between</w:t>
      </w:r>
      <w:r>
        <w:rPr>
          <w:spacing w:val="1"/>
        </w:rPr>
        <w:t> </w:t>
      </w:r>
      <w:r>
        <w:rPr/>
        <w:t>income</w:t>
      </w:r>
      <w:r>
        <w:rPr>
          <w:spacing w:val="-10"/>
        </w:rPr>
        <w:t> </w:t>
      </w:r>
      <w:r>
        <w:rPr/>
        <w:t>inequality</w:t>
      </w:r>
      <w:r>
        <w:rPr>
          <w:spacing w:val="-12"/>
        </w:rPr>
        <w:t> </w:t>
      </w:r>
      <w:r>
        <w:rPr/>
        <w:t>and</w:t>
      </w:r>
      <w:r>
        <w:rPr>
          <w:spacing w:val="-6"/>
        </w:rPr>
        <w:t> </w:t>
      </w:r>
      <w:r>
        <w:rPr/>
        <w:t>health</w:t>
      </w:r>
      <w:r>
        <w:rPr>
          <w:spacing w:val="-8"/>
        </w:rPr>
        <w:t> </w:t>
      </w:r>
      <w:r>
        <w:rPr/>
        <w:t>outcomes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HSB.</w:t>
      </w:r>
      <w:r>
        <w:rPr>
          <w:spacing w:val="-3"/>
        </w:rPr>
        <w:t> </w:t>
      </w:r>
      <w:r>
        <w:rPr/>
        <w:t>Perhaps</w:t>
      </w:r>
      <w:r>
        <w:rPr>
          <w:spacing w:val="-8"/>
        </w:rPr>
        <w:t> </w:t>
      </w:r>
      <w:r>
        <w:rPr/>
        <w:t>income</w:t>
      </w:r>
      <w:r>
        <w:rPr>
          <w:spacing w:val="-6"/>
        </w:rPr>
        <w:t> </w:t>
      </w:r>
      <w:r>
        <w:rPr/>
        <w:t>inequality</w:t>
      </w:r>
      <w:r>
        <w:rPr>
          <w:spacing w:val="-10"/>
        </w:rPr>
        <w:t> </w:t>
      </w:r>
      <w:r>
        <w:rPr/>
        <w:t>relate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comparison,</w:t>
      </w:r>
      <w:r>
        <w:rPr>
          <w:spacing w:val="-57"/>
        </w:rPr>
        <w:t> </w:t>
      </w:r>
      <w:r>
        <w:rPr/>
        <w:t>competition, chronic stress, status anxiety, depression, frustration, insecurity, low trust and social</w:t>
      </w:r>
      <w:r>
        <w:rPr>
          <w:spacing w:val="-57"/>
        </w:rPr>
        <w:t> </w:t>
      </w:r>
      <w:r>
        <w:rPr/>
        <w:t>capital, and kidnapping. All these intensifying fear and shock for those at the top and bottom of</w:t>
      </w:r>
      <w:r>
        <w:rPr>
          <w:spacing w:val="1"/>
        </w:rPr>
        <w:t> </w:t>
      </w:r>
      <w:r>
        <w:rPr/>
        <w:t>income distribution, and then increasing illness and deaths (Liu, 2017; Tan </w:t>
      </w:r>
      <w:r>
        <w:rPr>
          <w:i/>
        </w:rPr>
        <w:t>et al. </w:t>
      </w:r>
      <w:r>
        <w:rPr/>
        <w:t>2018; Massa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2018; and Hill </w:t>
      </w:r>
      <w:r>
        <w:rPr>
          <w:i/>
        </w:rPr>
        <w:t>et al. </w:t>
      </w:r>
      <w:r>
        <w:rPr/>
        <w:t>2019). Hence income inequality has a direct detrimental effect on health</w:t>
      </w:r>
      <w:r>
        <w:rPr>
          <w:spacing w:val="1"/>
        </w:rPr>
        <w:t> </w:t>
      </w:r>
      <w:r>
        <w:rPr/>
        <w:t>(Wilkinson, 1994). However, the pathways or the mediators of income inequality-health links is</w:t>
      </w:r>
      <w:r>
        <w:rPr>
          <w:spacing w:val="1"/>
        </w:rPr>
        <w:t> </w:t>
      </w:r>
      <w:r>
        <w:rPr/>
        <w:t>still unknown. According to Grossman (1972, 2000 and 2017), health depends on many factors</w:t>
      </w:r>
      <w:r>
        <w:rPr>
          <w:spacing w:val="1"/>
        </w:rPr>
        <w:t> </w:t>
      </w:r>
      <w:r>
        <w:rPr/>
        <w:t>particularly</w:t>
      </w:r>
      <w:r>
        <w:rPr>
          <w:spacing w:val="-9"/>
        </w:rPr>
        <w:t> </w:t>
      </w:r>
      <w:r>
        <w:rPr/>
        <w:t>those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associated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household</w:t>
      </w:r>
      <w:r>
        <w:rPr>
          <w:spacing w:val="-2"/>
        </w:rPr>
        <w:t> </w:t>
      </w:r>
      <w:r>
        <w:rPr/>
        <w:t>characteristics,</w:t>
      </w:r>
      <w:r>
        <w:rPr>
          <w:spacing w:val="-3"/>
        </w:rPr>
        <w:t> </w:t>
      </w:r>
      <w:r>
        <w:rPr/>
        <w:t>such</w:t>
      </w:r>
      <w:r>
        <w:rPr>
          <w:spacing w:val="-4"/>
        </w:rPr>
        <w:t> </w:t>
      </w:r>
      <w:r>
        <w:rPr/>
        <w:t>as,</w:t>
      </w:r>
      <w:r>
        <w:rPr>
          <w:spacing w:val="-3"/>
        </w:rPr>
        <w:t> </w:t>
      </w:r>
      <w:r>
        <w:rPr/>
        <w:t>family</w:t>
      </w:r>
      <w:r>
        <w:rPr>
          <w:spacing w:val="-10"/>
        </w:rPr>
        <w:t> </w:t>
      </w:r>
      <w:r>
        <w:rPr/>
        <w:t>size,</w:t>
      </w:r>
      <w:r>
        <w:rPr>
          <w:spacing w:val="-3"/>
        </w:rPr>
        <w:t> </w:t>
      </w:r>
      <w:r>
        <w:rPr/>
        <w:t>diets,</w:t>
      </w:r>
      <w:r>
        <w:rPr>
          <w:spacing w:val="-4"/>
        </w:rPr>
        <w:t> </w:t>
      </w:r>
      <w:r>
        <w:rPr/>
        <w:t>water,</w:t>
      </w:r>
      <w:r>
        <w:rPr>
          <w:spacing w:val="-57"/>
        </w:rPr>
        <w:t> </w:t>
      </w:r>
      <w:r>
        <w:rPr/>
        <w:t>housing conditions, education, people’s lifestyle, and demand for medical services. This suggest</w:t>
      </w:r>
      <w:r>
        <w:rPr>
          <w:spacing w:val="1"/>
        </w:rPr>
        <w:t> </w:t>
      </w:r>
      <w:r>
        <w:rPr/>
        <w:t>that these characteristics could link income inequality to poor health outcomes and inappropriate</w:t>
      </w:r>
      <w:r>
        <w:rPr>
          <w:spacing w:val="1"/>
        </w:rPr>
        <w:t> </w:t>
      </w:r>
      <w:r>
        <w:rPr/>
        <w:t>HSB in Nigeria. These explanations are lacking in previous income inequality-health studies in</w:t>
      </w:r>
      <w:r>
        <w:rPr>
          <w:spacing w:val="1"/>
        </w:rPr>
        <w:t> </w:t>
      </w:r>
      <w:r>
        <w:rPr/>
        <w:t>Nigeria, such as, Orji </w:t>
      </w:r>
      <w:r>
        <w:rPr>
          <w:i/>
        </w:rPr>
        <w:t>et al. </w:t>
      </w:r>
      <w:r>
        <w:rPr/>
        <w:t>2013, Alawode and Lawal, 2014, Karimo </w:t>
      </w:r>
      <w:r>
        <w:rPr>
          <w:i/>
        </w:rPr>
        <w:t>et al. </w:t>
      </w:r>
      <w:r>
        <w:rPr/>
        <w:t>2017, Ogunsanya and</w:t>
      </w:r>
      <w:r>
        <w:rPr>
          <w:spacing w:val="-57"/>
        </w:rPr>
        <w:t> </w:t>
      </w:r>
      <w:r>
        <w:rPr/>
        <w:t>Agboola,</w:t>
      </w:r>
      <w:r>
        <w:rPr>
          <w:spacing w:val="-1"/>
        </w:rPr>
        <w:t> </w:t>
      </w:r>
      <w:r>
        <w:rPr/>
        <w:t>2018.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60" w:right="156"/>
        <w:jc w:val="both"/>
      </w:pPr>
      <w:r>
        <w:rPr/>
        <w:t>The level of income inequality also remains high in Nigeria. For instance, the income belonging</w:t>
      </w:r>
      <w:r>
        <w:rPr>
          <w:spacing w:val="1"/>
        </w:rPr>
        <w:t> </w:t>
      </w:r>
      <w:r>
        <w:rPr/>
        <w:t>to top 10% at the upper-end of income distribution in Nigeria rose rapidly from 26.6% in 2004 to</w:t>
      </w:r>
      <w:r>
        <w:rPr>
          <w:spacing w:val="-57"/>
        </w:rPr>
        <w:t> </w:t>
      </w:r>
      <w:r>
        <w:rPr/>
        <w:t>31.1% in 2016 (International Monetary Funds, IMF, 2018). However, the income shared by the</w:t>
      </w:r>
      <w:r>
        <w:rPr>
          <w:spacing w:val="1"/>
        </w:rPr>
        <w:t> </w:t>
      </w:r>
      <w:r>
        <w:rPr/>
        <w:t>40% at the lower-end of income distribution in Nigeria decline from merely 6.36% in 2004 to as</w:t>
      </w:r>
      <w:r>
        <w:rPr>
          <w:spacing w:val="1"/>
        </w:rPr>
        <w:t> </w:t>
      </w:r>
      <w:r>
        <w:rPr/>
        <w:t>low</w:t>
      </w:r>
      <w:r>
        <w:rPr>
          <w:spacing w:val="10"/>
        </w:rPr>
        <w:t> </w:t>
      </w:r>
      <w:r>
        <w:rPr/>
        <w:t>as</w:t>
      </w:r>
      <w:r>
        <w:rPr>
          <w:spacing w:val="12"/>
        </w:rPr>
        <w:t> </w:t>
      </w:r>
      <w:r>
        <w:rPr/>
        <w:t>2.8%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2016</w:t>
      </w:r>
      <w:r>
        <w:rPr>
          <w:spacing w:val="12"/>
        </w:rPr>
        <w:t> </w:t>
      </w:r>
      <w:r>
        <w:rPr/>
        <w:t>(IMF,</w:t>
      </w:r>
      <w:r>
        <w:rPr>
          <w:spacing w:val="11"/>
        </w:rPr>
        <w:t> </w:t>
      </w:r>
      <w:r>
        <w:rPr/>
        <w:t>2018).</w:t>
      </w:r>
      <w:r>
        <w:rPr>
          <w:spacing w:val="15"/>
        </w:rPr>
        <w:t> </w:t>
      </w:r>
      <w:r>
        <w:rPr/>
        <w:t>This</w:t>
      </w:r>
      <w:r>
        <w:rPr>
          <w:spacing w:val="12"/>
        </w:rPr>
        <w:t> </w:t>
      </w:r>
      <w:r>
        <w:rPr/>
        <w:t>reveal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income</w:t>
      </w:r>
      <w:r>
        <w:rPr>
          <w:spacing w:val="12"/>
        </w:rPr>
        <w:t> </w:t>
      </w:r>
      <w:r>
        <w:rPr/>
        <w:t>gap</w:t>
      </w:r>
      <w:r>
        <w:rPr>
          <w:spacing w:val="13"/>
        </w:rPr>
        <w:t> </w:t>
      </w:r>
      <w:r>
        <w:rPr/>
        <w:t>between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rich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poor</w:t>
      </w:r>
      <w:r>
        <w:rPr>
          <w:spacing w:val="10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7"/>
        <w:jc w:val="both"/>
      </w:pPr>
      <w:r>
        <w:rPr/>
        <w:t>wider</w:t>
      </w:r>
      <w:r>
        <w:rPr>
          <w:spacing w:val="-7"/>
        </w:rPr>
        <w:t> </w:t>
      </w:r>
      <w:r>
        <w:rPr/>
        <w:t>now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7"/>
        </w:rPr>
        <w:t> </w:t>
      </w:r>
      <w:r>
        <w:rPr/>
        <w:t>than</w:t>
      </w:r>
      <w:r>
        <w:rPr>
          <w:spacing w:val="-6"/>
        </w:rPr>
        <w:t> </w:t>
      </w:r>
      <w:r>
        <w:rPr/>
        <w:t>ever</w:t>
      </w:r>
      <w:r>
        <w:rPr>
          <w:spacing w:val="-6"/>
        </w:rPr>
        <w:t> </w:t>
      </w:r>
      <w:r>
        <w:rPr/>
        <w:t>(Reinders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Dekker,</w:t>
      </w:r>
      <w:r>
        <w:rPr>
          <w:spacing w:val="-7"/>
        </w:rPr>
        <w:t> </w:t>
      </w:r>
      <w:r>
        <w:rPr/>
        <w:t>2019).</w:t>
      </w:r>
      <w:r>
        <w:rPr>
          <w:spacing w:val="-4"/>
        </w:rPr>
        <w:t> </w:t>
      </w:r>
      <w:r>
        <w:rPr/>
        <w:t>Similar</w:t>
      </w:r>
      <w:r>
        <w:rPr>
          <w:spacing w:val="-7"/>
        </w:rPr>
        <w:t> </w:t>
      </w:r>
      <w:r>
        <w:rPr/>
        <w:t>pattern</w:t>
      </w:r>
      <w:r>
        <w:rPr>
          <w:spacing w:val="-5"/>
        </w:rPr>
        <w:t> </w:t>
      </w:r>
      <w:r>
        <w:rPr/>
        <w:t>also</w:t>
      </w:r>
      <w:r>
        <w:rPr>
          <w:spacing w:val="-6"/>
        </w:rPr>
        <w:t> </w:t>
      </w:r>
      <w:r>
        <w:rPr/>
        <w:t>exists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several</w:t>
      </w:r>
      <w:r>
        <w:rPr>
          <w:spacing w:val="-57"/>
        </w:rPr>
        <w:t> </w:t>
      </w:r>
      <w:r>
        <w:rPr/>
        <w:t>societies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regions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country</w:t>
      </w:r>
      <w:r>
        <w:rPr>
          <w:spacing w:val="-12"/>
        </w:rPr>
        <w:t> </w:t>
      </w:r>
      <w:r>
        <w:rPr/>
        <w:t>(See</w:t>
      </w:r>
      <w:r>
        <w:rPr>
          <w:spacing w:val="-7"/>
        </w:rPr>
        <w:t> </w:t>
      </w:r>
      <w:r>
        <w:rPr/>
        <w:t>Isah,</w:t>
      </w:r>
      <w:r>
        <w:rPr>
          <w:spacing w:val="-10"/>
        </w:rPr>
        <w:t> </w:t>
      </w:r>
      <w:r>
        <w:rPr/>
        <w:t>2011;</w:t>
      </w:r>
      <w:r>
        <w:rPr>
          <w:spacing w:val="-11"/>
        </w:rPr>
        <w:t> </w:t>
      </w:r>
      <w:r>
        <w:rPr/>
        <w:t>Usman,</w:t>
      </w:r>
      <w:r>
        <w:rPr>
          <w:spacing w:val="-10"/>
        </w:rPr>
        <w:t> </w:t>
      </w:r>
      <w:r>
        <w:rPr/>
        <w:t>2016;</w:t>
      </w:r>
      <w:r>
        <w:rPr>
          <w:spacing w:val="-11"/>
        </w:rPr>
        <w:t> </w:t>
      </w:r>
      <w:r>
        <w:rPr/>
        <w:t>Aigbokhan,</w:t>
      </w:r>
      <w:r>
        <w:rPr>
          <w:spacing w:val="-10"/>
        </w:rPr>
        <w:t> </w:t>
      </w:r>
      <w:r>
        <w:rPr/>
        <w:t>2017:6).</w:t>
      </w:r>
      <w:r>
        <w:rPr>
          <w:spacing w:val="-9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information on level and magnitude of income inequality across the 36 states and FCT Abuja is</w:t>
      </w:r>
      <w:r>
        <w:rPr>
          <w:spacing w:val="1"/>
        </w:rPr>
        <w:t> </w:t>
      </w:r>
      <w:r>
        <w:rPr/>
        <w:t>not available. This might hinder effective welfare policies particularly those that relates to the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of citizens.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160" w:right="151"/>
        <w:jc w:val="both"/>
      </w:pPr>
      <w:r>
        <w:rPr>
          <w:spacing w:val="-1"/>
        </w:rPr>
        <w:t>Though</w:t>
      </w:r>
      <w:r>
        <w:rPr>
          <w:spacing w:val="-15"/>
        </w:rPr>
        <w:t> </w:t>
      </w:r>
      <w:r>
        <w:rPr/>
        <w:t>income</w:t>
      </w:r>
      <w:r>
        <w:rPr>
          <w:spacing w:val="-16"/>
        </w:rPr>
        <w:t> </w:t>
      </w:r>
      <w:r>
        <w:rPr/>
        <w:t>disparity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commonly</w:t>
      </w:r>
      <w:r>
        <w:rPr>
          <w:spacing w:val="-19"/>
        </w:rPr>
        <w:t> </w:t>
      </w:r>
      <w:r>
        <w:rPr/>
        <w:t>understood</w:t>
      </w:r>
      <w:r>
        <w:rPr>
          <w:spacing w:val="-12"/>
        </w:rPr>
        <w:t> </w:t>
      </w:r>
      <w:r>
        <w:rPr/>
        <w:t>as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problem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low-income</w:t>
      </w:r>
      <w:r>
        <w:rPr>
          <w:spacing w:val="-14"/>
        </w:rPr>
        <w:t> </w:t>
      </w:r>
      <w:r>
        <w:rPr/>
        <w:t>citizens.</w:t>
      </w:r>
      <w:r>
        <w:rPr>
          <w:spacing w:val="-14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evidence have further opine that high income gaps is also bad for the affluent (Organization for</w:t>
      </w:r>
      <w:r>
        <w:rPr>
          <w:spacing w:val="1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Co-operation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Development,</w:t>
      </w:r>
      <w:r>
        <w:rPr>
          <w:spacing w:val="-6"/>
        </w:rPr>
        <w:t> </w:t>
      </w:r>
      <w:r>
        <w:rPr/>
        <w:t>OECD,</w:t>
      </w:r>
      <w:r>
        <w:rPr>
          <w:spacing w:val="-7"/>
        </w:rPr>
        <w:t> </w:t>
      </w:r>
      <w:r>
        <w:rPr/>
        <w:t>2015:67;</w:t>
      </w:r>
      <w:r>
        <w:rPr>
          <w:spacing w:val="-5"/>
        </w:rPr>
        <w:t> </w:t>
      </w:r>
      <w:r>
        <w:rPr/>
        <w:t>Hill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5"/>
        </w:rPr>
        <w:t> </w:t>
      </w:r>
      <w:r>
        <w:rPr/>
        <w:t>2019:268).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because</w:t>
      </w:r>
      <w:r>
        <w:rPr>
          <w:spacing w:val="-58"/>
        </w:rPr>
        <w:t> </w:t>
      </w:r>
      <w:r>
        <w:rPr/>
        <w:t>inequality fosters crime and social unrest, reduces trust and social capital, which is not only</w:t>
      </w:r>
      <w:r>
        <w:rPr>
          <w:spacing w:val="1"/>
        </w:rPr>
        <w:t> </w:t>
      </w:r>
      <w:r>
        <w:rPr/>
        <w:t>detrimental to health but also any economic developmental efforts that can lead to improvement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health</w:t>
      </w:r>
      <w:r>
        <w:rPr>
          <w:spacing w:val="-5"/>
        </w:rPr>
        <w:t> </w:t>
      </w:r>
      <w:r>
        <w:rPr/>
        <w:t>status.</w:t>
      </w:r>
      <w:r>
        <w:rPr>
          <w:spacing w:val="-6"/>
        </w:rPr>
        <w:t> </w:t>
      </w:r>
      <w:r>
        <w:rPr/>
        <w:t>Hence,</w:t>
      </w:r>
      <w:r>
        <w:rPr>
          <w:spacing w:val="-5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10"/>
        </w:rPr>
        <w:t> </w:t>
      </w:r>
      <w:r>
        <w:rPr/>
        <w:t>has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direct</w:t>
      </w:r>
      <w:r>
        <w:rPr>
          <w:spacing w:val="-3"/>
        </w:rPr>
        <w:t> </w:t>
      </w:r>
      <w:r>
        <w:rPr/>
        <w:t>effect</w:t>
      </w:r>
      <w:r>
        <w:rPr>
          <w:spacing w:val="-5"/>
        </w:rPr>
        <w:t> </w:t>
      </w:r>
      <w:r>
        <w:rPr/>
        <w:t>on health</w:t>
      </w:r>
      <w:r>
        <w:rPr>
          <w:spacing w:val="-5"/>
        </w:rPr>
        <w:t> </w:t>
      </w:r>
      <w:r>
        <w:rPr/>
        <w:t>(Kragten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Rozer,</w:t>
      </w:r>
      <w:r>
        <w:rPr>
          <w:spacing w:val="-4"/>
        </w:rPr>
        <w:t> </w:t>
      </w:r>
      <w:r>
        <w:rPr/>
        <w:t>2017).</w:t>
      </w:r>
      <w:r>
        <w:rPr>
          <w:spacing w:val="-58"/>
        </w:rPr>
        <w:t> </w:t>
      </w:r>
      <w:r>
        <w:rPr/>
        <w:t>Likewise, it can widen the debt burden, constrains budget in the face of competing needs. It can</w:t>
      </w:r>
      <w:r>
        <w:rPr>
          <w:spacing w:val="1"/>
        </w:rPr>
        <w:t> </w:t>
      </w:r>
      <w:r>
        <w:rPr/>
        <w:t>also reduce ability of households to obtain health-promoting goods and services. Perhaps 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inequality increases</w:t>
      </w:r>
      <w:r>
        <w:rPr>
          <w:spacing w:val="1"/>
        </w:rPr>
        <w:t> </w:t>
      </w:r>
      <w:r>
        <w:rPr/>
        <w:t>purchasing-power</w:t>
      </w:r>
      <w:r>
        <w:rPr>
          <w:spacing w:val="1"/>
        </w:rPr>
        <w:t> </w:t>
      </w:r>
      <w:r>
        <w:rPr/>
        <w:t>disparities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well-off</w:t>
      </w:r>
      <w:r>
        <w:rPr>
          <w:spacing w:val="1"/>
        </w:rPr>
        <w:t> </w:t>
      </w:r>
      <w:r>
        <w:rPr/>
        <w:t>households and wealthier ones. While low-income citizens could resolve to self-treatment and</w:t>
      </w:r>
      <w:r>
        <w:rPr>
          <w:spacing w:val="1"/>
        </w:rPr>
        <w:t> </w:t>
      </w:r>
      <w:r>
        <w:rPr/>
        <w:t>low-price healthcare by unregulated private and traditionalists (Fuentes-Nieva, 2014). This will</w:t>
      </w:r>
      <w:r>
        <w:rPr>
          <w:spacing w:val="1"/>
        </w:rPr>
        <w:t> </w:t>
      </w:r>
      <w:r>
        <w:rPr/>
        <w:t>constrain</w:t>
      </w:r>
      <w:r>
        <w:rPr>
          <w:spacing w:val="-1"/>
        </w:rPr>
        <w:t> </w:t>
      </w:r>
      <w:r>
        <w:rPr/>
        <w:t>aggregate HSB of all households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360" w:lineRule="auto" w:before="162"/>
        <w:ind w:left="160" w:right="156"/>
        <w:jc w:val="both"/>
      </w:pPr>
      <w:r>
        <w:rPr/>
        <w:t>All these suggest that the wide income gaps between the rich- and poor-households in Nigeria</w:t>
      </w:r>
      <w:r>
        <w:rPr>
          <w:spacing w:val="1"/>
        </w:rPr>
        <w:t> </w:t>
      </w:r>
      <w:r>
        <w:rPr/>
        <w:t>might have a major effect on health outcomes and HSB directly and/or mediated by some pass-</w:t>
      </w:r>
      <w:r>
        <w:rPr>
          <w:spacing w:val="1"/>
        </w:rPr>
        <w:t> </w:t>
      </w:r>
      <w:r>
        <w:rPr/>
        <w:t>through factors. Hence, a careful study of the effect of income inequality on health outcomes and</w:t>
      </w:r>
      <w:r>
        <w:rPr>
          <w:spacing w:val="-57"/>
        </w:rPr>
        <w:t> </w:t>
      </w:r>
      <w:r>
        <w:rPr/>
        <w:t>health-seeking</w:t>
      </w:r>
      <w:r>
        <w:rPr>
          <w:spacing w:val="-4"/>
        </w:rPr>
        <w:t> </w:t>
      </w:r>
      <w:r>
        <w:rPr/>
        <w:t>behaviour</w:t>
      </w:r>
      <w:r>
        <w:rPr>
          <w:spacing w:val="3"/>
        </w:rPr>
        <w:t> </w:t>
      </w:r>
      <w:r>
        <w:rPr/>
        <w:t>(both directly</w:t>
      </w:r>
      <w:r>
        <w:rPr>
          <w:spacing w:val="-5"/>
        </w:rPr>
        <w:t> </w:t>
      </w:r>
      <w:r>
        <w:rPr/>
        <w:t>and indirectly) in Nigeria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/>
        <w:t>invaluable.</w:t>
      </w:r>
    </w:p>
    <w:p>
      <w:pPr>
        <w:pStyle w:val="BodyText"/>
        <w:spacing w:before="5"/>
        <w:rPr>
          <w:sz w:val="38"/>
        </w:rPr>
      </w:pPr>
    </w:p>
    <w:p>
      <w:pPr>
        <w:pStyle w:val="Heading4"/>
        <w:numPr>
          <w:ilvl w:val="1"/>
          <w:numId w:val="7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bookmarkStart w:name="_TOC_250069" w:id="8"/>
      <w:r>
        <w:rPr/>
        <w:t>Research</w:t>
      </w:r>
      <w:r>
        <w:rPr>
          <w:spacing w:val="-2"/>
        </w:rPr>
        <w:t> </w:t>
      </w:r>
      <w:bookmarkEnd w:id="8"/>
      <w:r>
        <w:rPr/>
        <w:t>Questions</w:t>
      </w:r>
    </w:p>
    <w:p>
      <w:pPr>
        <w:pStyle w:val="BodyText"/>
        <w:spacing w:before="133"/>
        <w:ind w:left="160"/>
      </w:pPr>
      <w:r>
        <w:rPr/>
        <w:t>The</w:t>
      </w:r>
      <w:r>
        <w:rPr>
          <w:spacing w:val="-3"/>
        </w:rPr>
        <w:t> </w:t>
      </w:r>
      <w:r>
        <w:rPr/>
        <w:t>foregoing</w:t>
      </w:r>
      <w:r>
        <w:rPr>
          <w:spacing w:val="-4"/>
        </w:rPr>
        <w:t> </w:t>
      </w:r>
      <w:r>
        <w:rPr/>
        <w:t>thus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rise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following research</w:t>
      </w:r>
      <w:r>
        <w:rPr>
          <w:spacing w:val="-1"/>
        </w:rPr>
        <w:t> </w:t>
      </w:r>
      <w:r>
        <w:rPr/>
        <w:t>questions that this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addressed:</w:t>
      </w:r>
    </w:p>
    <w:p>
      <w:pPr>
        <w:pStyle w:val="ListParagraph"/>
        <w:numPr>
          <w:ilvl w:val="2"/>
          <w:numId w:val="7"/>
        </w:numPr>
        <w:tabs>
          <w:tab w:pos="880" w:val="left" w:leader="none"/>
          <w:tab w:pos="881" w:val="left" w:leader="none"/>
        </w:tabs>
        <w:spacing w:line="240" w:lineRule="auto" w:before="136" w:after="0"/>
        <w:ind w:left="880" w:right="0" w:hanging="488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trends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outcomes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health-seeking</w:t>
      </w:r>
      <w:r>
        <w:rPr>
          <w:spacing w:val="-4"/>
          <w:sz w:val="24"/>
        </w:rPr>
        <w:t> </w:t>
      </w:r>
      <w:r>
        <w:rPr>
          <w:sz w:val="24"/>
        </w:rPr>
        <w:t>behaviour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7"/>
        </w:numPr>
        <w:tabs>
          <w:tab w:pos="880" w:val="left" w:leader="none"/>
          <w:tab w:pos="881" w:val="left" w:leader="none"/>
        </w:tabs>
        <w:spacing w:line="240" w:lineRule="auto" w:before="140" w:after="0"/>
        <w:ind w:left="880" w:right="0" w:hanging="555"/>
        <w:jc w:val="left"/>
        <w:rPr>
          <w:sz w:val="24"/>
        </w:rPr>
      </w:pPr>
      <w:r>
        <w:rPr>
          <w:sz w:val="24"/>
        </w:rPr>
        <w:t>What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level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magnitude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income</w:t>
      </w:r>
      <w:r>
        <w:rPr>
          <w:spacing w:val="-7"/>
          <w:sz w:val="24"/>
        </w:rPr>
        <w:t> </w:t>
      </w:r>
      <w:r>
        <w:rPr>
          <w:sz w:val="24"/>
        </w:rPr>
        <w:t>inequality</w:t>
      </w:r>
      <w:r>
        <w:rPr>
          <w:spacing w:val="-10"/>
          <w:sz w:val="24"/>
        </w:rPr>
        <w:t> </w:t>
      </w:r>
      <w:r>
        <w:rPr>
          <w:sz w:val="24"/>
        </w:rPr>
        <w:t>across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36</w:t>
      </w:r>
      <w:r>
        <w:rPr>
          <w:spacing w:val="-5"/>
          <w:sz w:val="24"/>
        </w:rPr>
        <w:t> </w:t>
      </w:r>
      <w:r>
        <w:rPr>
          <w:sz w:val="24"/>
        </w:rPr>
        <w:t>states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FCT</w:t>
      </w:r>
      <w:r>
        <w:rPr>
          <w:spacing w:val="-5"/>
          <w:sz w:val="24"/>
        </w:rPr>
        <w:t> </w:t>
      </w:r>
      <w:r>
        <w:rPr>
          <w:sz w:val="24"/>
        </w:rPr>
        <w:t>Abuja?</w:t>
      </w:r>
    </w:p>
    <w:p>
      <w:pPr>
        <w:pStyle w:val="ListParagraph"/>
        <w:numPr>
          <w:ilvl w:val="2"/>
          <w:numId w:val="7"/>
        </w:numPr>
        <w:tabs>
          <w:tab w:pos="880" w:val="left" w:leader="none"/>
          <w:tab w:pos="881" w:val="left" w:leader="none"/>
        </w:tabs>
        <w:spacing w:line="240" w:lineRule="auto" w:before="136" w:after="0"/>
        <w:ind w:left="880" w:right="0" w:hanging="62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direct</w:t>
      </w:r>
      <w:r>
        <w:rPr>
          <w:spacing w:val="-1"/>
          <w:sz w:val="24"/>
        </w:rPr>
        <w:t> </w:t>
      </w:r>
      <w:r>
        <w:rPr>
          <w:sz w:val="24"/>
        </w:rPr>
        <w:t>and indirect effect of</w:t>
      </w:r>
      <w:r>
        <w:rPr>
          <w:spacing w:val="-2"/>
          <w:sz w:val="24"/>
        </w:rPr>
        <w:t> </w:t>
      </w:r>
      <w:r>
        <w:rPr>
          <w:sz w:val="24"/>
        </w:rPr>
        <w:t>income</w:t>
      </w:r>
      <w:r>
        <w:rPr>
          <w:spacing w:val="-1"/>
          <w:sz w:val="24"/>
        </w:rPr>
        <w:t> </w:t>
      </w:r>
      <w:r>
        <w:rPr>
          <w:sz w:val="24"/>
        </w:rPr>
        <w:t>inequality</w:t>
      </w:r>
      <w:r>
        <w:rPr>
          <w:spacing w:val="-6"/>
          <w:sz w:val="24"/>
        </w:rPr>
        <w:t> </w:t>
      </w:r>
      <w:r>
        <w:rPr>
          <w:sz w:val="24"/>
        </w:rPr>
        <w:t>on health</w:t>
      </w:r>
      <w:r>
        <w:rPr>
          <w:spacing w:val="-1"/>
          <w:sz w:val="24"/>
        </w:rPr>
        <w:t> </w:t>
      </w:r>
      <w:r>
        <w:rPr>
          <w:sz w:val="24"/>
        </w:rPr>
        <w:t>outcomes in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7"/>
        </w:numPr>
        <w:tabs>
          <w:tab w:pos="880" w:val="left" w:leader="none"/>
          <w:tab w:pos="881" w:val="left" w:leader="none"/>
        </w:tabs>
        <w:spacing w:line="360" w:lineRule="auto" w:before="140" w:after="0"/>
        <w:ind w:left="880" w:right="158" w:hanging="608"/>
        <w:jc w:val="left"/>
        <w:rPr>
          <w:sz w:val="24"/>
        </w:rPr>
      </w:pPr>
      <w:r>
        <w:rPr>
          <w:sz w:val="24"/>
        </w:rPr>
        <w:t>What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direct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indirect</w:t>
      </w:r>
      <w:r>
        <w:rPr>
          <w:spacing w:val="28"/>
          <w:sz w:val="24"/>
        </w:rPr>
        <w:t> </w:t>
      </w:r>
      <w:r>
        <w:rPr>
          <w:sz w:val="24"/>
        </w:rPr>
        <w:t>effect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income</w:t>
      </w:r>
      <w:r>
        <w:rPr>
          <w:spacing w:val="26"/>
          <w:sz w:val="24"/>
        </w:rPr>
        <w:t> </w:t>
      </w:r>
      <w:r>
        <w:rPr>
          <w:sz w:val="24"/>
        </w:rPr>
        <w:t>inequality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health-seeking</w:t>
      </w:r>
      <w:r>
        <w:rPr>
          <w:spacing w:val="25"/>
          <w:sz w:val="24"/>
        </w:rPr>
        <w:t> </w:t>
      </w:r>
      <w:r>
        <w:rPr>
          <w:sz w:val="24"/>
        </w:rPr>
        <w:t>behaviour</w:t>
      </w:r>
      <w:r>
        <w:rPr>
          <w:spacing w:val="-57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households</w:t>
      </w:r>
      <w:r>
        <w:rPr>
          <w:spacing w:val="1"/>
          <w:sz w:val="24"/>
        </w:rPr>
        <w:t> </w:t>
      </w:r>
      <w:r>
        <w:rPr>
          <w:sz w:val="24"/>
        </w:rPr>
        <w:t>in Nigeria?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015" w:top="1360" w:bottom="1200" w:left="1280" w:right="1280"/>
        </w:sectPr>
      </w:pPr>
    </w:p>
    <w:p>
      <w:pPr>
        <w:pStyle w:val="Heading4"/>
        <w:numPr>
          <w:ilvl w:val="1"/>
          <w:numId w:val="7"/>
        </w:numPr>
        <w:tabs>
          <w:tab w:pos="880" w:val="left" w:leader="none"/>
          <w:tab w:pos="881" w:val="left" w:leader="none"/>
        </w:tabs>
        <w:spacing w:line="240" w:lineRule="auto" w:before="79" w:after="0"/>
        <w:ind w:left="880" w:right="0" w:hanging="721"/>
        <w:jc w:val="left"/>
      </w:pPr>
      <w:bookmarkStart w:name="_TOC_250068" w:id="9"/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bookmarkEnd w:id="9"/>
      <w:r>
        <w:rPr/>
        <w:t>Study</w:t>
      </w:r>
    </w:p>
    <w:p>
      <w:pPr>
        <w:pStyle w:val="BodyText"/>
        <w:spacing w:line="360" w:lineRule="auto" w:before="132"/>
        <w:ind w:left="160"/>
      </w:pPr>
      <w:r>
        <w:rPr/>
        <w:t>The</w:t>
      </w:r>
      <w:r>
        <w:rPr>
          <w:spacing w:val="-16"/>
        </w:rPr>
        <w:t> </w:t>
      </w:r>
      <w:r>
        <w:rPr/>
        <w:t>broad</w:t>
      </w:r>
      <w:r>
        <w:rPr>
          <w:spacing w:val="-13"/>
        </w:rPr>
        <w:t> </w:t>
      </w:r>
      <w:r>
        <w:rPr/>
        <w:t>objective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study</w:t>
      </w:r>
      <w:r>
        <w:rPr>
          <w:spacing w:val="-17"/>
        </w:rPr>
        <w:t> </w:t>
      </w:r>
      <w:r>
        <w:rPr/>
        <w:t>was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estimate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effect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income</w:t>
      </w:r>
      <w:r>
        <w:rPr>
          <w:spacing w:val="-12"/>
        </w:rPr>
        <w:t> </w:t>
      </w:r>
      <w:r>
        <w:rPr/>
        <w:t>inequality</w:t>
      </w:r>
      <w:r>
        <w:rPr>
          <w:spacing w:val="-20"/>
        </w:rPr>
        <w:t> </w:t>
      </w:r>
      <w:r>
        <w:rPr/>
        <w:t>on</w:t>
      </w:r>
      <w:r>
        <w:rPr>
          <w:spacing w:val="-15"/>
        </w:rPr>
        <w:t> </w:t>
      </w:r>
      <w:r>
        <w:rPr/>
        <w:t>health</w:t>
      </w:r>
      <w:r>
        <w:rPr>
          <w:spacing w:val="-15"/>
        </w:rPr>
        <w:t> </w:t>
      </w:r>
      <w:r>
        <w:rPr/>
        <w:t>outcomes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health-seeking</w:t>
      </w:r>
      <w:r>
        <w:rPr>
          <w:spacing w:val="-2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of households in</w:t>
      </w:r>
      <w:r>
        <w:rPr>
          <w:spacing w:val="-1"/>
        </w:rPr>
        <w:t> </w:t>
      </w:r>
      <w:r>
        <w:rPr/>
        <w:t>Nigeria. The</w:t>
      </w:r>
      <w:r>
        <w:rPr>
          <w:spacing w:val="-1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objectives were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7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488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-2"/>
          <w:sz w:val="24"/>
        </w:rPr>
        <w:t> </w:t>
      </w:r>
      <w:r>
        <w:rPr>
          <w:sz w:val="24"/>
        </w:rPr>
        <w:t>the trends</w:t>
      </w:r>
      <w:r>
        <w:rPr>
          <w:spacing w:val="-1"/>
          <w:sz w:val="24"/>
        </w:rPr>
        <w:t> </w:t>
      </w:r>
      <w:r>
        <w:rPr>
          <w:sz w:val="24"/>
        </w:rPr>
        <w:t>of health</w:t>
      </w:r>
      <w:r>
        <w:rPr>
          <w:spacing w:val="-1"/>
          <w:sz w:val="24"/>
        </w:rPr>
        <w:t> </w:t>
      </w:r>
      <w:r>
        <w:rPr>
          <w:sz w:val="24"/>
        </w:rPr>
        <w:t>outcomes and</w:t>
      </w:r>
      <w:r>
        <w:rPr>
          <w:spacing w:val="-1"/>
          <w:sz w:val="24"/>
        </w:rPr>
        <w:t> </w:t>
      </w:r>
      <w:r>
        <w:rPr>
          <w:sz w:val="24"/>
        </w:rPr>
        <w:t>health-seeking</w:t>
      </w:r>
      <w:r>
        <w:rPr>
          <w:spacing w:val="-3"/>
          <w:sz w:val="24"/>
        </w:rPr>
        <w:t> </w:t>
      </w:r>
      <w:r>
        <w:rPr>
          <w:sz w:val="24"/>
        </w:rPr>
        <w:t>behaviour</w:t>
      </w:r>
      <w:r>
        <w:rPr>
          <w:spacing w:val="-1"/>
          <w:sz w:val="24"/>
        </w:rPr>
        <w:t> </w:t>
      </w:r>
      <w:r>
        <w:rPr>
          <w:sz w:val="24"/>
        </w:rPr>
        <w:t>in Nigeria;</w:t>
      </w:r>
    </w:p>
    <w:p>
      <w:pPr>
        <w:pStyle w:val="ListParagraph"/>
        <w:numPr>
          <w:ilvl w:val="2"/>
          <w:numId w:val="7"/>
        </w:numPr>
        <w:tabs>
          <w:tab w:pos="880" w:val="left" w:leader="none"/>
          <w:tab w:pos="881" w:val="left" w:leader="none"/>
        </w:tabs>
        <w:spacing w:line="240" w:lineRule="auto" w:before="140" w:after="0"/>
        <w:ind w:left="880" w:right="0" w:hanging="555"/>
        <w:jc w:val="left"/>
        <w:rPr>
          <w:sz w:val="24"/>
        </w:rPr>
      </w:pPr>
      <w:r>
        <w:rPr>
          <w:spacing w:val="-1"/>
          <w:sz w:val="24"/>
        </w:rPr>
        <w:t>Estimate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level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magnitude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income</w:t>
      </w:r>
      <w:r>
        <w:rPr>
          <w:spacing w:val="-11"/>
          <w:sz w:val="24"/>
        </w:rPr>
        <w:t> </w:t>
      </w:r>
      <w:r>
        <w:rPr>
          <w:sz w:val="24"/>
        </w:rPr>
        <w:t>inequality</w:t>
      </w:r>
      <w:r>
        <w:rPr>
          <w:spacing w:val="-15"/>
          <w:sz w:val="24"/>
        </w:rPr>
        <w:t> </w:t>
      </w:r>
      <w:r>
        <w:rPr>
          <w:sz w:val="24"/>
        </w:rPr>
        <w:t>across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36</w:t>
      </w:r>
      <w:r>
        <w:rPr>
          <w:spacing w:val="-9"/>
          <w:sz w:val="24"/>
        </w:rPr>
        <w:t> </w:t>
      </w:r>
      <w:r>
        <w:rPr>
          <w:sz w:val="24"/>
        </w:rPr>
        <w:t>states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FCT</w:t>
      </w:r>
      <w:r>
        <w:rPr>
          <w:spacing w:val="-9"/>
          <w:sz w:val="24"/>
        </w:rPr>
        <w:t> </w:t>
      </w:r>
      <w:r>
        <w:rPr>
          <w:sz w:val="24"/>
        </w:rPr>
        <w:t>Abuja;</w:t>
      </w:r>
    </w:p>
    <w:p>
      <w:pPr>
        <w:pStyle w:val="ListParagraph"/>
        <w:numPr>
          <w:ilvl w:val="2"/>
          <w:numId w:val="7"/>
        </w:numPr>
        <w:tabs>
          <w:tab w:pos="880" w:val="left" w:leader="none"/>
          <w:tab w:pos="881" w:val="left" w:leader="none"/>
        </w:tabs>
        <w:spacing w:line="240" w:lineRule="auto" w:before="136" w:after="0"/>
        <w:ind w:left="880" w:right="0" w:hanging="620"/>
        <w:jc w:val="left"/>
        <w:rPr>
          <w:sz w:val="24"/>
        </w:rPr>
      </w:pPr>
      <w:r>
        <w:rPr>
          <w:sz w:val="24"/>
        </w:rPr>
        <w:t>Estimate</w:t>
      </w:r>
      <w:r>
        <w:rPr>
          <w:spacing w:val="-2"/>
          <w:sz w:val="24"/>
        </w:rPr>
        <w:t> </w:t>
      </w:r>
      <w:r>
        <w:rPr>
          <w:sz w:val="24"/>
        </w:rPr>
        <w:t>the direct and indirect effects of</w:t>
      </w:r>
      <w:r>
        <w:rPr>
          <w:spacing w:val="-1"/>
          <w:sz w:val="24"/>
        </w:rPr>
        <w:t> </w:t>
      </w:r>
      <w:r>
        <w:rPr>
          <w:sz w:val="24"/>
        </w:rPr>
        <w:t>income</w:t>
      </w:r>
      <w:r>
        <w:rPr>
          <w:spacing w:val="-1"/>
          <w:sz w:val="24"/>
        </w:rPr>
        <w:t> </w:t>
      </w:r>
      <w:r>
        <w:rPr>
          <w:sz w:val="24"/>
        </w:rPr>
        <w:t>inequality</w:t>
      </w:r>
      <w:r>
        <w:rPr>
          <w:spacing w:val="-5"/>
          <w:sz w:val="24"/>
        </w:rPr>
        <w:t> </w:t>
      </w:r>
      <w:r>
        <w:rPr>
          <w:sz w:val="24"/>
        </w:rPr>
        <w:t>on health outcomes; and</w:t>
      </w:r>
    </w:p>
    <w:p>
      <w:pPr>
        <w:pStyle w:val="ListParagraph"/>
        <w:numPr>
          <w:ilvl w:val="2"/>
          <w:numId w:val="7"/>
        </w:numPr>
        <w:tabs>
          <w:tab w:pos="880" w:val="left" w:leader="none"/>
          <w:tab w:pos="881" w:val="left" w:leader="none"/>
        </w:tabs>
        <w:spacing w:line="360" w:lineRule="auto" w:before="140" w:after="0"/>
        <w:ind w:left="880" w:right="156" w:hanging="608"/>
        <w:jc w:val="left"/>
        <w:rPr>
          <w:sz w:val="24"/>
        </w:rPr>
      </w:pPr>
      <w:r>
        <w:rPr>
          <w:sz w:val="24"/>
        </w:rPr>
        <w:t>Estimate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direct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indirect</w:t>
      </w:r>
      <w:r>
        <w:rPr>
          <w:spacing w:val="12"/>
          <w:sz w:val="24"/>
        </w:rPr>
        <w:t> </w:t>
      </w:r>
      <w:r>
        <w:rPr>
          <w:sz w:val="24"/>
        </w:rPr>
        <w:t>effects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income</w:t>
      </w:r>
      <w:r>
        <w:rPr>
          <w:spacing w:val="10"/>
          <w:sz w:val="24"/>
        </w:rPr>
        <w:t> </w:t>
      </w:r>
      <w:r>
        <w:rPr>
          <w:sz w:val="24"/>
        </w:rPr>
        <w:t>inequality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9"/>
          <w:sz w:val="24"/>
        </w:rPr>
        <w:t> </w:t>
      </w:r>
      <w:r>
        <w:rPr>
          <w:sz w:val="24"/>
        </w:rPr>
        <w:t>health-seeking</w:t>
      </w:r>
      <w:r>
        <w:rPr>
          <w:spacing w:val="8"/>
          <w:sz w:val="24"/>
        </w:rPr>
        <w:t> </w:t>
      </w:r>
      <w:r>
        <w:rPr>
          <w:sz w:val="24"/>
        </w:rPr>
        <w:t>behaviour</w:t>
      </w:r>
      <w:r>
        <w:rPr>
          <w:spacing w:val="-57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households in Nigeria.</w:t>
      </w:r>
    </w:p>
    <w:p>
      <w:pPr>
        <w:pStyle w:val="Heading4"/>
        <w:numPr>
          <w:ilvl w:val="1"/>
          <w:numId w:val="7"/>
        </w:numPr>
        <w:tabs>
          <w:tab w:pos="881" w:val="left" w:leader="none"/>
        </w:tabs>
        <w:spacing w:line="240" w:lineRule="auto" w:before="211" w:after="0"/>
        <w:ind w:left="880" w:right="0" w:hanging="721"/>
        <w:jc w:val="both"/>
      </w:pPr>
      <w:bookmarkStart w:name="_TOC_250067" w:id="10"/>
      <w:r>
        <w:rPr/>
        <w:t>Justification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10"/>
      <w:r>
        <w:rPr/>
        <w:t>the Study</w:t>
      </w:r>
    </w:p>
    <w:p>
      <w:pPr>
        <w:pStyle w:val="BodyText"/>
        <w:spacing w:line="360" w:lineRule="auto" w:before="135"/>
        <w:ind w:left="160" w:right="153"/>
        <w:jc w:val="both"/>
      </w:pPr>
      <w:r>
        <w:rPr/>
        <w:t>Theoretically, the income inequality-health (IIH) hypothesis as pioneered by Wilkinson (1992,</w:t>
      </w:r>
      <w:r>
        <w:rPr>
          <w:spacing w:val="1"/>
        </w:rPr>
        <w:t> </w:t>
      </w:r>
      <w:r>
        <w:rPr/>
        <w:t>1994)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extension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Pickett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Wilkinson</w:t>
      </w:r>
      <w:r>
        <w:rPr>
          <w:spacing w:val="-1"/>
        </w:rPr>
        <w:t> </w:t>
      </w:r>
      <w:r>
        <w:rPr/>
        <w:t>(2015)</w:t>
      </w:r>
      <w:r>
        <w:rPr>
          <w:spacing w:val="-2"/>
        </w:rPr>
        <w:t> </w:t>
      </w:r>
      <w:r>
        <w:rPr/>
        <w:t>argue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</w:t>
      </w:r>
      <w:r>
        <w:rPr>
          <w:spacing w:val="-9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direct</w:t>
      </w:r>
      <w:r>
        <w:rPr>
          <w:spacing w:val="-58"/>
        </w:rPr>
        <w:t> </w:t>
      </w:r>
      <w:r>
        <w:rPr/>
        <w:t>effect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through</w:t>
      </w:r>
      <w:r>
        <w:rPr>
          <w:spacing w:val="-4"/>
        </w:rPr>
        <w:t> </w:t>
      </w:r>
      <w:r>
        <w:rPr/>
        <w:t>stress,</w:t>
      </w:r>
      <w:r>
        <w:rPr>
          <w:spacing w:val="-6"/>
        </w:rPr>
        <w:t> </w:t>
      </w:r>
      <w:r>
        <w:rPr/>
        <w:t>status</w:t>
      </w:r>
      <w:r>
        <w:rPr>
          <w:spacing w:val="-6"/>
        </w:rPr>
        <w:t> </w:t>
      </w:r>
      <w:r>
        <w:rPr/>
        <w:t>anxiety,</w:t>
      </w:r>
      <w:r>
        <w:rPr>
          <w:spacing w:val="-4"/>
        </w:rPr>
        <w:t> </w:t>
      </w:r>
      <w:r>
        <w:rPr/>
        <w:t>competition,</w:t>
      </w:r>
      <w:r>
        <w:rPr>
          <w:spacing w:val="-6"/>
        </w:rPr>
        <w:t> </w:t>
      </w:r>
      <w:r>
        <w:rPr/>
        <w:t>comparison,</w:t>
      </w:r>
      <w:r>
        <w:rPr>
          <w:spacing w:val="-6"/>
        </w:rPr>
        <w:t> </w:t>
      </w:r>
      <w:r>
        <w:rPr/>
        <w:t>depression,</w:t>
      </w:r>
      <w:r>
        <w:rPr>
          <w:spacing w:val="-6"/>
        </w:rPr>
        <w:t> </w:t>
      </w:r>
      <w:r>
        <w:rPr/>
        <w:t>long-working</w:t>
      </w:r>
      <w:r>
        <w:rPr>
          <w:spacing w:val="-58"/>
        </w:rPr>
        <w:t> </w:t>
      </w:r>
      <w:r>
        <w:rPr/>
        <w:t>hours,</w:t>
      </w:r>
      <w:r>
        <w:rPr>
          <w:spacing w:val="-13"/>
        </w:rPr>
        <w:t> </w:t>
      </w:r>
      <w:r>
        <w:rPr/>
        <w:t>frustration,</w:t>
      </w:r>
      <w:r>
        <w:rPr>
          <w:spacing w:val="-11"/>
        </w:rPr>
        <w:t> </w:t>
      </w:r>
      <w:r>
        <w:rPr/>
        <w:t>low</w:t>
      </w:r>
      <w:r>
        <w:rPr>
          <w:spacing w:val="-12"/>
        </w:rPr>
        <w:t> </w:t>
      </w:r>
      <w:r>
        <w:rPr/>
        <w:t>trust,</w:t>
      </w:r>
      <w:r>
        <w:rPr>
          <w:spacing w:val="-10"/>
        </w:rPr>
        <w:t> </w:t>
      </w:r>
      <w:r>
        <w:rPr/>
        <w:t>insecurity,</w:t>
      </w:r>
      <w:r>
        <w:rPr>
          <w:spacing w:val="-12"/>
        </w:rPr>
        <w:t> </w:t>
      </w:r>
      <w:r>
        <w:rPr/>
        <w:t>fear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shock.</w:t>
      </w:r>
      <w:r>
        <w:rPr>
          <w:spacing w:val="-11"/>
        </w:rPr>
        <w:t> </w:t>
      </w:r>
      <w:r>
        <w:rPr/>
        <w:t>These</w:t>
      </w:r>
      <w:r>
        <w:rPr>
          <w:spacing w:val="-13"/>
        </w:rPr>
        <w:t> </w:t>
      </w:r>
      <w:r>
        <w:rPr/>
        <w:t>affects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health</w:t>
      </w:r>
      <w:r>
        <w:rPr>
          <w:spacing w:val="-11"/>
        </w:rPr>
        <w:t> </w:t>
      </w:r>
      <w:r>
        <w:rPr/>
        <w:t>outcomes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HSB</w:t>
      </w:r>
      <w:r>
        <w:rPr>
          <w:spacing w:val="-58"/>
        </w:rPr>
        <w:t> </w:t>
      </w:r>
      <w:r>
        <w:rPr/>
        <w:t>of</w:t>
      </w:r>
      <w:r>
        <w:rPr>
          <w:spacing w:val="-10"/>
        </w:rPr>
        <w:t> </w:t>
      </w:r>
      <w:r>
        <w:rPr/>
        <w:t>both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rich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poor</w:t>
      </w:r>
      <w:r>
        <w:rPr>
          <w:spacing w:val="-12"/>
        </w:rPr>
        <w:t> </w:t>
      </w:r>
      <w:r>
        <w:rPr/>
        <w:t>citizens</w:t>
      </w:r>
      <w:r>
        <w:rPr>
          <w:spacing w:val="-9"/>
        </w:rPr>
        <w:t> </w:t>
      </w:r>
      <w:r>
        <w:rPr/>
        <w:t>alike</w:t>
      </w:r>
      <w:r>
        <w:rPr>
          <w:spacing w:val="-10"/>
        </w:rPr>
        <w:t> </w:t>
      </w:r>
      <w:r>
        <w:rPr/>
        <w:t>(Bakkeli,</w:t>
      </w:r>
      <w:r>
        <w:rPr>
          <w:spacing w:val="-9"/>
        </w:rPr>
        <w:t> </w:t>
      </w:r>
      <w:r>
        <w:rPr/>
        <w:t>2016;</w:t>
      </w:r>
      <w:r>
        <w:rPr>
          <w:spacing w:val="-7"/>
        </w:rPr>
        <w:t> </w:t>
      </w:r>
      <w:r>
        <w:rPr/>
        <w:t>Khan,</w:t>
      </w:r>
      <w:r>
        <w:rPr>
          <w:spacing w:val="-9"/>
        </w:rPr>
        <w:t> </w:t>
      </w:r>
      <w:r>
        <w:rPr/>
        <w:t>2018;</w:t>
      </w:r>
      <w:r>
        <w:rPr>
          <w:spacing w:val="-8"/>
        </w:rPr>
        <w:t> </w:t>
      </w:r>
      <w:r>
        <w:rPr/>
        <w:t>Mattew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Brodersen,</w:t>
      </w:r>
      <w:r>
        <w:rPr>
          <w:spacing w:val="-9"/>
        </w:rPr>
        <w:t> </w:t>
      </w:r>
      <w:r>
        <w:rPr/>
        <w:t>2019).</w:t>
      </w:r>
      <w:r>
        <w:rPr>
          <w:spacing w:val="-58"/>
        </w:rPr>
        <w:t> </w:t>
      </w:r>
      <w:r>
        <w:rPr/>
        <w:t>However, little is known about the potential pathways through which income inequality affects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-13"/>
        </w:rPr>
        <w:t> </w:t>
      </w:r>
      <w:r>
        <w:rPr/>
        <w:t>outcomes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HSB</w:t>
      </w:r>
      <w:r>
        <w:rPr>
          <w:spacing w:val="-14"/>
        </w:rPr>
        <w:t> </w:t>
      </w:r>
      <w:r>
        <w:rPr/>
        <w:t>(for</w:t>
      </w:r>
      <w:r>
        <w:rPr>
          <w:spacing w:val="-14"/>
        </w:rPr>
        <w:t> </w:t>
      </w:r>
      <w:r>
        <w:rPr/>
        <w:t>instance,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so-called</w:t>
      </w:r>
      <w:r>
        <w:rPr>
          <w:spacing w:val="-13"/>
        </w:rPr>
        <w:t> </w:t>
      </w:r>
      <w:r>
        <w:rPr/>
        <w:t>“indirect</w:t>
      </w:r>
      <w:r>
        <w:rPr>
          <w:spacing w:val="-13"/>
        </w:rPr>
        <w:t> </w:t>
      </w:r>
      <w:r>
        <w:rPr/>
        <w:t>effect”).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understanding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these</w:t>
      </w:r>
      <w:r>
        <w:rPr>
          <w:spacing w:val="-58"/>
        </w:rPr>
        <w:t> </w:t>
      </w:r>
      <w:r>
        <w:rPr/>
        <w:t>indirect effects could have important implications for the design of health policies to achieve the</w:t>
      </w:r>
      <w:r>
        <w:rPr>
          <w:spacing w:val="1"/>
        </w:rPr>
        <w:t> </w:t>
      </w:r>
      <w:r>
        <w:rPr/>
        <w:t>SDGs</w:t>
      </w:r>
      <w:r>
        <w:rPr>
          <w:spacing w:val="-1"/>
        </w:rPr>
        <w:t> </w:t>
      </w:r>
      <w:r>
        <w:rPr/>
        <w:t>3 before</w:t>
      </w:r>
      <w:r>
        <w:rPr>
          <w:spacing w:val="3"/>
        </w:rPr>
        <w:t> </w:t>
      </w:r>
      <w:r>
        <w:rPr/>
        <w:t>year 2030.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60" w:right="156"/>
        <w:jc w:val="both"/>
      </w:pPr>
      <w:r>
        <w:rPr/>
        <w:t>Noteworthily, the major determinants of health outcomes and HSB are largely associated with</w:t>
      </w:r>
      <w:r>
        <w:rPr>
          <w:spacing w:val="1"/>
        </w:rPr>
        <w:t> </w:t>
      </w:r>
      <w:r>
        <w:rPr/>
        <w:t>household characteristics (Grossman, 1972; Galama and van Kippersluis, 2013). These factors</w:t>
      </w:r>
      <w:r>
        <w:rPr>
          <w:spacing w:val="1"/>
        </w:rPr>
        <w:t> </w:t>
      </w:r>
      <w:r>
        <w:rPr/>
        <w:t>such as, family size, access to healthy food, water, housing conditions, education, and people’s</w:t>
      </w:r>
      <w:r>
        <w:rPr>
          <w:spacing w:val="1"/>
        </w:rPr>
        <w:t> </w:t>
      </w:r>
      <w:r>
        <w:rPr/>
        <w:t>lifestyle,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outcomes;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considered factors is access and use of healthcare services (WHO, 2013). This then suggest that</w:t>
      </w:r>
      <w:r>
        <w:rPr>
          <w:spacing w:val="1"/>
        </w:rPr>
        <w:t> </w:t>
      </w:r>
      <w:r>
        <w:rPr/>
        <w:t>these factors are the interlinking vary between income inequality and health outcomes and HSB.</w:t>
      </w:r>
      <w:r>
        <w:rPr>
          <w:spacing w:val="1"/>
        </w:rPr>
        <w:t> </w:t>
      </w:r>
      <w:r>
        <w:rPr/>
        <w:t>Thus, the indirect link from income inequality, household’s characteristics, and health is also key</w:t>
      </w:r>
      <w:r>
        <w:rPr>
          <w:spacing w:val="-57"/>
        </w:rPr>
        <w:t> </w:t>
      </w:r>
      <w:r>
        <w:rPr/>
        <w:t>to this study. This is because, income inequality affects the quality and quantity of healthy goods</w:t>
      </w:r>
      <w:r>
        <w:rPr>
          <w:spacing w:val="1"/>
        </w:rPr>
        <w:t> </w:t>
      </w:r>
      <w:r>
        <w:rPr/>
        <w:t>and services that people buy, consume or have access to. For instance, income inequality reduces</w:t>
      </w:r>
      <w:r>
        <w:rPr>
          <w:spacing w:val="-57"/>
        </w:rPr>
        <w:t> </w:t>
      </w:r>
      <w:r>
        <w:rPr/>
        <w:t>the</w:t>
      </w:r>
      <w:r>
        <w:rPr>
          <w:spacing w:val="-8"/>
        </w:rPr>
        <w:t> </w:t>
      </w:r>
      <w:r>
        <w:rPr/>
        <w:t>purchasing-power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household’s</w:t>
      </w:r>
      <w:r>
        <w:rPr>
          <w:spacing w:val="-6"/>
        </w:rPr>
        <w:t> </w:t>
      </w:r>
      <w:r>
        <w:rPr/>
        <w:t>resources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trapped</w:t>
      </w:r>
      <w:r>
        <w:rPr>
          <w:spacing w:val="-7"/>
        </w:rPr>
        <w:t> </w:t>
      </w:r>
      <w:r>
        <w:rPr/>
        <w:t>them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poverty.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could</w:t>
      </w:r>
      <w:r>
        <w:rPr>
          <w:spacing w:val="-6"/>
        </w:rPr>
        <w:t> </w:t>
      </w:r>
      <w:r>
        <w:rPr/>
        <w:t>leads</w:t>
      </w:r>
      <w:r>
        <w:rPr>
          <w:spacing w:val="-7"/>
        </w:rPr>
        <w:t> </w:t>
      </w:r>
      <w:r>
        <w:rPr/>
        <w:t>to</w:t>
      </w:r>
      <w:r>
        <w:rPr>
          <w:spacing w:val="-57"/>
        </w:rPr>
        <w:t> </w:t>
      </w:r>
      <w:r>
        <w:rPr/>
        <w:t>poor</w:t>
      </w:r>
      <w:r>
        <w:rPr>
          <w:spacing w:val="-3"/>
        </w:rPr>
        <w:t> </w:t>
      </w:r>
      <w:r>
        <w:rPr/>
        <w:t>health</w:t>
      </w:r>
      <w:r>
        <w:rPr>
          <w:spacing w:val="-1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inappropriate</w:t>
      </w:r>
      <w:r>
        <w:rPr>
          <w:spacing w:val="-1"/>
        </w:rPr>
        <w:t> </w:t>
      </w:r>
      <w:r>
        <w:rPr/>
        <w:t>HSB</w:t>
      </w:r>
      <w:r>
        <w:rPr>
          <w:spacing w:val="-4"/>
        </w:rPr>
        <w:t> </w:t>
      </w:r>
      <w:r>
        <w:rPr/>
        <w:t>(Lewis,</w:t>
      </w:r>
      <w:r>
        <w:rPr>
          <w:spacing w:val="-1"/>
        </w:rPr>
        <w:t> </w:t>
      </w:r>
      <w:r>
        <w:rPr/>
        <w:t>1972),</w:t>
      </w:r>
      <w:r>
        <w:rPr>
          <w:spacing w:val="-1"/>
        </w:rPr>
        <w:t> </w:t>
      </w:r>
      <w:r>
        <w:rPr/>
        <w:t>low-quality</w:t>
      </w:r>
      <w:r>
        <w:rPr>
          <w:spacing w:val="-9"/>
        </w:rPr>
        <w:t> </w:t>
      </w:r>
      <w:r>
        <w:rPr/>
        <w:t>diet</w:t>
      </w:r>
      <w:r>
        <w:rPr>
          <w:spacing w:val="-1"/>
        </w:rPr>
        <w:t> </w:t>
      </w:r>
      <w:r>
        <w:rPr/>
        <w:t>(Food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Action,</w:t>
      </w:r>
      <w:r>
        <w:rPr>
          <w:spacing w:val="10"/>
        </w:rPr>
        <w:t> </w:t>
      </w:r>
      <w:r>
        <w:rPr/>
        <w:t>2018);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unhealthy</w:t>
      </w:r>
      <w:r>
        <w:rPr>
          <w:spacing w:val="6"/>
        </w:rPr>
        <w:t> </w:t>
      </w:r>
      <w:r>
        <w:rPr/>
        <w:t>lifestyle</w:t>
      </w:r>
      <w:r>
        <w:rPr>
          <w:spacing w:val="9"/>
        </w:rPr>
        <w:t> </w:t>
      </w:r>
      <w:r>
        <w:rPr/>
        <w:t>(Macinko,</w:t>
      </w:r>
      <w:r>
        <w:rPr>
          <w:spacing w:val="13"/>
        </w:rPr>
        <w:t> </w:t>
      </w:r>
      <w:r>
        <w:rPr/>
        <w:t>2003).</w:t>
      </w:r>
      <w:r>
        <w:rPr>
          <w:spacing w:val="9"/>
        </w:rPr>
        <w:t> </w:t>
      </w:r>
      <w:r>
        <w:rPr/>
        <w:t>Again,</w:t>
      </w:r>
      <w:r>
        <w:rPr>
          <w:spacing w:val="11"/>
        </w:rPr>
        <w:t> </w:t>
      </w:r>
      <w:r>
        <w:rPr/>
        <w:t>citizens</w:t>
      </w:r>
      <w:r>
        <w:rPr>
          <w:spacing w:val="11"/>
        </w:rPr>
        <w:t> </w:t>
      </w:r>
      <w:r>
        <w:rPr/>
        <w:t>particularly</w:t>
      </w:r>
      <w:r>
        <w:rPr>
          <w:spacing w:val="4"/>
        </w:rPr>
        <w:t> </w:t>
      </w:r>
      <w:r>
        <w:rPr/>
        <w:t>low-income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6"/>
        <w:jc w:val="both"/>
      </w:pPr>
      <w:r>
        <w:rPr/>
        <w:t>households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unequal</w:t>
      </w:r>
      <w:r>
        <w:rPr>
          <w:spacing w:val="-3"/>
        </w:rPr>
        <w:t> </w:t>
      </w:r>
      <w:r>
        <w:rPr>
          <w:sz w:val="22"/>
        </w:rPr>
        <w:t>societies</w:t>
      </w:r>
      <w:r>
        <w:rPr>
          <w:spacing w:val="3"/>
          <w:sz w:val="22"/>
        </w:rPr>
        <w:t> </w:t>
      </w:r>
      <w:r>
        <w:rPr/>
        <w:t>often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high</w:t>
      </w:r>
      <w:r>
        <w:rPr>
          <w:spacing w:val="-4"/>
        </w:rPr>
        <w:t> </w:t>
      </w:r>
      <w:r>
        <w:rPr/>
        <w:t>share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income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other</w:t>
      </w:r>
      <w:r>
        <w:rPr>
          <w:spacing w:val="-6"/>
        </w:rPr>
        <w:t> </w:t>
      </w:r>
      <w:r>
        <w:rPr/>
        <w:t>basic</w:t>
      </w:r>
      <w:r>
        <w:rPr>
          <w:spacing w:val="-4"/>
        </w:rPr>
        <w:t> </w:t>
      </w:r>
      <w:r>
        <w:rPr/>
        <w:t>needs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57"/>
        </w:rPr>
        <w:t> </w:t>
      </w:r>
      <w:r>
        <w:rPr/>
        <w:t>food, shelter and education amongst others, </w:t>
      </w:r>
      <w:r>
        <w:rPr>
          <w:sz w:val="22"/>
        </w:rPr>
        <w:t>and </w:t>
      </w:r>
      <w:r>
        <w:rPr/>
        <w:t>sometimes, burdened by debt </w:t>
      </w:r>
      <w:r>
        <w:rPr>
          <w:sz w:val="22"/>
        </w:rPr>
        <w:t>and </w:t>
      </w:r>
      <w:r>
        <w:rPr/>
        <w:t>long working</w:t>
      </w:r>
      <w:r>
        <w:rPr>
          <w:spacing w:val="1"/>
        </w:rPr>
        <w:t> </w:t>
      </w:r>
      <w:r>
        <w:rPr/>
        <w:t>hours. However, existing literature on IIH in Nigeria such as, Orji </w:t>
      </w:r>
      <w:r>
        <w:rPr>
          <w:i/>
        </w:rPr>
        <w:t>et al. </w:t>
      </w:r>
      <w:r>
        <w:rPr/>
        <w:t>(2013), Alawode and</w:t>
      </w:r>
      <w:r>
        <w:rPr>
          <w:spacing w:val="1"/>
        </w:rPr>
        <w:t> </w:t>
      </w:r>
      <w:r>
        <w:rPr/>
        <w:t>Lawal (2014), Karimo </w:t>
      </w:r>
      <w:r>
        <w:rPr>
          <w:i/>
        </w:rPr>
        <w:t>et al. </w:t>
      </w:r>
      <w:r>
        <w:rPr/>
        <w:t>(2017), Odusanya and Agboola (2018) focused on financial burden</w:t>
      </w:r>
      <w:r>
        <w:rPr>
          <w:spacing w:val="1"/>
        </w:rPr>
        <w:t> </w:t>
      </w:r>
      <w:r>
        <w:rPr/>
        <w:t>(anxiety,</w:t>
      </w:r>
      <w:r>
        <w:rPr>
          <w:spacing w:val="-1"/>
        </w:rPr>
        <w:t> </w:t>
      </w:r>
      <w:r>
        <w:rPr/>
        <w:t>competition, and stress)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households.</w:t>
      </w:r>
    </w:p>
    <w:p>
      <w:pPr>
        <w:pStyle w:val="BodyText"/>
        <w:spacing w:line="360" w:lineRule="auto" w:before="139"/>
        <w:ind w:left="160" w:right="155"/>
        <w:jc w:val="both"/>
      </w:pP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terms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empirical</w:t>
      </w:r>
      <w:r>
        <w:rPr>
          <w:spacing w:val="-14"/>
        </w:rPr>
        <w:t> </w:t>
      </w:r>
      <w:r>
        <w:rPr>
          <w:spacing w:val="-1"/>
        </w:rPr>
        <w:t>findings,</w:t>
      </w:r>
      <w:r>
        <w:rPr>
          <w:spacing w:val="-14"/>
        </w:rPr>
        <w:t> </w:t>
      </w:r>
      <w:r>
        <w:rPr/>
        <w:t>Olaniyan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al.</w:t>
      </w:r>
      <w:r>
        <w:rPr>
          <w:i/>
          <w:spacing w:val="-14"/>
        </w:rPr>
        <w:t> </w:t>
      </w:r>
      <w:r>
        <w:rPr/>
        <w:t>(2015),</w:t>
      </w:r>
      <w:r>
        <w:rPr>
          <w:spacing w:val="-16"/>
        </w:rPr>
        <w:t> </w:t>
      </w:r>
      <w:r>
        <w:rPr/>
        <w:t>Karimo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</w:t>
      </w:r>
      <w:r>
        <w:rPr>
          <w:i/>
          <w:spacing w:val="-11"/>
        </w:rPr>
        <w:t> </w:t>
      </w:r>
      <w:r>
        <w:rPr/>
        <w:t>(2017),</w:t>
      </w:r>
      <w:r>
        <w:rPr>
          <w:spacing w:val="-13"/>
        </w:rPr>
        <w:t> </w:t>
      </w:r>
      <w:r>
        <w:rPr/>
        <w:t>Odusanya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Agboola</w:t>
      </w:r>
      <w:r>
        <w:rPr>
          <w:spacing w:val="-58"/>
        </w:rPr>
        <w:t> </w:t>
      </w:r>
      <w:r>
        <w:rPr/>
        <w:t>(2018) found that income inequality is detrimental to health outcomes in Nigeria. Conversely, the</w:t>
      </w:r>
      <w:r>
        <w:rPr>
          <w:spacing w:val="-58"/>
        </w:rPr>
        <w:t> </w:t>
      </w:r>
      <w:r>
        <w:rPr/>
        <w:t>results by Nilson and Bergh (2012), Pulok (2012), Fatukasi and Ayeomoni (2015) indicated that</w:t>
      </w:r>
      <w:r>
        <w:rPr>
          <w:spacing w:val="1"/>
        </w:rPr>
        <w:t> </w:t>
      </w:r>
      <w:r>
        <w:rPr/>
        <w:t>rising income inequality associated with better health outcomes in Nigeria. The major limitation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these</w:t>
      </w:r>
      <w:r>
        <w:rPr>
          <w:spacing w:val="-6"/>
        </w:rPr>
        <w:t> </w:t>
      </w:r>
      <w:r>
        <w:rPr/>
        <w:t>studies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they</w:t>
      </w:r>
      <w:r>
        <w:rPr>
          <w:spacing w:val="-8"/>
        </w:rPr>
        <w:t> </w:t>
      </w:r>
      <w:r>
        <w:rPr/>
        <w:t>remain</w:t>
      </w:r>
      <w:r>
        <w:rPr>
          <w:spacing w:val="-5"/>
        </w:rPr>
        <w:t> </w:t>
      </w:r>
      <w:r>
        <w:rPr/>
        <w:t>inconclusive</w:t>
      </w:r>
      <w:r>
        <w:rPr>
          <w:spacing w:val="-6"/>
        </w:rPr>
        <w:t> </w:t>
      </w:r>
      <w:r>
        <w:rPr/>
        <w:t>regarding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z w:val="22"/>
        </w:rPr>
        <w:t>transmission</w:t>
      </w:r>
      <w:r>
        <w:rPr>
          <w:spacing w:val="-5"/>
          <w:sz w:val="22"/>
        </w:rPr>
        <w:t> </w:t>
      </w:r>
      <w:r>
        <w:rPr>
          <w:sz w:val="22"/>
        </w:rPr>
        <w:t>channel</w:t>
      </w:r>
      <w:r>
        <w:rPr>
          <w:spacing w:val="3"/>
          <w:sz w:val="2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impact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income</w:t>
      </w:r>
      <w:r>
        <w:rPr>
          <w:spacing w:val="-5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/>
        <w:t>lead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misleading</w:t>
      </w:r>
      <w:r>
        <w:rPr>
          <w:spacing w:val="-57"/>
        </w:rPr>
        <w:t> </w:t>
      </w:r>
      <w:r>
        <w:rPr/>
        <w:t>inferences</w:t>
      </w:r>
      <w:r>
        <w:rPr>
          <w:spacing w:val="-1"/>
        </w:rPr>
        <w:t> </w:t>
      </w:r>
      <w:r>
        <w:rPr/>
        <w:t>drawn for policy</w:t>
      </w:r>
      <w:r>
        <w:rPr>
          <w:spacing w:val="-5"/>
        </w:rPr>
        <w:t> </w:t>
      </w:r>
      <w:r>
        <w:rPr/>
        <w:t>planning and formulation.</w:t>
      </w:r>
    </w:p>
    <w:p>
      <w:pPr>
        <w:pStyle w:val="BodyText"/>
        <w:spacing w:line="360" w:lineRule="auto" w:before="114"/>
        <w:ind w:left="160" w:right="155"/>
        <w:jc w:val="both"/>
      </w:pPr>
      <w:r>
        <w:rPr/>
        <w:t>Furthermore, no studies investigate the income inequality-HSB links, except Fagbemigbe,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(2015). While their study focused on people living with HIV/AIDS in Nigeria, it might not be</w:t>
      </w:r>
      <w:r>
        <w:rPr>
          <w:spacing w:val="1"/>
        </w:rPr>
        <w:t> </w:t>
      </w:r>
      <w:r>
        <w:rPr/>
        <w:t>adequate for policy to improve appropriate HSB for over 200 million Nigerian. This, therefore,</w:t>
      </w:r>
      <w:r>
        <w:rPr>
          <w:spacing w:val="1"/>
        </w:rPr>
        <w:t> </w:t>
      </w:r>
      <w:r>
        <w:rPr/>
        <w:t>necessitated the estimate of the effect of income inequality on HSB to cover the entire country.</w:t>
      </w:r>
      <w:r>
        <w:rPr>
          <w:spacing w:val="1"/>
        </w:rPr>
        <w:t> </w:t>
      </w:r>
      <w:r>
        <w:rPr/>
        <w:t>The thesis also contributes to existing studies by examining the level and magnitude of income</w:t>
      </w:r>
      <w:r>
        <w:rPr>
          <w:spacing w:val="1"/>
        </w:rPr>
        <w:t> </w:t>
      </w:r>
      <w:r>
        <w:rPr/>
        <w:t>inequality across the 36 states and FCT Abuja. This is important due to heterogeneity across</w:t>
      </w:r>
      <w:r>
        <w:rPr>
          <w:spacing w:val="1"/>
        </w:rPr>
        <w:t> </w:t>
      </w:r>
      <w:r>
        <w:rPr/>
        <w:t>households in various states and regions. Therefore, the findings hope to informs policies to</w:t>
      </w:r>
      <w:r>
        <w:rPr>
          <w:spacing w:val="1"/>
        </w:rPr>
        <w:t> </w:t>
      </w:r>
      <w:r>
        <w:rPr/>
        <w:t>achieving</w:t>
      </w:r>
      <w:r>
        <w:rPr>
          <w:spacing w:val="-4"/>
        </w:rPr>
        <w:t> </w:t>
      </w:r>
      <w:r>
        <w:rPr/>
        <w:t>the United Nation’s SDGs</w:t>
      </w:r>
      <w:r>
        <w:rPr>
          <w:spacing w:val="-1"/>
        </w:rPr>
        <w:t> </w:t>
      </w:r>
      <w:r>
        <w:rPr/>
        <w:t>3 and 10 in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before</w:t>
      </w:r>
      <w:r>
        <w:rPr>
          <w:spacing w:val="-1"/>
        </w:rPr>
        <w:t> </w:t>
      </w:r>
      <w:r>
        <w:rPr/>
        <w:t>2030.</w:t>
      </w:r>
    </w:p>
    <w:p>
      <w:pPr>
        <w:pStyle w:val="BodyText"/>
        <w:spacing w:line="360" w:lineRule="auto" w:before="186"/>
        <w:ind w:left="160" w:right="156"/>
        <w:jc w:val="both"/>
      </w:pPr>
      <w:r>
        <w:rPr/>
        <w:t>The study further contributed to methodological literature in terms of the use of Nigerian General</w:t>
      </w:r>
      <w:r>
        <w:rPr>
          <w:spacing w:val="-57"/>
        </w:rPr>
        <w:t> </w:t>
      </w:r>
      <w:r>
        <w:rPr/>
        <w:t>Household</w:t>
      </w:r>
      <w:r>
        <w:rPr>
          <w:spacing w:val="-6"/>
        </w:rPr>
        <w:t> </w:t>
      </w:r>
      <w:r>
        <w:rPr/>
        <w:t>Panel</w:t>
      </w:r>
      <w:r>
        <w:rPr>
          <w:spacing w:val="-5"/>
        </w:rPr>
        <w:t> </w:t>
      </w:r>
      <w:r>
        <w:rPr/>
        <w:t>Survey</w:t>
      </w:r>
      <w:r>
        <w:rPr>
          <w:spacing w:val="-9"/>
        </w:rPr>
        <w:t> </w:t>
      </w:r>
      <w:r>
        <w:rPr/>
        <w:t>(NGHPS)</w:t>
      </w:r>
      <w:r>
        <w:rPr>
          <w:spacing w:val="-6"/>
        </w:rPr>
        <w:t> </w:t>
      </w:r>
      <w:r>
        <w:rPr/>
        <w:t>database</w:t>
      </w:r>
      <w:r>
        <w:rPr>
          <w:vertAlign w:val="superscript"/>
        </w:rPr>
        <w:t>2</w:t>
      </w:r>
      <w:r>
        <w:rPr>
          <w:spacing w:val="-4"/>
          <w:vertAlign w:val="baseline"/>
        </w:rPr>
        <w:t> </w:t>
      </w:r>
      <w:r>
        <w:rPr>
          <w:vertAlign w:val="baseline"/>
        </w:rPr>
        <w:t>by</w:t>
      </w:r>
      <w:r>
        <w:rPr>
          <w:spacing w:val="-1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-5"/>
          <w:vertAlign w:val="baseline"/>
        </w:rPr>
        <w:t> </w:t>
      </w:r>
      <w:r>
        <w:rPr>
          <w:vertAlign w:val="baseline"/>
        </w:rPr>
        <w:t>Bureau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Statistics</w:t>
      </w:r>
      <w:r>
        <w:rPr>
          <w:spacing w:val="-5"/>
          <w:vertAlign w:val="baseline"/>
        </w:rPr>
        <w:t> </w:t>
      </w:r>
      <w:r>
        <w:rPr>
          <w:vertAlign w:val="baseline"/>
        </w:rPr>
        <w:t>–</w:t>
      </w:r>
      <w:r>
        <w:rPr>
          <w:spacing w:val="-6"/>
          <w:vertAlign w:val="baseline"/>
        </w:rPr>
        <w:t> </w:t>
      </w:r>
      <w:r>
        <w:rPr>
          <w:vertAlign w:val="baseline"/>
        </w:rPr>
        <w:t>Waves</w:t>
      </w:r>
      <w:r>
        <w:rPr>
          <w:spacing w:val="-5"/>
          <w:vertAlign w:val="baseline"/>
        </w:rPr>
        <w:t> </w:t>
      </w:r>
      <w:r>
        <w:rPr>
          <w:vertAlign w:val="baseline"/>
        </w:rPr>
        <w:t>1,</w:t>
      </w:r>
      <w:r>
        <w:rPr>
          <w:spacing w:val="-5"/>
          <w:vertAlign w:val="baseline"/>
        </w:rPr>
        <w:t> </w:t>
      </w:r>
      <w:r>
        <w:rPr>
          <w:vertAlign w:val="baseline"/>
        </w:rPr>
        <w:t>2,</w:t>
      </w:r>
      <w:r>
        <w:rPr>
          <w:spacing w:val="-6"/>
          <w:vertAlign w:val="baseline"/>
        </w:rPr>
        <w:t> </w:t>
      </w:r>
      <w:r>
        <w:rPr>
          <w:vertAlign w:val="baseline"/>
        </w:rPr>
        <w:t>3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360" w:lineRule="auto"/>
        <w:ind w:left="160" w:right="154"/>
        <w:jc w:val="both"/>
      </w:pPr>
      <w:r>
        <w:rPr/>
        <w:t>4. Survey-data provide ample opportunity to carry out in-depth assessment of household welfare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allied</w:t>
      </w:r>
      <w:r>
        <w:rPr>
          <w:spacing w:val="1"/>
        </w:rPr>
        <w:t> </w:t>
      </w:r>
      <w:r>
        <w:rPr/>
        <w:t>matters.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turned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micro-based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accounted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household heterogeneity to conduct health research (for instance, See Tan </w:t>
      </w:r>
      <w:r>
        <w:rPr>
          <w:i/>
        </w:rPr>
        <w:t>et al.</w:t>
      </w:r>
      <w:r>
        <w:rPr/>
        <w:t>, 2018 for China;</w:t>
      </w:r>
      <w:r>
        <w:rPr>
          <w:spacing w:val="1"/>
        </w:rPr>
        <w:t> </w:t>
      </w:r>
      <w:r>
        <w:rPr/>
        <w:t>Massa </w:t>
      </w:r>
      <w:r>
        <w:rPr>
          <w:i/>
        </w:rPr>
        <w:t>et al., </w:t>
      </w:r>
      <w:r>
        <w:rPr/>
        <w:t>2018 for Brazil; Singh </w:t>
      </w:r>
      <w:r>
        <w:rPr>
          <w:i/>
        </w:rPr>
        <w:t>et al., </w:t>
      </w:r>
      <w:r>
        <w:rPr/>
        <w:t>2018 for Australia; and Mattew, 2018 and Hill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2019</w:t>
      </w:r>
      <w:r>
        <w:rPr>
          <w:spacing w:val="-1"/>
        </w:rPr>
        <w:t> </w:t>
      </w:r>
      <w:r>
        <w:rPr/>
        <w:t>for United States).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rect style="position:absolute;margin-left:72.024002pt;margin-top:15.679444pt;width:144.020pt;height:.71997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60" w:right="0" w:firstLine="0"/>
        <w:jc w:val="left"/>
        <w:rPr>
          <w:sz w:val="20"/>
        </w:rPr>
      </w:pPr>
      <w:r>
        <w:rPr>
          <w:rFonts w:ascii="Calibri"/>
          <w:position w:val="5"/>
          <w:sz w:val="10"/>
        </w:rPr>
        <w:t>2</w:t>
      </w:r>
      <w:r>
        <w:rPr>
          <w:rFonts w:ascii="Calibri"/>
          <w:spacing w:val="3"/>
          <w:position w:val="5"/>
          <w:sz w:val="10"/>
        </w:rPr>
        <w:t> </w:t>
      </w:r>
      <w:r>
        <w:rPr>
          <w:sz w:val="20"/>
        </w:rPr>
        <w:t>NGHPS</w:t>
      </w:r>
      <w:r>
        <w:rPr>
          <w:spacing w:val="-11"/>
          <w:sz w:val="20"/>
        </w:rPr>
        <w:t> </w:t>
      </w:r>
      <w:r>
        <w:rPr>
          <w:sz w:val="20"/>
        </w:rPr>
        <w:t>data</w:t>
      </w:r>
      <w:r>
        <w:rPr>
          <w:spacing w:val="-11"/>
          <w:sz w:val="20"/>
        </w:rPr>
        <w:t> </w:t>
      </w:r>
      <w:r>
        <w:rPr>
          <w:sz w:val="20"/>
        </w:rPr>
        <w:t>provide</w:t>
      </w:r>
      <w:r>
        <w:rPr>
          <w:spacing w:val="-10"/>
          <w:sz w:val="20"/>
        </w:rPr>
        <w:t> </w:t>
      </w:r>
      <w:r>
        <w:rPr>
          <w:sz w:val="20"/>
        </w:rPr>
        <w:t>detail</w:t>
      </w:r>
      <w:r>
        <w:rPr>
          <w:spacing w:val="-11"/>
          <w:sz w:val="20"/>
        </w:rPr>
        <w:t> </w:t>
      </w:r>
      <w:r>
        <w:rPr>
          <w:sz w:val="20"/>
        </w:rPr>
        <w:t>statistical</w:t>
      </w:r>
      <w:r>
        <w:rPr>
          <w:spacing w:val="-10"/>
          <w:sz w:val="20"/>
        </w:rPr>
        <w:t> </w:t>
      </w:r>
      <w:r>
        <w:rPr>
          <w:sz w:val="20"/>
        </w:rPr>
        <w:t>information</w:t>
      </w:r>
      <w:r>
        <w:rPr>
          <w:spacing w:val="-13"/>
          <w:sz w:val="20"/>
        </w:rPr>
        <w:t> </w:t>
      </w:r>
      <w:r>
        <w:rPr>
          <w:sz w:val="20"/>
        </w:rPr>
        <w:t>on</w:t>
      </w:r>
      <w:r>
        <w:rPr>
          <w:spacing w:val="-7"/>
          <w:sz w:val="20"/>
        </w:rPr>
        <w:t> </w:t>
      </w:r>
      <w:r>
        <w:rPr>
          <w:sz w:val="20"/>
        </w:rPr>
        <w:t>welfare</w:t>
      </w:r>
      <w:r>
        <w:rPr>
          <w:spacing w:val="-11"/>
          <w:sz w:val="20"/>
        </w:rPr>
        <w:t> </w:t>
      </w:r>
      <w:r>
        <w:rPr>
          <w:sz w:val="20"/>
        </w:rPr>
        <w:t>trends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households.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data</w:t>
      </w:r>
      <w:r>
        <w:rPr>
          <w:spacing w:val="-9"/>
          <w:sz w:val="20"/>
        </w:rPr>
        <w:t> </w:t>
      </w:r>
      <w:r>
        <w:rPr>
          <w:sz w:val="20"/>
        </w:rPr>
        <w:t>was</w:t>
      </w:r>
      <w:r>
        <w:rPr>
          <w:spacing w:val="-11"/>
          <w:sz w:val="20"/>
        </w:rPr>
        <w:t> </w:t>
      </w:r>
      <w:r>
        <w:rPr>
          <w:sz w:val="20"/>
        </w:rPr>
        <w:t>collected</w:t>
      </w:r>
      <w:r>
        <w:rPr>
          <w:spacing w:val="-10"/>
          <w:sz w:val="20"/>
        </w:rPr>
        <w:t> </w:t>
      </w:r>
      <w:r>
        <w:rPr>
          <w:sz w:val="20"/>
        </w:rPr>
        <w:t>in</w:t>
      </w:r>
      <w:r>
        <w:rPr>
          <w:spacing w:val="-12"/>
          <w:sz w:val="20"/>
        </w:rPr>
        <w:t> </w:t>
      </w:r>
      <w:r>
        <w:rPr>
          <w:sz w:val="20"/>
        </w:rPr>
        <w:t>4</w:t>
      </w:r>
      <w:r>
        <w:rPr>
          <w:spacing w:val="-7"/>
          <w:sz w:val="20"/>
        </w:rPr>
        <w:t> </w:t>
      </w:r>
      <w:r>
        <w:rPr>
          <w:sz w:val="20"/>
        </w:rPr>
        <w:t>waves</w:t>
      </w:r>
      <w:r>
        <w:rPr>
          <w:spacing w:val="-47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period of</w:t>
      </w:r>
      <w:r>
        <w:rPr>
          <w:spacing w:val="-3"/>
          <w:sz w:val="20"/>
        </w:rPr>
        <w:t> </w:t>
      </w:r>
      <w:r>
        <w:rPr>
          <w:sz w:val="20"/>
        </w:rPr>
        <w:t>6 months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each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detail</w:t>
      </w:r>
      <w:r>
        <w:rPr>
          <w:spacing w:val="-2"/>
          <w:sz w:val="20"/>
        </w:rPr>
        <w:t> </w:t>
      </w:r>
      <w:r>
        <w:rPr>
          <w:sz w:val="20"/>
        </w:rPr>
        <w:t>coverage,</w:t>
      </w:r>
      <w:r>
        <w:rPr>
          <w:spacing w:val="2"/>
          <w:sz w:val="20"/>
        </w:rPr>
        <w:t> </w:t>
      </w:r>
      <w:r>
        <w:rPr>
          <w:sz w:val="20"/>
        </w:rPr>
        <w:t>while</w:t>
      </w:r>
      <w:r>
        <w:rPr>
          <w:spacing w:val="1"/>
          <w:sz w:val="20"/>
        </w:rPr>
        <w:t> </w:t>
      </w:r>
      <w:r>
        <w:rPr>
          <w:sz w:val="20"/>
        </w:rPr>
        <w:t>each wave</w:t>
      </w:r>
      <w:r>
        <w:rPr>
          <w:spacing w:val="-1"/>
          <w:sz w:val="20"/>
        </w:rPr>
        <w:t> </w:t>
      </w:r>
      <w:r>
        <w:rPr>
          <w:sz w:val="20"/>
        </w:rPr>
        <w:t>consists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post-planting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post-harvest.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4"/>
        <w:jc w:val="both"/>
      </w:pPr>
      <w:r>
        <w:rPr>
          <w:spacing w:val="-1"/>
        </w:rPr>
        <w:t>Unlike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studies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Orji</w:t>
      </w:r>
      <w:r>
        <w:rPr>
          <w:spacing w:val="-11"/>
        </w:rPr>
        <w:t> </w:t>
      </w:r>
      <w:r>
        <w:rPr>
          <w:i/>
          <w:sz w:val="23"/>
        </w:rPr>
        <w:t>et</w:t>
      </w:r>
      <w:r>
        <w:rPr>
          <w:i/>
          <w:spacing w:val="-14"/>
          <w:sz w:val="23"/>
        </w:rPr>
        <w:t> </w:t>
      </w:r>
      <w:r>
        <w:rPr>
          <w:i/>
          <w:sz w:val="23"/>
        </w:rPr>
        <w:t>al.</w:t>
      </w:r>
      <w:r>
        <w:rPr>
          <w:i/>
          <w:spacing w:val="-11"/>
          <w:sz w:val="23"/>
        </w:rPr>
        <w:t> </w:t>
      </w:r>
      <w:r>
        <w:rPr/>
        <w:t>(2013),</w:t>
      </w:r>
      <w:r>
        <w:rPr>
          <w:spacing w:val="-16"/>
        </w:rPr>
        <w:t> </w:t>
      </w:r>
      <w:r>
        <w:rPr/>
        <w:t>Alawode</w:t>
      </w:r>
      <w:r>
        <w:rPr>
          <w:spacing w:val="-16"/>
        </w:rPr>
        <w:t> </w:t>
      </w:r>
      <w:r>
        <w:rPr/>
        <w:t>and</w:t>
      </w:r>
      <w:r>
        <w:rPr>
          <w:spacing w:val="-12"/>
        </w:rPr>
        <w:t> </w:t>
      </w:r>
      <w:r>
        <w:rPr/>
        <w:t>Lawal</w:t>
      </w:r>
      <w:r>
        <w:rPr>
          <w:spacing w:val="-14"/>
        </w:rPr>
        <w:t> </w:t>
      </w:r>
      <w:r>
        <w:rPr/>
        <w:t>(2014),</w:t>
      </w:r>
      <w:r>
        <w:rPr>
          <w:spacing w:val="-13"/>
        </w:rPr>
        <w:t> </w:t>
      </w:r>
      <w:r>
        <w:rPr/>
        <w:t>Karimo</w:t>
      </w:r>
      <w:r>
        <w:rPr>
          <w:spacing w:val="-13"/>
        </w:rPr>
        <w:t> </w:t>
      </w:r>
      <w:r>
        <w:rPr>
          <w:i/>
          <w:sz w:val="23"/>
        </w:rPr>
        <w:t>et</w:t>
      </w:r>
      <w:r>
        <w:rPr>
          <w:i/>
          <w:spacing w:val="-14"/>
          <w:sz w:val="23"/>
        </w:rPr>
        <w:t> </w:t>
      </w:r>
      <w:r>
        <w:rPr>
          <w:i/>
          <w:sz w:val="23"/>
        </w:rPr>
        <w:t>al.</w:t>
      </w:r>
      <w:r>
        <w:rPr>
          <w:i/>
          <w:spacing w:val="-11"/>
          <w:sz w:val="23"/>
        </w:rPr>
        <w:t> </w:t>
      </w:r>
      <w:r>
        <w:rPr/>
        <w:t>(2017)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Nigeria</w:t>
      </w:r>
      <w:r>
        <w:rPr>
          <w:spacing w:val="-58"/>
        </w:rPr>
        <w:t> </w:t>
      </w:r>
      <w:r>
        <w:rPr/>
        <w:t>that</w:t>
      </w:r>
      <w:r>
        <w:rPr>
          <w:spacing w:val="-9"/>
        </w:rPr>
        <w:t> </w:t>
      </w:r>
      <w:r>
        <w:rPr/>
        <w:t>relied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ordinary</w:t>
      </w:r>
      <w:r>
        <w:rPr>
          <w:spacing w:val="-13"/>
        </w:rPr>
        <w:t> </w:t>
      </w:r>
      <w:r>
        <w:rPr/>
        <w:t>logistic</w:t>
      </w:r>
      <w:r>
        <w:rPr>
          <w:spacing w:val="-8"/>
        </w:rPr>
        <w:t> </w:t>
      </w:r>
      <w:r>
        <w:rPr/>
        <w:t>model</w:t>
      </w:r>
      <w:r>
        <w:rPr>
          <w:spacing w:val="-6"/>
        </w:rPr>
        <w:t> </w:t>
      </w:r>
      <w:r>
        <w:rPr/>
        <w:t>but</w:t>
      </w:r>
      <w:r>
        <w:rPr>
          <w:spacing w:val="-8"/>
        </w:rPr>
        <w:t> </w:t>
      </w:r>
      <w:r>
        <w:rPr/>
        <w:t>failed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account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heterogeneity</w:t>
      </w:r>
      <w:r>
        <w:rPr>
          <w:spacing w:val="-8"/>
        </w:rPr>
        <w:t> </w:t>
      </w:r>
      <w:r>
        <w:rPr/>
        <w:t>issue.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12"/>
        </w:rPr>
        <w:t> </w:t>
      </w:r>
      <w:r>
        <w:rPr/>
        <w:t>used</w:t>
      </w:r>
      <w:r>
        <w:rPr>
          <w:spacing w:val="-58"/>
        </w:rPr>
        <w:t> </w:t>
      </w:r>
      <w:r>
        <w:rPr/>
        <w:t>Panel logistic (pooled OLS, FE, RE and Hausman test) and Multi-level techniques. These have</w:t>
      </w:r>
      <w:r>
        <w:rPr>
          <w:spacing w:val="1"/>
        </w:rPr>
        <w:t> </w:t>
      </w:r>
      <w:r>
        <w:rPr/>
        <w:t>several</w:t>
      </w:r>
      <w:r>
        <w:rPr>
          <w:spacing w:val="-3"/>
        </w:rPr>
        <w:t> </w:t>
      </w:r>
      <w:r>
        <w:rPr/>
        <w:t>advantages</w:t>
      </w:r>
      <w:r>
        <w:rPr>
          <w:spacing w:val="-6"/>
        </w:rPr>
        <w:t> </w:t>
      </w:r>
      <w:r>
        <w:rPr/>
        <w:t>over</w:t>
      </w:r>
      <w:r>
        <w:rPr>
          <w:spacing w:val="-5"/>
        </w:rPr>
        <w:t> </w:t>
      </w:r>
      <w:r>
        <w:rPr/>
        <w:t>ordinary</w:t>
      </w:r>
      <w:r>
        <w:rPr>
          <w:spacing w:val="-11"/>
        </w:rPr>
        <w:t> </w:t>
      </w:r>
      <w:r>
        <w:rPr/>
        <w:t>logit</w:t>
      </w:r>
      <w:r>
        <w:rPr>
          <w:spacing w:val="-6"/>
        </w:rPr>
        <w:t> </w:t>
      </w:r>
      <w:r>
        <w:rPr/>
        <w:t>regression</w:t>
      </w:r>
      <w:r>
        <w:rPr>
          <w:spacing w:val="-4"/>
        </w:rPr>
        <w:t> </w:t>
      </w:r>
      <w:r>
        <w:rPr/>
        <w:t>test.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instance,</w:t>
      </w:r>
      <w:r>
        <w:rPr>
          <w:spacing w:val="-6"/>
        </w:rPr>
        <w:t> </w:t>
      </w:r>
      <w:r>
        <w:rPr/>
        <w:t>changes</w:t>
      </w:r>
      <w:r>
        <w:rPr>
          <w:spacing w:val="-6"/>
        </w:rPr>
        <w:t> </w:t>
      </w:r>
      <w:r>
        <w:rPr/>
        <w:t>often</w:t>
      </w:r>
      <w:r>
        <w:rPr>
          <w:spacing w:val="-6"/>
        </w:rPr>
        <w:t> </w:t>
      </w:r>
      <w:r>
        <w:rPr/>
        <w:t>occur</w:t>
      </w:r>
      <w:r>
        <w:rPr>
          <w:spacing w:val="-7"/>
        </w:rPr>
        <w:t> </w:t>
      </w:r>
      <w:r>
        <w:rPr/>
        <w:t>over</w:t>
      </w:r>
      <w:r>
        <w:rPr>
          <w:spacing w:val="-6"/>
        </w:rPr>
        <w:t> </w:t>
      </w:r>
      <w:r>
        <w:rPr/>
        <w:t>time</w:t>
      </w:r>
      <w:r>
        <w:rPr>
          <w:spacing w:val="-58"/>
        </w:rPr>
        <w:t> </w:t>
      </w:r>
      <w:r>
        <w:rPr/>
        <w:t>among households within states and these </w:t>
      </w:r>
      <w:r>
        <w:rPr>
          <w:sz w:val="22"/>
        </w:rPr>
        <w:t>approaches </w:t>
      </w:r>
      <w:r>
        <w:rPr/>
        <w:t>are able to track these changes (Rozer and</w:t>
      </w:r>
      <w:r>
        <w:rPr>
          <w:spacing w:val="1"/>
        </w:rPr>
        <w:t> </w:t>
      </w:r>
      <w:r>
        <w:rPr/>
        <w:t>Volker, 2015). Secondly, they also control for unmeasured confounders such as health status</w:t>
      </w:r>
      <w:r>
        <w:rPr>
          <w:spacing w:val="1"/>
        </w:rPr>
        <w:t> </w:t>
      </w:r>
      <w:r>
        <w:rPr/>
        <w:t>difference (see Deaton, 2018:105-110). And lastly, it’s substitute for longitudinal cross-sectional</w:t>
      </w:r>
      <w:r>
        <w:rPr>
          <w:spacing w:val="1"/>
        </w:rPr>
        <w:t> </w:t>
      </w:r>
      <w:r>
        <w:rPr/>
        <w:t>data, which shift focus from macroeconomic to more detailed microeconomic data (Kragen and</w:t>
      </w:r>
      <w:r>
        <w:rPr>
          <w:spacing w:val="1"/>
        </w:rPr>
        <w:t> </w:t>
      </w:r>
      <w:r>
        <w:rPr/>
        <w:t>Rozer, 2017).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numPr>
          <w:ilvl w:val="1"/>
          <w:numId w:val="7"/>
        </w:numPr>
        <w:tabs>
          <w:tab w:pos="881" w:val="left" w:leader="none"/>
        </w:tabs>
        <w:spacing w:line="240" w:lineRule="auto" w:before="0" w:after="0"/>
        <w:ind w:left="880" w:right="0" w:hanging="721"/>
        <w:jc w:val="both"/>
      </w:pPr>
      <w:bookmarkStart w:name="_TOC_250066" w:id="11"/>
      <w:r>
        <w:rPr/>
        <w:t>Scope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Limitation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11"/>
      <w:r>
        <w:rPr/>
        <w:t>Study</w:t>
      </w:r>
    </w:p>
    <w:p>
      <w:pPr>
        <w:pStyle w:val="BodyText"/>
        <w:spacing w:line="360" w:lineRule="auto" w:before="132"/>
        <w:ind w:left="160" w:right="155"/>
        <w:jc w:val="both"/>
      </w:pPr>
      <w:r>
        <w:rPr/>
        <w:t>The study focused on the effect of income inequality on health outcome and HSB of households</w:t>
      </w:r>
      <w:r>
        <w:rPr>
          <w:spacing w:val="1"/>
        </w:rPr>
        <w:t> </w:t>
      </w:r>
      <w:r>
        <w:rPr>
          <w:spacing w:val="-1"/>
        </w:rPr>
        <w:t>across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36</w:t>
      </w:r>
      <w:r>
        <w:rPr>
          <w:spacing w:val="-10"/>
        </w:rPr>
        <w:t> </w:t>
      </w:r>
      <w:r>
        <w:rPr>
          <w:spacing w:val="-1"/>
        </w:rPr>
        <w:t>states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FCT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explored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only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direct</w:t>
      </w:r>
      <w:r>
        <w:rPr>
          <w:spacing w:val="-12"/>
        </w:rPr>
        <w:t> </w:t>
      </w:r>
      <w:r>
        <w:rPr/>
        <w:t>effect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rising</w:t>
      </w:r>
      <w:r>
        <w:rPr>
          <w:spacing w:val="-58"/>
        </w:rPr>
        <w:t> </w:t>
      </w:r>
      <w:r>
        <w:rPr/>
        <w:t>income</w:t>
      </w:r>
      <w:r>
        <w:rPr>
          <w:spacing w:val="-7"/>
        </w:rPr>
        <w:t> </w:t>
      </w:r>
      <w:r>
        <w:rPr/>
        <w:t>disparities,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indirect</w:t>
      </w:r>
      <w:r>
        <w:rPr>
          <w:spacing w:val="-6"/>
        </w:rPr>
        <w:t> </w:t>
      </w:r>
      <w:r>
        <w:rPr/>
        <w:t>mechanisms</w:t>
      </w:r>
      <w:r>
        <w:rPr>
          <w:spacing w:val="-6"/>
        </w:rPr>
        <w:t> </w:t>
      </w:r>
      <w:r>
        <w:rPr/>
        <w:t>pass-through</w:t>
      </w:r>
      <w:r>
        <w:rPr>
          <w:spacing w:val="-4"/>
        </w:rPr>
        <w:t> </w:t>
      </w:r>
      <w:r>
        <w:rPr/>
        <w:t>household</w:t>
      </w:r>
      <w:r>
        <w:rPr>
          <w:spacing w:val="-6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size</w:t>
      </w:r>
      <w:r>
        <w:rPr>
          <w:spacing w:val="-5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family,</w:t>
      </w:r>
      <w:r>
        <w:rPr>
          <w:spacing w:val="-7"/>
        </w:rPr>
        <w:t> </w:t>
      </w:r>
      <w:r>
        <w:rPr/>
        <w:t>food/diet,</w:t>
      </w:r>
      <w:r>
        <w:rPr>
          <w:spacing w:val="-5"/>
        </w:rPr>
        <w:t> </w:t>
      </w:r>
      <w:r>
        <w:rPr/>
        <w:t>water,</w:t>
      </w:r>
      <w:r>
        <w:rPr>
          <w:spacing w:val="-7"/>
        </w:rPr>
        <w:t> </w:t>
      </w:r>
      <w:r>
        <w:rPr/>
        <w:t>housing</w:t>
      </w:r>
      <w:r>
        <w:rPr>
          <w:spacing w:val="-9"/>
        </w:rPr>
        <w:t> </w:t>
      </w:r>
      <w:r>
        <w:rPr/>
        <w:t>conditions,</w:t>
      </w:r>
      <w:r>
        <w:rPr>
          <w:spacing w:val="-6"/>
        </w:rPr>
        <w:t> </w:t>
      </w:r>
      <w:r>
        <w:rPr/>
        <w:t>education,</w:t>
      </w:r>
      <w:r>
        <w:rPr>
          <w:spacing w:val="-7"/>
        </w:rPr>
        <w:t> </w:t>
      </w:r>
      <w:r>
        <w:rPr/>
        <w:t>people’s</w:t>
      </w:r>
      <w:r>
        <w:rPr>
          <w:spacing w:val="-7"/>
        </w:rPr>
        <w:t> </w:t>
      </w:r>
      <w:r>
        <w:rPr/>
        <w:t>lifestyle,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/>
        <w:t>demand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healthcare</w:t>
      </w:r>
      <w:r>
        <w:rPr>
          <w:spacing w:val="-2"/>
        </w:rPr>
        <w:t> </w:t>
      </w:r>
      <w:r>
        <w:rPr/>
        <w:t>services.</w:t>
      </w:r>
    </w:p>
    <w:p>
      <w:pPr>
        <w:pStyle w:val="BodyText"/>
        <w:spacing w:line="360" w:lineRule="auto" w:before="117"/>
        <w:ind w:left="160" w:right="154"/>
        <w:jc w:val="both"/>
      </w:pPr>
      <w:r>
        <w:rPr/>
        <w:t>The</w:t>
      </w:r>
      <w:r>
        <w:rPr>
          <w:spacing w:val="-6"/>
        </w:rPr>
        <w:t> </w:t>
      </w:r>
      <w:r>
        <w:rPr/>
        <w:t>units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analyses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10"/>
        </w:rPr>
        <w:t> </w:t>
      </w:r>
      <w:r>
        <w:rPr/>
        <w:t>were</w:t>
      </w:r>
      <w:r>
        <w:rPr>
          <w:spacing w:val="-4"/>
        </w:rPr>
        <w:t> </w:t>
      </w:r>
      <w:r>
        <w:rPr/>
        <w:t>households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states.</w:t>
      </w:r>
      <w:r>
        <w:rPr>
          <w:spacing w:val="1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dataset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</w:t>
      </w:r>
      <w:r>
        <w:rPr>
          <w:spacing w:val="-8"/>
        </w:rPr>
        <w:t> </w:t>
      </w:r>
      <w:r>
        <w:rPr/>
        <w:t>was</w:t>
      </w:r>
      <w:r>
        <w:rPr>
          <w:spacing w:val="-58"/>
        </w:rPr>
        <w:t> </w:t>
      </w:r>
      <w:r>
        <w:rPr>
          <w:spacing w:val="-1"/>
        </w:rPr>
        <w:t>secondary</w:t>
      </w:r>
      <w:r>
        <w:rPr>
          <w:spacing w:val="-17"/>
        </w:rPr>
        <w:t> </w:t>
      </w:r>
      <w:r>
        <w:rPr>
          <w:spacing w:val="-1"/>
        </w:rPr>
        <w:t>data</w:t>
      </w:r>
      <w:r>
        <w:rPr>
          <w:spacing w:val="-15"/>
        </w:rPr>
        <w:t> </w:t>
      </w:r>
      <w:r>
        <w:rPr>
          <w:sz w:val="22"/>
        </w:rPr>
        <w:t>from</w:t>
      </w:r>
      <w:r>
        <w:rPr>
          <w:spacing w:val="-11"/>
          <w:sz w:val="22"/>
        </w:rPr>
        <w:t> </w:t>
      </w:r>
      <w:r>
        <w:rPr/>
        <w:t>Wave</w:t>
      </w:r>
      <w:r>
        <w:rPr>
          <w:spacing w:val="-16"/>
        </w:rPr>
        <w:t> </w:t>
      </w:r>
      <w:r>
        <w:rPr/>
        <w:t>1,</w:t>
      </w:r>
      <w:r>
        <w:rPr>
          <w:spacing w:val="-15"/>
        </w:rPr>
        <w:t> </w:t>
      </w:r>
      <w:r>
        <w:rPr/>
        <w:t>2,</w:t>
      </w:r>
      <w:r>
        <w:rPr>
          <w:spacing w:val="-14"/>
        </w:rPr>
        <w:t> </w:t>
      </w:r>
      <w:r>
        <w:rPr/>
        <w:t>3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4</w:t>
      </w:r>
      <w:r>
        <w:rPr>
          <w:spacing w:val="-11"/>
        </w:rPr>
        <w:t> </w:t>
      </w:r>
      <w:r>
        <w:rPr/>
        <w:t>of</w:t>
      </w:r>
      <w:r>
        <w:rPr>
          <w:spacing w:val="-16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/>
        <w:t>Nigerian</w:t>
      </w:r>
      <w:r>
        <w:rPr>
          <w:spacing w:val="-15"/>
        </w:rPr>
        <w:t> </w:t>
      </w:r>
      <w:r>
        <w:rPr/>
        <w:t>General</w:t>
      </w:r>
      <w:r>
        <w:rPr>
          <w:spacing w:val="-14"/>
        </w:rPr>
        <w:t> </w:t>
      </w:r>
      <w:r>
        <w:rPr>
          <w:sz w:val="22"/>
        </w:rPr>
        <w:t>Households</w:t>
      </w:r>
      <w:r>
        <w:rPr>
          <w:spacing w:val="-9"/>
          <w:sz w:val="22"/>
        </w:rPr>
        <w:t> </w:t>
      </w:r>
      <w:r>
        <w:rPr/>
        <w:t>Panel</w:t>
      </w:r>
      <w:r>
        <w:rPr>
          <w:spacing w:val="-14"/>
        </w:rPr>
        <w:t> </w:t>
      </w:r>
      <w:r>
        <w:rPr/>
        <w:t>Survey</w:t>
      </w:r>
      <w:r>
        <w:rPr>
          <w:vertAlign w:val="superscript"/>
        </w:rPr>
        <w:t>3</w:t>
      </w:r>
      <w:r>
        <w:rPr>
          <w:spacing w:val="-14"/>
          <w:vertAlign w:val="baseline"/>
        </w:rPr>
        <w:t> </w:t>
      </w:r>
      <w:r>
        <w:rPr>
          <w:sz w:val="22"/>
          <w:vertAlign w:val="baseline"/>
        </w:rPr>
        <w:t>(NGHPS).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T</w:t>
      </w:r>
      <w:r>
        <w:rPr>
          <w:vertAlign w:val="baseline"/>
        </w:rPr>
        <w:t>hese</w:t>
      </w:r>
      <w:r>
        <w:rPr>
          <w:spacing w:val="-5"/>
          <w:vertAlign w:val="baseline"/>
        </w:rPr>
        <w:t> </w:t>
      </w:r>
      <w:r>
        <w:rPr>
          <w:vertAlign w:val="baseline"/>
        </w:rPr>
        <w:t>datasets</w:t>
      </w:r>
      <w:r>
        <w:rPr>
          <w:spacing w:val="-2"/>
          <w:vertAlign w:val="baseline"/>
        </w:rPr>
        <w:t> </w:t>
      </w:r>
      <w:r>
        <w:rPr>
          <w:vertAlign w:val="baseline"/>
        </w:rPr>
        <w:t>were</w:t>
      </w:r>
      <w:r>
        <w:rPr>
          <w:spacing w:val="-5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-3"/>
          <w:vertAlign w:val="baseline"/>
        </w:rPr>
        <w:t> </w:t>
      </w:r>
      <w:r>
        <w:rPr>
          <w:vertAlign w:val="baseline"/>
        </w:rPr>
        <w:t>by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-2"/>
          <w:vertAlign w:val="baseline"/>
        </w:rPr>
        <w:t> </w:t>
      </w:r>
      <w:r>
        <w:rPr>
          <w:vertAlign w:val="baseline"/>
        </w:rPr>
        <w:t>Bureau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Statistics</w:t>
      </w:r>
      <w:r>
        <w:rPr>
          <w:spacing w:val="-3"/>
          <w:vertAlign w:val="baseline"/>
        </w:rPr>
        <w:t> </w:t>
      </w:r>
      <w:r>
        <w:rPr>
          <w:vertAlign w:val="baseline"/>
        </w:rPr>
        <w:t>(NBS)</w:t>
      </w:r>
      <w:r>
        <w:rPr>
          <w:spacing w:val="-5"/>
          <w:vertAlign w:val="baseline"/>
        </w:rPr>
        <w:t> </w:t>
      </w:r>
      <w:r>
        <w:rPr>
          <w:vertAlign w:val="baseline"/>
        </w:rPr>
        <w:t>in 2010,</w:t>
      </w:r>
      <w:r>
        <w:rPr>
          <w:spacing w:val="-4"/>
          <w:vertAlign w:val="baseline"/>
        </w:rPr>
        <w:t> </w:t>
      </w:r>
      <w:r>
        <w:rPr>
          <w:vertAlign w:val="baseline"/>
        </w:rPr>
        <w:t>2013,</w:t>
      </w:r>
      <w:r>
        <w:rPr>
          <w:spacing w:val="-3"/>
          <w:vertAlign w:val="baseline"/>
        </w:rPr>
        <w:t> </w:t>
      </w:r>
      <w:r>
        <w:rPr>
          <w:vertAlign w:val="baseline"/>
        </w:rPr>
        <w:t>2016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58"/>
          <w:vertAlign w:val="baseline"/>
        </w:rPr>
        <w:t> </w:t>
      </w:r>
      <w:r>
        <w:rPr>
          <w:vertAlign w:val="baseline"/>
        </w:rPr>
        <w:t>2019,</w:t>
      </w:r>
      <w:r>
        <w:rPr>
          <w:spacing w:val="-2"/>
          <w:vertAlign w:val="baseline"/>
        </w:rPr>
        <w:t> </w:t>
      </w:r>
      <w:r>
        <w:rPr>
          <w:vertAlign w:val="baseline"/>
        </w:rPr>
        <w:t>respectively. Thus,</w:t>
      </w:r>
      <w:r>
        <w:rPr>
          <w:spacing w:val="2"/>
          <w:vertAlign w:val="baseline"/>
        </w:rPr>
        <w:t> </w:t>
      </w:r>
      <w:r>
        <w:rPr>
          <w:vertAlign w:val="baseline"/>
        </w:rPr>
        <w:t>the scope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from 2010 to 2019.</w:t>
      </w:r>
    </w:p>
    <w:p>
      <w:pPr>
        <w:pStyle w:val="BodyText"/>
        <w:spacing w:line="360" w:lineRule="auto" w:before="116"/>
        <w:ind w:left="160" w:right="156"/>
        <w:jc w:val="both"/>
      </w:pPr>
      <w:r>
        <w:rPr/>
        <w:t>An important limitation of the study draws from the fact that self-reported incomes from various</w:t>
      </w:r>
      <w:r>
        <w:rPr>
          <w:spacing w:val="1"/>
        </w:rPr>
        <w:t> </w:t>
      </w:r>
      <w:r>
        <w:rPr/>
        <w:t>sources</w:t>
      </w:r>
      <w:r>
        <w:rPr>
          <w:spacing w:val="-7"/>
        </w:rPr>
        <w:t> </w:t>
      </w:r>
      <w:r>
        <w:rPr/>
        <w:t>(wages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salaries,</w:t>
      </w:r>
      <w:r>
        <w:rPr>
          <w:spacing w:val="-7"/>
        </w:rPr>
        <w:t> </w:t>
      </w:r>
      <w:r>
        <w:rPr/>
        <w:t>business</w:t>
      </w:r>
      <w:r>
        <w:rPr>
          <w:spacing w:val="-7"/>
        </w:rPr>
        <w:t> </w:t>
      </w:r>
      <w:r>
        <w:rPr/>
        <w:t>enterprise/trading,</w:t>
      </w:r>
      <w:r>
        <w:rPr>
          <w:spacing w:val="-7"/>
        </w:rPr>
        <w:t> </w:t>
      </w:r>
      <w:r>
        <w:rPr/>
        <w:t>farming/livestock,</w:t>
      </w:r>
      <w:r>
        <w:rPr>
          <w:spacing w:val="-5"/>
        </w:rPr>
        <w:t> </w:t>
      </w:r>
      <w:r>
        <w:rPr/>
        <w:t>remittances,</w:t>
      </w:r>
      <w:r>
        <w:rPr>
          <w:spacing w:val="-7"/>
        </w:rPr>
        <w:t> </w:t>
      </w:r>
      <w:r>
        <w:rPr/>
        <w:t>monetary</w:t>
      </w:r>
      <w:r>
        <w:rPr>
          <w:spacing w:val="-58"/>
        </w:rPr>
        <w:t> </w:t>
      </w:r>
      <w:r>
        <w:rPr/>
        <w:t>transfers, pensions, dividends from investment, and properties owned) might be lower or higher</w:t>
      </w:r>
      <w:r>
        <w:rPr>
          <w:spacing w:val="1"/>
        </w:rPr>
        <w:t> </w:t>
      </w:r>
      <w:r>
        <w:rPr/>
        <w:t>than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actual</w:t>
      </w:r>
      <w:r>
        <w:rPr>
          <w:spacing w:val="-11"/>
        </w:rPr>
        <w:t> </w:t>
      </w:r>
      <w:r>
        <w:rPr/>
        <w:t>incomes.</w:t>
      </w:r>
      <w:r>
        <w:rPr>
          <w:spacing w:val="-7"/>
        </w:rPr>
        <w:t> </w:t>
      </w:r>
      <w:r>
        <w:rPr/>
        <w:t>This</w:t>
      </w:r>
      <w:r>
        <w:rPr>
          <w:spacing w:val="-10"/>
        </w:rPr>
        <w:t> </w:t>
      </w:r>
      <w:r>
        <w:rPr/>
        <w:t>could</w:t>
      </w:r>
      <w:r>
        <w:rPr>
          <w:spacing w:val="-10"/>
        </w:rPr>
        <w:t> </w:t>
      </w:r>
      <w:r>
        <w:rPr/>
        <w:t>influence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level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magnitude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income</w:t>
      </w:r>
      <w:r>
        <w:rPr>
          <w:spacing w:val="-12"/>
        </w:rPr>
        <w:t> </w:t>
      </w:r>
      <w:r>
        <w:rPr/>
        <w:t>disparities</w:t>
      </w:r>
      <w:r>
        <w:rPr>
          <w:spacing w:val="-10"/>
        </w:rPr>
        <w:t> </w:t>
      </w:r>
      <w:r>
        <w:rPr/>
        <w:t>among</w:t>
      </w:r>
      <w:r>
        <w:rPr>
          <w:spacing w:val="-58"/>
        </w:rPr>
        <w:t> </w:t>
      </w:r>
      <w:r>
        <w:rPr/>
        <w:t>households.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pose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perception of health outcomes and orthodox healthcare-seeking. These issues are important but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10"/>
        </w:rPr>
        <w:t> </w:t>
      </w:r>
      <w:r>
        <w:rPr>
          <w:spacing w:val="-1"/>
        </w:rPr>
        <w:t>captured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panel</w:t>
      </w:r>
      <w:r>
        <w:rPr>
          <w:spacing w:val="-10"/>
        </w:rPr>
        <w:t> </w:t>
      </w:r>
      <w:r>
        <w:rPr/>
        <w:t>survey</w:t>
      </w:r>
      <w:r>
        <w:rPr>
          <w:spacing w:val="-17"/>
        </w:rPr>
        <w:t> </w:t>
      </w:r>
      <w:r>
        <w:rPr/>
        <w:t>data</w:t>
      </w:r>
      <w:r>
        <w:rPr>
          <w:spacing w:val="-8"/>
        </w:rPr>
        <w:t> </w:t>
      </w:r>
      <w:r>
        <w:rPr/>
        <w:t>but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serve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basis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/>
        <w:t>further</w:t>
      </w:r>
      <w:r>
        <w:rPr>
          <w:spacing w:val="-11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as</w:t>
      </w:r>
      <w:r>
        <w:rPr>
          <w:spacing w:val="-10"/>
        </w:rPr>
        <w:t> </w:t>
      </w:r>
      <w:r>
        <w:rPr/>
        <w:t>data</w:t>
      </w:r>
      <w:r>
        <w:rPr>
          <w:spacing w:val="-11"/>
        </w:rPr>
        <w:t> </w:t>
      </w:r>
      <w:r>
        <w:rPr/>
        <w:t>becomes</w:t>
      </w:r>
      <w:r>
        <w:rPr>
          <w:spacing w:val="-57"/>
        </w:rPr>
        <w:t> </w:t>
      </w:r>
      <w:r>
        <w:rPr/>
        <w:t>more</w:t>
      </w:r>
      <w:r>
        <w:rPr>
          <w:spacing w:val="57"/>
        </w:rPr>
        <w:t> </w:t>
      </w:r>
      <w:r>
        <w:rPr/>
        <w:t>available.</w:t>
      </w:r>
      <w:r>
        <w:rPr>
          <w:spacing w:val="2"/>
        </w:rPr>
        <w:t> </w:t>
      </w:r>
      <w:r>
        <w:rPr/>
        <w:t>Notwithstanding,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NGHPS</w:t>
      </w:r>
      <w:r>
        <w:rPr>
          <w:spacing w:val="1"/>
        </w:rPr>
        <w:t> </w:t>
      </w:r>
      <w:r>
        <w:rPr/>
        <w:t>remains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most</w:t>
      </w:r>
      <w:r>
        <w:rPr>
          <w:spacing w:val="59"/>
        </w:rPr>
        <w:t> </w:t>
      </w:r>
      <w:r>
        <w:rPr/>
        <w:t>recent</w:t>
      </w:r>
      <w:r>
        <w:rPr>
          <w:spacing w:val="2"/>
        </w:rPr>
        <w:t> </w:t>
      </w:r>
      <w:r>
        <w:rPr/>
        <w:t>and</w:t>
      </w:r>
      <w:r>
        <w:rPr>
          <w:spacing w:val="58"/>
        </w:rPr>
        <w:t> </w:t>
      </w:r>
      <w:r>
        <w:rPr/>
        <w:t>valid</w:t>
      </w:r>
      <w:r>
        <w:rPr>
          <w:spacing w:val="58"/>
        </w:rPr>
        <w:t> </w:t>
      </w:r>
      <w:r>
        <w:rPr/>
        <w:t>source</w:t>
      </w:r>
      <w:r>
        <w:rPr>
          <w:spacing w:val="58"/>
        </w:rPr>
        <w:t> </w:t>
      </w:r>
      <w:r>
        <w:rPr/>
        <w:t>of</w:t>
      </w:r>
    </w:p>
    <w:p>
      <w:pPr>
        <w:pStyle w:val="BodyText"/>
        <w:spacing w:before="11"/>
        <w:rPr>
          <w:sz w:val="25"/>
        </w:rPr>
      </w:pPr>
      <w:r>
        <w:rPr/>
        <w:pict>
          <v:rect style="position:absolute;margin-left:72.024002pt;margin-top:16.878603pt;width:144.020pt;height:.72003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With the technical support from the World Bank, the Wave 1 data was published in March, 2012. Wave 2, 3 and 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were similarly published in October, 2016, and July, 2017, and December, 2019, respectively. The NGHPS emerged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micro-level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analysis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World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Bank’s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Living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Standards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Measurement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Study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(LSMS)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1990s.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8"/>
        <w:jc w:val="both"/>
      </w:pPr>
      <w:r>
        <w:rPr/>
        <w:t>secondary</w:t>
      </w:r>
      <w:r>
        <w:rPr>
          <w:spacing w:val="-11"/>
        </w:rPr>
        <w:t> </w:t>
      </w:r>
      <w:r>
        <w:rPr/>
        <w:t>data</w:t>
      </w:r>
      <w:r>
        <w:rPr>
          <w:spacing w:val="-5"/>
        </w:rPr>
        <w:t> </w:t>
      </w:r>
      <w:r>
        <w:rPr/>
        <w:t>required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carried</w:t>
      </w:r>
      <w:r>
        <w:rPr>
          <w:spacing w:val="-9"/>
        </w:rPr>
        <w:t> </w:t>
      </w:r>
      <w:r>
        <w:rPr/>
        <w:t>out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thesis.</w:t>
      </w:r>
      <w:r>
        <w:rPr>
          <w:spacing w:val="-9"/>
        </w:rPr>
        <w:t> </w:t>
      </w:r>
      <w:r>
        <w:rPr/>
        <w:t>Furthermore,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provides</w:t>
      </w:r>
      <w:r>
        <w:rPr>
          <w:spacing w:val="-8"/>
        </w:rPr>
        <w:t> </w:t>
      </w:r>
      <w:r>
        <w:rPr/>
        <w:t>detailed</w:t>
      </w:r>
      <w:r>
        <w:rPr>
          <w:spacing w:val="-57"/>
        </w:rPr>
        <w:t> </w:t>
      </w:r>
      <w:r>
        <w:rPr/>
        <w:t>information on households and has a wide coverage across the six geo-political zones, and 36</w:t>
      </w:r>
      <w:r>
        <w:rPr>
          <w:spacing w:val="1"/>
        </w:rPr>
        <w:t> </w:t>
      </w:r>
      <w:r>
        <w:rPr/>
        <w:t>states</w:t>
      </w:r>
      <w:r>
        <w:rPr>
          <w:spacing w:val="-1"/>
        </w:rPr>
        <w:t> </w:t>
      </w:r>
      <w:r>
        <w:rPr/>
        <w:t>(including FCT).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1"/>
          <w:numId w:val="7"/>
        </w:numPr>
        <w:tabs>
          <w:tab w:pos="881" w:val="left" w:leader="none"/>
        </w:tabs>
        <w:spacing w:line="240" w:lineRule="auto" w:before="0" w:after="0"/>
        <w:ind w:left="880" w:right="0" w:hanging="721"/>
        <w:jc w:val="both"/>
      </w:pPr>
      <w:bookmarkStart w:name="_TOC_250065" w:id="12"/>
      <w:r>
        <w:rPr/>
        <w:t>Organizations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spacing w:line="360" w:lineRule="auto" w:before="132"/>
        <w:ind w:left="160" w:right="159"/>
        <w:jc w:val="both"/>
      </w:pPr>
      <w:r>
        <w:rPr/>
        <w:t>The study is organized into six chapters. Following the introductory Chapter one, two focused on</w:t>
      </w:r>
      <w:r>
        <w:rPr>
          <w:spacing w:val="-57"/>
        </w:rPr>
        <w:t> </w:t>
      </w:r>
      <w:r>
        <w:rPr/>
        <w:t>stylized</w:t>
      </w:r>
      <w:r>
        <w:rPr>
          <w:spacing w:val="-7"/>
        </w:rPr>
        <w:t> </w:t>
      </w:r>
      <w:r>
        <w:rPr/>
        <w:t>facts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income</w:t>
      </w:r>
      <w:r>
        <w:rPr>
          <w:spacing w:val="-6"/>
        </w:rPr>
        <w:t> </w:t>
      </w:r>
      <w:r>
        <w:rPr/>
        <w:t>disparity,</w:t>
      </w:r>
      <w:r>
        <w:rPr>
          <w:spacing w:val="-8"/>
        </w:rPr>
        <w:t> </w:t>
      </w:r>
      <w:r>
        <w:rPr/>
        <w:t>health</w:t>
      </w:r>
      <w:r>
        <w:rPr>
          <w:spacing w:val="-9"/>
        </w:rPr>
        <w:t> </w:t>
      </w:r>
      <w:r>
        <w:rPr/>
        <w:t>outcome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HSB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Nigeria.</w:t>
      </w:r>
      <w:r>
        <w:rPr>
          <w:spacing w:val="-9"/>
        </w:rPr>
        <w:t> </w:t>
      </w:r>
      <w:r>
        <w:rPr/>
        <w:t>Detailed</w:t>
      </w:r>
      <w:r>
        <w:rPr>
          <w:spacing w:val="-9"/>
        </w:rPr>
        <w:t> </w:t>
      </w:r>
      <w:r>
        <w:rPr/>
        <w:t>literature</w:t>
      </w:r>
      <w:r>
        <w:rPr>
          <w:spacing w:val="-10"/>
        </w:rPr>
        <w:t> </w:t>
      </w:r>
      <w:r>
        <w:rPr/>
        <w:t>reviews</w:t>
      </w:r>
      <w:r>
        <w:rPr>
          <w:spacing w:val="-58"/>
        </w:rPr>
        <w:t> </w:t>
      </w:r>
      <w:r>
        <w:rPr/>
        <w:t>was presented in chapter three. Chapter four dwells on theoretical framework, methodology, data</w:t>
      </w:r>
      <w:r>
        <w:rPr>
          <w:spacing w:val="-57"/>
        </w:rPr>
        <w:t> </w:t>
      </w:r>
      <w:r>
        <w:rPr/>
        <w:t>and</w:t>
      </w:r>
      <w:r>
        <w:rPr>
          <w:spacing w:val="-6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descriptions.</w:t>
      </w:r>
      <w:r>
        <w:rPr>
          <w:spacing w:val="-6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chapter</w:t>
      </w:r>
      <w:r>
        <w:rPr>
          <w:spacing w:val="-4"/>
        </w:rPr>
        <w:t> </w:t>
      </w:r>
      <w:r>
        <w:rPr/>
        <w:t>five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dedicated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detail</w:t>
      </w:r>
      <w:r>
        <w:rPr>
          <w:spacing w:val="-4"/>
        </w:rPr>
        <w:t> </w:t>
      </w:r>
      <w:r>
        <w:rPr/>
        <w:t>discussions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results. This</w:t>
      </w:r>
      <w:r>
        <w:rPr>
          <w:spacing w:val="-1"/>
        </w:rPr>
        <w:t> </w:t>
      </w:r>
      <w:r>
        <w:rPr/>
        <w:t>was followed by</w:t>
      </w:r>
      <w:r>
        <w:rPr>
          <w:spacing w:val="-6"/>
        </w:rPr>
        <w:t> </w:t>
      </w:r>
      <w:r>
        <w:rPr/>
        <w:t>summary, conclusion, and</w:t>
      </w:r>
      <w:r>
        <w:rPr>
          <w:spacing w:val="-1"/>
        </w:rPr>
        <w:t> </w:t>
      </w:r>
      <w:r>
        <w:rPr/>
        <w:t>recommendations in</w:t>
      </w:r>
      <w:r>
        <w:rPr>
          <w:spacing w:val="5"/>
        </w:rPr>
        <w:t> </w:t>
      </w:r>
      <w:r>
        <w:rPr/>
        <w:t>chapter</w:t>
      </w:r>
      <w:r>
        <w:rPr>
          <w:spacing w:val="-3"/>
        </w:rPr>
        <w:t> </w:t>
      </w:r>
      <w:r>
        <w:rPr/>
        <w:t>six.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Heading1"/>
        <w:spacing w:before="175"/>
      </w:pPr>
      <w:bookmarkStart w:name="_TOC_250064" w:id="13"/>
      <w:r>
        <w:rPr/>
        <w:t>CHAPTER</w:t>
      </w:r>
      <w:r>
        <w:rPr>
          <w:spacing w:val="-3"/>
        </w:rPr>
        <w:t> </w:t>
      </w:r>
      <w:bookmarkEnd w:id="13"/>
      <w:r>
        <w:rPr/>
        <w:t>TWO</w:t>
      </w:r>
    </w:p>
    <w:p>
      <w:pPr>
        <w:spacing w:line="259" w:lineRule="auto" w:before="267"/>
        <w:ind w:left="151" w:right="148" w:firstLine="0"/>
        <w:jc w:val="center"/>
        <w:rPr>
          <w:b/>
          <w:sz w:val="28"/>
        </w:rPr>
      </w:pPr>
      <w:r>
        <w:rPr>
          <w:b/>
          <w:sz w:val="28"/>
        </w:rPr>
        <w:t>STYLIZED FACTS ON INCOME INEQUALITY, HEALTH OUTCOMES,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HEALTH-SEEKING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BEHAVIOUR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NIGERIA</w:t>
      </w:r>
    </w:p>
    <w:p>
      <w:pPr>
        <w:pStyle w:val="Heading4"/>
        <w:numPr>
          <w:ilvl w:val="1"/>
          <w:numId w:val="8"/>
        </w:numPr>
        <w:tabs>
          <w:tab w:pos="881" w:val="left" w:leader="none"/>
        </w:tabs>
        <w:spacing w:line="240" w:lineRule="auto" w:before="213" w:after="0"/>
        <w:ind w:left="880" w:right="0" w:hanging="721"/>
        <w:jc w:val="both"/>
      </w:pPr>
      <w:bookmarkStart w:name="_TOC_250063" w:id="14"/>
      <w:bookmarkEnd w:id="14"/>
      <w:r>
        <w:rPr/>
        <w:t>Introduction</w:t>
      </w:r>
    </w:p>
    <w:p>
      <w:pPr>
        <w:pStyle w:val="BodyText"/>
        <w:spacing w:line="360" w:lineRule="auto" w:before="134"/>
        <w:ind w:left="160" w:right="159"/>
        <w:jc w:val="both"/>
      </w:pPr>
      <w:r>
        <w:rPr/>
        <w:t>Evidence-based health and welfare policies towards achieving SDG 3 and 10 require background</w:t>
      </w:r>
      <w:r>
        <w:rPr>
          <w:spacing w:val="-57"/>
        </w:rPr>
        <w:t> </w:t>
      </w:r>
      <w:r>
        <w:rPr/>
        <w:t>information on income gaps and health indices. Therefore, this chapter proceeds with examining</w:t>
      </w:r>
      <w:r>
        <w:rPr>
          <w:spacing w:val="1"/>
        </w:rPr>
        <w:t> </w:t>
      </w:r>
      <w:r>
        <w:rPr/>
        <w:t>the trends of income inequality, health outcomes and health-seeking behaviour issues in Nigeria</w:t>
      </w:r>
      <w:r>
        <w:rPr>
          <w:spacing w:val="1"/>
        </w:rPr>
        <w:t> </w:t>
      </w:r>
      <w:r>
        <w:rPr>
          <w:i/>
        </w:rPr>
        <w:t>vis-à-vis</w:t>
      </w:r>
      <w:r>
        <w:rPr>
          <w:i/>
          <w:spacing w:val="-1"/>
        </w:rPr>
        <w:t> </w:t>
      </w:r>
      <w:r>
        <w:rPr/>
        <w:t>other countries.</w:t>
      </w:r>
    </w:p>
    <w:p>
      <w:pPr>
        <w:pStyle w:val="Heading4"/>
        <w:numPr>
          <w:ilvl w:val="1"/>
          <w:numId w:val="8"/>
        </w:numPr>
        <w:tabs>
          <w:tab w:pos="881" w:val="left" w:leader="none"/>
        </w:tabs>
        <w:spacing w:line="240" w:lineRule="auto" w:before="212" w:after="0"/>
        <w:ind w:left="880" w:right="0" w:hanging="721"/>
        <w:jc w:val="both"/>
      </w:pPr>
      <w:bookmarkStart w:name="_TOC_250062" w:id="15"/>
      <w:r>
        <w:rPr/>
        <w:t>Stylized</w:t>
      </w:r>
      <w:r>
        <w:rPr>
          <w:spacing w:val="-2"/>
        </w:rPr>
        <w:t> </w:t>
      </w:r>
      <w:r>
        <w:rPr/>
        <w:t>Facts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Income</w:t>
      </w:r>
      <w:r>
        <w:rPr>
          <w:spacing w:val="-3"/>
        </w:rPr>
        <w:t> </w:t>
      </w:r>
      <w:r>
        <w:rPr/>
        <w:t>Inequality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15"/>
      <w:r>
        <w:rPr/>
        <w:t>Nigeria</w:t>
      </w:r>
    </w:p>
    <w:p>
      <w:pPr>
        <w:pStyle w:val="ListParagraph"/>
        <w:numPr>
          <w:ilvl w:val="2"/>
          <w:numId w:val="8"/>
        </w:numPr>
        <w:tabs>
          <w:tab w:pos="881" w:val="left" w:leader="none"/>
        </w:tabs>
        <w:spacing w:line="240" w:lineRule="auto" w:before="134" w:after="0"/>
        <w:ind w:left="880" w:right="0" w:hanging="721"/>
        <w:jc w:val="both"/>
        <w:rPr>
          <w:i/>
          <w:sz w:val="24"/>
        </w:rPr>
      </w:pPr>
      <w:r>
        <w:rPr>
          <w:i/>
          <w:sz w:val="24"/>
        </w:rPr>
        <w:t>Trends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Income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Disparity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</w:p>
    <w:p>
      <w:pPr>
        <w:pStyle w:val="BodyText"/>
        <w:spacing w:line="360" w:lineRule="auto" w:before="137"/>
        <w:ind w:left="160" w:right="154"/>
        <w:jc w:val="both"/>
      </w:pPr>
      <w:r>
        <w:rPr/>
        <w:t>Despite Nigeria’s remarkable economic growth over the last four decades, albeit the slowdown</w:t>
      </w:r>
      <w:r>
        <w:rPr>
          <w:spacing w:val="1"/>
        </w:rPr>
        <w:t> </w:t>
      </w:r>
      <w:r>
        <w:rPr/>
        <w:t>recorded in 2007/2008 due to global financial crises, and the economic recession from the third</w:t>
      </w:r>
      <w:r>
        <w:rPr>
          <w:spacing w:val="1"/>
        </w:rPr>
        <w:t> </w:t>
      </w:r>
      <w:r>
        <w:rPr/>
        <w:t>quarter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2015</w:t>
      </w:r>
      <w:r>
        <w:rPr>
          <w:spacing w:val="-8"/>
        </w:rPr>
        <w:t> </w:t>
      </w:r>
      <w:r>
        <w:rPr/>
        <w:t>through</w:t>
      </w:r>
      <w:r>
        <w:rPr>
          <w:spacing w:val="-7"/>
        </w:rPr>
        <w:t> </w:t>
      </w:r>
      <w:r>
        <w:rPr/>
        <w:t>quarter</w:t>
      </w:r>
      <w:r>
        <w:rPr>
          <w:spacing w:val="-8"/>
        </w:rPr>
        <w:t> </w:t>
      </w:r>
      <w:r>
        <w:rPr/>
        <w:t>two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2016,</w:t>
      </w:r>
      <w:r>
        <w:rPr>
          <w:spacing w:val="-7"/>
        </w:rPr>
        <w:t> </w:t>
      </w:r>
      <w:r>
        <w:rPr/>
        <w:t>income</w:t>
      </w:r>
      <w:r>
        <w:rPr>
          <w:spacing w:val="-8"/>
        </w:rPr>
        <w:t> </w:t>
      </w:r>
      <w:r>
        <w:rPr/>
        <w:t>inequality</w:t>
      </w:r>
      <w:r>
        <w:rPr>
          <w:spacing w:val="-11"/>
        </w:rPr>
        <w:t> </w:t>
      </w:r>
      <w:r>
        <w:rPr/>
        <w:t>remains</w:t>
      </w:r>
      <w:r>
        <w:rPr>
          <w:spacing w:val="-7"/>
        </w:rPr>
        <w:t> </w:t>
      </w:r>
      <w:r>
        <w:rPr/>
        <w:t>high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Nigeria</w:t>
      </w:r>
      <w:r>
        <w:rPr>
          <w:spacing w:val="-8"/>
        </w:rPr>
        <w:t> </w:t>
      </w:r>
      <w:r>
        <w:rPr/>
        <w:t>(see</w:t>
      </w:r>
      <w:r>
        <w:rPr>
          <w:spacing w:val="-9"/>
        </w:rPr>
        <w:t> </w:t>
      </w:r>
      <w:r>
        <w:rPr/>
        <w:t>NBS,</w:t>
      </w:r>
      <w:r>
        <w:rPr>
          <w:spacing w:val="-58"/>
        </w:rPr>
        <w:t> </w:t>
      </w:r>
      <w:r>
        <w:rPr>
          <w:spacing w:val="-1"/>
        </w:rPr>
        <w:t>2016;</w:t>
      </w:r>
      <w:r>
        <w:rPr>
          <w:spacing w:val="-14"/>
        </w:rPr>
        <w:t> </w:t>
      </w:r>
      <w:r>
        <w:rPr>
          <w:spacing w:val="-1"/>
        </w:rPr>
        <w:t>Standardized</w:t>
      </w:r>
      <w:r>
        <w:rPr>
          <w:spacing w:val="-15"/>
        </w:rPr>
        <w:t> </w:t>
      </w:r>
      <w:r>
        <w:rPr>
          <w:spacing w:val="-1"/>
        </w:rPr>
        <w:t>World</w:t>
      </w:r>
      <w:r>
        <w:rPr>
          <w:spacing w:val="-11"/>
        </w:rPr>
        <w:t> </w:t>
      </w:r>
      <w:r>
        <w:rPr>
          <w:spacing w:val="-1"/>
        </w:rPr>
        <w:t>Income</w:t>
      </w:r>
      <w:r>
        <w:rPr>
          <w:spacing w:val="-12"/>
        </w:rPr>
        <w:t> </w:t>
      </w:r>
      <w:r>
        <w:rPr/>
        <w:t>Inequality</w:t>
      </w:r>
      <w:r>
        <w:rPr>
          <w:spacing w:val="-20"/>
        </w:rPr>
        <w:t> </w:t>
      </w:r>
      <w:r>
        <w:rPr/>
        <w:t>Database,</w:t>
      </w:r>
      <w:r>
        <w:rPr>
          <w:spacing w:val="-13"/>
        </w:rPr>
        <w:t> </w:t>
      </w:r>
      <w:r>
        <w:rPr/>
        <w:t>SWIID,</w:t>
      </w:r>
      <w:r>
        <w:rPr>
          <w:spacing w:val="-15"/>
        </w:rPr>
        <w:t> </w:t>
      </w:r>
      <w:r>
        <w:rPr/>
        <w:t>2018;</w:t>
      </w:r>
      <w:r>
        <w:rPr>
          <w:spacing w:val="-14"/>
        </w:rPr>
        <w:t> </w:t>
      </w:r>
      <w:r>
        <w:rPr/>
        <w:t>World</w:t>
      </w:r>
      <w:r>
        <w:rPr>
          <w:spacing w:val="-14"/>
        </w:rPr>
        <w:t> </w:t>
      </w:r>
      <w:r>
        <w:rPr/>
        <w:t>Bank,</w:t>
      </w:r>
      <w:r>
        <w:rPr>
          <w:spacing w:val="-15"/>
        </w:rPr>
        <w:t> </w:t>
      </w:r>
      <w:r>
        <w:rPr/>
        <w:t>2019).</w:t>
      </w:r>
      <w:r>
        <w:rPr>
          <w:spacing w:val="-12"/>
        </w:rPr>
        <w:t> </w:t>
      </w:r>
      <w:r>
        <w:rPr/>
        <w:t>Income</w:t>
      </w:r>
      <w:r>
        <w:rPr>
          <w:spacing w:val="-57"/>
        </w:rPr>
        <w:t> </w:t>
      </w:r>
      <w:r>
        <w:rPr/>
        <w:t>inequality has also become an important issue of concern in Nigeria (Aigbokhan, 2017; Oxfam</w:t>
      </w:r>
      <w:r>
        <w:rPr>
          <w:spacing w:val="1"/>
        </w:rPr>
        <w:t> </w:t>
      </w:r>
      <w:r>
        <w:rPr/>
        <w:t>International Report, 2018) because it has far-reaching implications for economic development,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capital and health in society.</w:t>
      </w:r>
    </w:p>
    <w:p>
      <w:pPr>
        <w:pStyle w:val="BodyText"/>
        <w:spacing w:line="360" w:lineRule="auto" w:before="160"/>
        <w:ind w:left="160" w:right="153"/>
        <w:jc w:val="both"/>
      </w:pPr>
      <w:r>
        <w:rPr/>
        <w:t>Figure</w:t>
      </w:r>
      <w:r>
        <w:rPr>
          <w:spacing w:val="-6"/>
        </w:rPr>
        <w:t> </w:t>
      </w:r>
      <w:r>
        <w:rPr/>
        <w:t>2.1</w:t>
      </w:r>
      <w:r>
        <w:rPr>
          <w:spacing w:val="-3"/>
        </w:rPr>
        <w:t> </w:t>
      </w:r>
      <w:r>
        <w:rPr/>
        <w:t>indicates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income</w:t>
      </w:r>
      <w:r>
        <w:rPr>
          <w:spacing w:val="-4"/>
        </w:rPr>
        <w:t> </w:t>
      </w:r>
      <w:r>
        <w:rPr/>
        <w:t>belonging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top</w:t>
      </w:r>
      <w:r>
        <w:rPr>
          <w:spacing w:val="-3"/>
        </w:rPr>
        <w:t> </w:t>
      </w:r>
      <w:r>
        <w:rPr/>
        <w:t>10%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extreme</w:t>
      </w:r>
      <w:r>
        <w:rPr>
          <w:spacing w:val="-3"/>
        </w:rPr>
        <w:t> </w:t>
      </w:r>
      <w:r>
        <w:rPr/>
        <w:t>upper-end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income</w:t>
      </w:r>
      <w:r>
        <w:rPr>
          <w:spacing w:val="-58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4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marginally</w:t>
      </w:r>
      <w:r>
        <w:rPr>
          <w:spacing w:val="-9"/>
        </w:rPr>
        <w:t> </w:t>
      </w:r>
      <w:r>
        <w:rPr/>
        <w:t>from</w:t>
      </w:r>
      <w:r>
        <w:rPr>
          <w:spacing w:val="-3"/>
        </w:rPr>
        <w:t> </w:t>
      </w:r>
      <w:r>
        <w:rPr/>
        <w:t>26.59%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2004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27.82%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2013</w:t>
      </w:r>
      <w:r>
        <w:rPr>
          <w:spacing w:val="-4"/>
        </w:rPr>
        <w:t> </w:t>
      </w:r>
      <w:r>
        <w:rPr/>
        <w:t>(World</w:t>
      </w:r>
      <w:r>
        <w:rPr>
          <w:spacing w:val="-3"/>
        </w:rPr>
        <w:t> </w:t>
      </w:r>
      <w:r>
        <w:rPr/>
        <w:t>Bank,</w:t>
      </w:r>
      <w:r>
        <w:rPr>
          <w:spacing w:val="-58"/>
        </w:rPr>
        <w:t> </w:t>
      </w:r>
      <w:r>
        <w:rPr/>
        <w:t>2016; IMF, 2018). The percentage-point change of this increase is merely 1.23%. However, the</w:t>
      </w:r>
      <w:r>
        <w:rPr>
          <w:spacing w:val="1"/>
        </w:rPr>
        <w:t> </w:t>
      </w:r>
      <w:r>
        <w:rPr/>
        <w:t>top 10% income shared in Nigeria increase speedily from 27.83% in 2013 to 31.1% in 2017. This</w:t>
      </w:r>
      <w:r>
        <w:rPr>
          <w:spacing w:val="-58"/>
        </w:rPr>
        <w:t> </w:t>
      </w:r>
      <w:r>
        <w:rPr/>
        <w:t>is about 3.27% percentage-point changes. The report of IMF (2018) further reveal that more than</w:t>
      </w:r>
      <w:r>
        <w:rPr>
          <w:spacing w:val="-57"/>
        </w:rPr>
        <w:t> </w:t>
      </w:r>
      <w:r>
        <w:rPr/>
        <w:t>one-third of income in Nigeria belongs to the 10% at the upper end of the income distribution in</w:t>
      </w:r>
      <w:r>
        <w:rPr>
          <w:spacing w:val="1"/>
        </w:rPr>
        <w:t> </w:t>
      </w:r>
      <w:r>
        <w:rPr/>
        <w:t>year 2017 alone. The reality of this is that Nigeria has experienced a rapid increase of income</w:t>
      </w:r>
      <w:r>
        <w:rPr>
          <w:spacing w:val="1"/>
        </w:rPr>
        <w:t> </w:t>
      </w:r>
      <w:r>
        <w:rPr/>
        <w:t>shared by the few richest Nigerian. This hinders social and political stability through reducing</w:t>
      </w:r>
      <w:r>
        <w:rPr>
          <w:spacing w:val="1"/>
        </w:rPr>
        <w:t> </w:t>
      </w:r>
      <w:r>
        <w:rPr/>
        <w:t>productivity and deterring investment (UN, 2018). This also enforce social dysfunction – theft,</w:t>
      </w:r>
      <w:r>
        <w:rPr>
          <w:spacing w:val="1"/>
        </w:rPr>
        <w:t> </w:t>
      </w:r>
      <w:r>
        <w:rPr/>
        <w:t>crime, violence, insecurity and kidnapping – which intensify fear and shock that transcends to</w:t>
      </w:r>
      <w:r>
        <w:rPr>
          <w:spacing w:val="1"/>
        </w:rPr>
        <w:t> </w:t>
      </w:r>
      <w:r>
        <w:rPr/>
        <w:t>rising</w:t>
      </w:r>
      <w:r>
        <w:rPr>
          <w:spacing w:val="-3"/>
        </w:rPr>
        <w:t> </w:t>
      </w:r>
      <w:r>
        <w:rPr/>
        <w:t>illnesses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deaths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heart-failure,</w:t>
      </w:r>
      <w:r>
        <w:rPr>
          <w:spacing w:val="-1"/>
        </w:rPr>
        <w:t> </w:t>
      </w:r>
      <w:r>
        <w:rPr/>
        <w:t>strokes,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both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richest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poorest citizens (Wilkinson, 1994;</w:t>
      </w:r>
      <w:r>
        <w:rPr>
          <w:spacing w:val="-1"/>
        </w:rPr>
        <w:t> </w:t>
      </w:r>
      <w:r>
        <w:rPr/>
        <w:t>Wagstaff and van Doorslaer,</w:t>
      </w:r>
      <w:r>
        <w:rPr>
          <w:spacing w:val="-1"/>
        </w:rPr>
        <w:t> </w:t>
      </w:r>
      <w:r>
        <w:rPr/>
        <w:t>2000).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12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4"/>
        <w:spacing w:before="90"/>
      </w:pPr>
      <w:r>
        <w:rPr/>
        <w:pict>
          <v:group style="position:absolute;margin-left:71.639999pt;margin-top:-211.746872pt;width:456pt;height:216.75pt;mso-position-horizontal-relative:page;mso-position-vertical-relative:paragraph;z-index:15730176" coordorigin="1433,-4235" coordsize="9120,4335">
            <v:shape style="position:absolute;left:2676;top:-3439;width:7467;height:2424" coordorigin="2676,-3438" coordsize="7467,2424" path="m2676,-1014l10142,-1014m2676,-1257l10142,-1257m2676,-1499l10142,-1499m2676,-1741l10142,-1741m2676,-1984l10142,-1984m2676,-2226l10142,-2226m2676,-2469l10142,-2469m2676,-2711l10142,-2711m2676,-2953l10142,-2953m2676,-3196l10142,-3196m2676,-3438l10142,-3438e" filled="false" stroked="true" strokeweight=".72pt" strokecolor="#dfe4eb">
              <v:path arrowok="t"/>
              <v:stroke dashstyle="solid"/>
            </v:shape>
            <v:shape style="position:absolute;left:2618;top:-3439;width:58;height:2667" coordorigin="2618,-3438" coordsize="58,2667" path="m2676,-772l2676,-3438m2618,-772l2676,-772m2618,-1014l2676,-1014m2618,-1257l2676,-1257m2618,-1499l2676,-1499m2618,-1741l2676,-1741m2618,-1984l2676,-1984m2618,-2226l2676,-2226m2618,-2469l2676,-2469m2618,-2711l2676,-2711m2618,-2953l2676,-2953m2618,-3196l2676,-3196m2618,-3438l2676,-3438e" filled="false" stroked="true" strokeweight=".72pt" strokecolor="#acb8c9">
              <v:path arrowok="t"/>
              <v:stroke dashstyle="solid"/>
            </v:shape>
            <v:shape style="position:absolute;left:2676;top:-772;width:7467;height:58" coordorigin="2676,-772" coordsize="7467,58" path="m2676,-772l10142,-772m2676,-772l2676,-714m3610,-772l3610,-714m4543,-772l4543,-714m5477,-772l5477,-714m6408,-772l6408,-714m7342,-772l7342,-714m8275,-772l8275,-714m9209,-772l9209,-714m10142,-772l10142,-714e" filled="false" stroked="true" strokeweight=".72pt" strokecolor="#dfe4eb">
              <v:path arrowok="t"/>
              <v:stroke dashstyle="solid"/>
            </v:shape>
            <v:shape style="position:absolute;left:3535;top:-3283;width:6216;height:2336" type="#_x0000_t75" stroked="false">
              <v:imagedata r:id="rId7" o:title=""/>
            </v:shape>
            <v:shape style="position:absolute;left:3487;top:-1144;width:245;height:245" type="#_x0000_t75" stroked="false">
              <v:imagedata r:id="rId8" o:title=""/>
            </v:shape>
            <v:shape style="position:absolute;left:7687;top:-1739;width:245;height:245" type="#_x0000_t75" stroked="false">
              <v:imagedata r:id="rId8" o:title=""/>
            </v:shape>
            <v:shape style="position:absolute;left:9554;top:-3331;width:245;height:245" type="#_x0000_t75" stroked="false">
              <v:imagedata r:id="rId8" o:title=""/>
            </v:shape>
            <v:shape style="position:absolute;left:3609;top:-3244;width:6068;height:2187" coordorigin="3610,-3244" coordsize="6068,2187" path="m3610,-1057l3689,-1068,3770,-1079,3851,-1090,3933,-1100,4015,-1110,4098,-1119,4182,-1129,4266,-1138,4351,-1147,4436,-1155,4521,-1164,4607,-1173,4693,-1181,4779,-1189,4865,-1198,4952,-1206,5038,-1214,5125,-1222,5212,-1230,5298,-1238,5385,-1246,5471,-1255,5557,-1263,5643,-1272,5728,-1280,5813,-1289,5898,-1298,5982,-1307,6066,-1316,6149,-1326,6232,-1335,6314,-1346,6396,-1356,6476,-1366,6556,-1377,6635,-1389,6714,-1400,6791,-1413,6867,-1425,6943,-1438,7017,-1451,7090,-1465,7162,-1479,7233,-1494,7303,-1509,7371,-1525,7438,-1542,7504,-1559,7568,-1576,7631,-1595,7692,-1614,7752,-1633,7810,-1654,7900,-1688,7986,-1723,8067,-1761,8146,-1800,8220,-1840,8291,-1882,8360,-1925,8425,-1970,8487,-2016,8547,-2062,8605,-2110,8661,-2159,8714,-2208,8766,-2258,8816,-2309,8865,-2361,8913,-2413,8960,-2465,9006,-2518,9051,-2571,9096,-2624,9141,-2677,9186,-2730,9231,-2783,9276,-2836,9322,-2889,9369,-2941,9417,-2993,9466,-3045,9516,-3095,9568,-3146,9621,-3195,9677,-3244e" filled="false" stroked="true" strokeweight=".72pt" strokecolor="#4471c4">
              <v:path arrowok="t"/>
              <v:stroke dashstyle="solid"/>
            </v:shape>
            <v:shape style="position:absolute;left:3549;top:-1118;width:120;height:120" type="#_x0000_t75" stroked="false">
              <v:imagedata r:id="rId9" o:title=""/>
            </v:shape>
            <v:shape style="position:absolute;left:7749;top:-1713;width:120;height:120" type="#_x0000_t75" stroked="false">
              <v:imagedata r:id="rId9" o:title=""/>
            </v:shape>
            <v:shape style="position:absolute;left:9616;top:-3304;width:120;height:120" type="#_x0000_t75" stroked="false">
              <v:imagedata r:id="rId9" o:title=""/>
            </v:shape>
            <v:rect style="position:absolute;left:1440;top:-4228;width:9106;height:4320" filled="false" stroked="true" strokeweight=".72pt" strokecolor="#dfe4eb">
              <v:stroke dashstyle="solid"/>
            </v:rect>
            <v:shape style="position:absolute;left:2927;top:-4077;width:6154;height:390" type="#_x0000_t202" filled="false" stroked="false">
              <v:textbox inset="0,0,0,0">
                <w:txbxContent>
                  <w:p>
                    <w:pPr>
                      <w:spacing w:line="39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Top</w:t>
                    </w:r>
                    <w:r>
                      <w:rPr>
                        <w:rFonts w:ascii="Calibri"/>
                        <w:b/>
                        <w:color w:val="44536A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10%</w:t>
                    </w:r>
                    <w:r>
                      <w:rPr>
                        <w:rFonts w:ascii="Calibri"/>
                        <w:b/>
                        <w:color w:val="44536A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Income</w:t>
                    </w:r>
                    <w:r>
                      <w:rPr>
                        <w:rFonts w:ascii="Calibri"/>
                        <w:b/>
                        <w:color w:val="44536A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shared</w:t>
                    </w:r>
                    <w:r>
                      <w:rPr>
                        <w:rFonts w:ascii="Calibri"/>
                        <w:b/>
                        <w:color w:val="44536A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in</w:t>
                    </w:r>
                    <w:r>
                      <w:rPr>
                        <w:rFonts w:ascii="Calibri"/>
                        <w:b/>
                        <w:color w:val="44536A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Nigeria</w:t>
                    </w:r>
                    <w:r>
                      <w:rPr>
                        <w:rFonts w:ascii="Calibri"/>
                        <w:b/>
                        <w:color w:val="44536A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(2004-2017)</w:t>
                    </w:r>
                  </w:p>
                </w:txbxContent>
              </v:textbox>
              <w10:wrap type="none"/>
            </v:shape>
            <v:shape style="position:absolute;left:1969;top:-3522;width:560;height:163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31.50%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31.00%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30.50%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30.00%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29.50%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29.00%</w:t>
                    </w:r>
                  </w:p>
                  <w:p>
                    <w:pPr>
                      <w:spacing w:line="216" w:lineRule="exact" w:before="2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28.50%</w:t>
                    </w:r>
                  </w:p>
                </w:txbxContent>
              </v:textbox>
              <w10:wrap type="none"/>
            </v:shape>
            <v:shape style="position:absolute;left:9316;top:-3398;width:101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2017,</w:t>
                    </w:r>
                    <w:r>
                      <w:rPr>
                        <w:rFonts w:ascii="Calibri"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31.10%</w:t>
                    </w:r>
                  </w:p>
                </w:txbxContent>
              </v:textbox>
              <w10:wrap type="none"/>
            </v:shape>
            <v:shape style="position:absolute;left:1969;top:-1825;width:909;height:13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28.00%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27.50%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27.00%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26.50%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26.00%</w:t>
                    </w:r>
                  </w:p>
                  <w:p>
                    <w:pPr>
                      <w:spacing w:line="216" w:lineRule="exact" w:before="14"/>
                      <w:ind w:left="52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2002</w:t>
                    </w:r>
                  </w:p>
                </w:txbxContent>
              </v:textbox>
              <w10:wrap type="none"/>
            </v:shape>
            <v:shape style="position:absolute;left:7980;top:-1728;width:101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2013,</w:t>
                    </w:r>
                    <w:r>
                      <w:rPr>
                        <w:rFonts w:ascii="Calibri"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27.82%</w:t>
                    </w:r>
                  </w:p>
                </w:txbxContent>
              </v:textbox>
              <w10:wrap type="none"/>
            </v:shape>
            <v:shape style="position:absolute;left:3779;top:-1131;width:101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2004,</w:t>
                    </w:r>
                    <w:r>
                      <w:rPr>
                        <w:rFonts w:ascii="Calibri"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26.59%</w:t>
                    </w:r>
                  </w:p>
                </w:txbxContent>
              </v:textbox>
              <w10:wrap type="none"/>
            </v:shape>
            <v:shape style="position:absolute;left:3427;top:-622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2004</w:t>
                    </w:r>
                  </w:p>
                </w:txbxContent>
              </v:textbox>
              <w10:wrap type="none"/>
            </v:shape>
            <v:shape style="position:absolute;left:4360;top:-622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2006</w:t>
                    </w:r>
                  </w:p>
                </w:txbxContent>
              </v:textbox>
              <w10:wrap type="none"/>
            </v:shape>
            <v:shape style="position:absolute;left:5294;top:-622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2008</w:t>
                    </w:r>
                  </w:p>
                </w:txbxContent>
              </v:textbox>
              <w10:wrap type="none"/>
            </v:shape>
            <v:shape style="position:absolute;left:6228;top:-622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7161;top:-622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8095;top:-622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9028;top:-622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9962;top:-622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4913;top:-378;width:301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Source:</w:t>
                    </w:r>
                    <w:r>
                      <w:rPr>
                        <w:rFonts w:ascii="Calibri"/>
                        <w:b/>
                        <w:color w:val="44536A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World</w:t>
                    </w:r>
                    <w:r>
                      <w:rPr>
                        <w:rFonts w:ascii="Calibri"/>
                        <w:b/>
                        <w:color w:val="44536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Bank,</w:t>
                    </w:r>
                    <w:r>
                      <w:rPr>
                        <w:rFonts w:ascii="Calibri"/>
                        <w:b/>
                        <w:color w:val="44536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2016;</w:t>
                    </w:r>
                    <w:r>
                      <w:rPr>
                        <w:rFonts w:ascii="Calibri"/>
                        <w:b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IMF,</w:t>
                    </w:r>
                    <w:r>
                      <w:rPr>
                        <w:rFonts w:ascii="Calibri"/>
                        <w:b/>
                        <w:color w:val="44536A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2018:19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3.478661pt;margin-top:-148.272354pt;width:13pt;height:86.25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4536A"/>
                      <w:sz w:val="18"/>
                    </w:rPr>
                    <w:t>Percentage</w:t>
                  </w:r>
                  <w:r>
                    <w:rPr>
                      <w:rFonts w:ascii="Calibri"/>
                      <w:b/>
                      <w:color w:val="44536A"/>
                      <w:spacing w:val="-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44536A"/>
                      <w:sz w:val="18"/>
                    </w:rPr>
                    <w:t>Shared</w:t>
                  </w:r>
                  <w:r>
                    <w:rPr>
                      <w:rFonts w:ascii="Calibri"/>
                      <w:b/>
                      <w:color w:val="44536A"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44536A"/>
                      <w:sz w:val="1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14"/>
        </w:rPr>
        <w:t> </w:t>
      </w:r>
      <w:r>
        <w:rPr/>
        <w:t>2.1:</w:t>
      </w:r>
      <w:r>
        <w:rPr>
          <w:spacing w:val="-14"/>
        </w:rPr>
        <w:t> </w:t>
      </w:r>
      <w:r>
        <w:rPr/>
        <w:t>Income</w:t>
      </w:r>
      <w:r>
        <w:rPr>
          <w:spacing w:val="-14"/>
        </w:rPr>
        <w:t> </w:t>
      </w:r>
      <w:r>
        <w:rPr/>
        <w:t>belonging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top</w:t>
      </w:r>
      <w:r>
        <w:rPr>
          <w:spacing w:val="-13"/>
        </w:rPr>
        <w:t> </w:t>
      </w:r>
      <w:r>
        <w:rPr/>
        <w:t>10%</w:t>
      </w:r>
      <w:r>
        <w:rPr>
          <w:spacing w:val="-10"/>
        </w:rPr>
        <w:t> </w:t>
      </w:r>
      <w:r>
        <w:rPr/>
        <w:t>at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Upper-End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Income</w:t>
      </w:r>
      <w:r>
        <w:rPr>
          <w:spacing w:val="-14"/>
        </w:rPr>
        <w:t> </w:t>
      </w:r>
      <w:r>
        <w:rPr/>
        <w:t>Distribution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60" w:right="157"/>
        <w:jc w:val="both"/>
      </w:pPr>
      <w:r>
        <w:rPr/>
        <w:pict>
          <v:group style="position:absolute;margin-left:71.639999pt;margin-top:152.753113pt;width:466.45pt;height:222pt;mso-position-horizontal-relative:page;mso-position-vertical-relative:paragraph;z-index:15730688" coordorigin="1433,3055" coordsize="9329,4440">
            <v:shape style="position:absolute;left:2584;top:3851;width:7769;height:2376" coordorigin="2585,3852" coordsize="7769,2376" path="m2585,6228l10354,6228m2585,5832l10354,5832m2585,5436l10354,5436m2585,5040l10354,5040m2585,4644l10354,4644m2585,4248l10354,4248m2585,3852l10354,3852e" filled="false" stroked="true" strokeweight=".72pt" strokecolor="#dfe4eb">
              <v:path arrowok="t"/>
              <v:stroke dashstyle="solid"/>
            </v:shape>
            <v:shape style="position:absolute;left:2527;top:3851;width:58;height:2772" coordorigin="2527,3852" coordsize="58,2772" path="m2585,6624l2585,3852m2527,6624l2585,6624m2527,6228l2585,6228m2527,5832l2585,5832m2527,5436l2585,5436m2527,5040l2585,5040m2527,4644l2585,4644m2527,4248l2585,4248m2527,3852l2585,3852e" filled="false" stroked="true" strokeweight=".72pt" strokecolor="#acb8c9">
              <v:path arrowok="t"/>
              <v:stroke dashstyle="solid"/>
            </v:shape>
            <v:shape style="position:absolute;left:2584;top:6623;width:7769;height:58" coordorigin="2585,6624" coordsize="7769,58" path="m2585,6624l10354,6624m2585,6624l2585,6681m3554,6624l3554,6681m4526,6624l4526,6681m5498,6624l5498,6681m6468,6624l6468,6681m7440,6624l7440,6681m8410,6624l8410,6681m9382,6624l9382,6681m10354,6624l10354,6681e" filled="false" stroked="true" strokeweight=".72pt" strokecolor="#dfe4eb">
              <v:path arrowok="t"/>
              <v:stroke dashstyle="solid"/>
            </v:shape>
            <v:shape style="position:absolute;left:3480;top:4063;width:6461;height:1563" type="#_x0000_t75" stroked="false">
              <v:imagedata r:id="rId10" o:title=""/>
            </v:shape>
            <v:shape style="position:absolute;left:3432;top:4019;width:245;height:245" type="#_x0000_t75" stroked="false">
              <v:imagedata r:id="rId8" o:title=""/>
            </v:shape>
            <v:shape style="position:absolute;left:8774;top:4149;width:245;height:245" type="#_x0000_t75" stroked="false">
              <v:imagedata r:id="rId8" o:title=""/>
            </v:shape>
            <v:shape style="position:absolute;left:9744;top:5428;width:245;height:245" type="#_x0000_t75" stroked="false">
              <v:imagedata r:id="rId8" o:title=""/>
            </v:shape>
            <v:shape style="position:absolute;left:3554;top:4100;width:6312;height:1415" coordorigin="3554,4101" coordsize="6312,1415" path="m3554,4107l3635,4109,3716,4111,3798,4112,3881,4113,3964,4114,4049,4115,4134,4115,4220,4116,4306,4116,4393,4116,4481,4116,4569,4115,4657,4115,4746,4115,4835,4114,4925,4113,5015,4113,5105,4112,5195,4111,5285,4110,5376,4109,5466,4109,5557,4108,5648,4107,5738,4106,5828,4105,5919,4104,6009,4103,6098,4103,6188,4102,6277,4102,6366,4101,6454,4101,6542,4101,6629,4101,6716,4101,6802,4101,6888,4101,6973,4102,7057,4103,7140,4104,7223,4105,7305,4106,7385,4108,7465,4110,7544,4112,7622,4114,7699,4117,7774,4120,7849,4124,7922,4127,7994,4131,8065,4135,8134,4140,8203,4145,8269,4150,8334,4156,8398,4162,8460,4169,8520,4176,8636,4191,8746,4208,8847,4227,8985,4262,9068,4291,9143,4325,9212,4364,9274,4407,9330,4454,9381,4504,9427,4558,9469,4614,9506,4671,9540,4731,9570,4792,9598,4854,9623,4916,9646,4979,9668,5041,9688,5102,9708,5162,9728,5221,9769,5331,9814,5430,9839,5475,9866,5515e" filled="false" stroked="true" strokeweight=".72pt" strokecolor="#4471c4">
              <v:path arrowok="t"/>
              <v:stroke dashstyle="solid"/>
            </v:shape>
            <v:shape style="position:absolute;left:3494;top:4046;width:120;height:120" type="#_x0000_t75" stroked="false">
              <v:imagedata r:id="rId9" o:title=""/>
            </v:shape>
            <v:shape style="position:absolute;left:8836;top:4175;width:120;height:120" type="#_x0000_t75" stroked="false">
              <v:imagedata r:id="rId9" o:title=""/>
            </v:shape>
            <v:shape style="position:absolute;left:9806;top:5455;width:120;height:120" type="#_x0000_t75" stroked="false">
              <v:imagedata r:id="rId9" o:title=""/>
            </v:shape>
            <v:shape style="position:absolute;left:3554;top:4003;width:111;height:104" coordorigin="3554,4003" coordsize="111,104" path="m3554,4106l3576,4003,3665,4003e" filled="false" stroked="true" strokeweight=".72pt" strokecolor="#b7c2d1">
              <v:path arrowok="t"/>
              <v:stroke dashstyle="solid"/>
            </v:shape>
            <v:rect style="position:absolute;left:1440;top:3062;width:9315;height:4426" filled="false" stroked="true" strokeweight=".72pt" strokecolor="#dfe4eb">
              <v:stroke dashstyle="solid"/>
            </v:rect>
            <v:shape style="position:absolute;left:1969;top:3214;width:8015;height:2319" type="#_x0000_t202" filled="false" stroked="false">
              <v:textbox inset="0,0,0,0">
                <w:txbxContent>
                  <w:p>
                    <w:pPr>
                      <w:spacing w:line="390" w:lineRule="exact" w:before="0"/>
                      <w:ind w:left="80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Bottom</w:t>
                    </w:r>
                    <w:r>
                      <w:rPr>
                        <w:rFonts w:ascii="Calibri"/>
                        <w:b/>
                        <w:color w:val="44536A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40%</w:t>
                    </w:r>
                    <w:r>
                      <w:rPr>
                        <w:rFonts w:ascii="Calibri"/>
                        <w:b/>
                        <w:color w:val="44536A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Income</w:t>
                    </w:r>
                    <w:r>
                      <w:rPr>
                        <w:rFonts w:ascii="Calibri"/>
                        <w:b/>
                        <w:color w:val="44536A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shared</w:t>
                    </w:r>
                    <w:r>
                      <w:rPr>
                        <w:rFonts w:ascii="Calibri"/>
                        <w:b/>
                        <w:color w:val="44536A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in</w:t>
                    </w:r>
                    <w:r>
                      <w:rPr>
                        <w:rFonts w:ascii="Calibri"/>
                        <w:b/>
                        <w:color w:val="44536A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Nigeria</w:t>
                    </w:r>
                    <w:r>
                      <w:rPr>
                        <w:rFonts w:ascii="Calibri"/>
                        <w:b/>
                        <w:color w:val="44536A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32"/>
                      </w:rPr>
                      <w:t>(2004-2017)</w:t>
                    </w:r>
                  </w:p>
                  <w:p>
                    <w:pPr>
                      <w:spacing w:line="190" w:lineRule="exact" w:before="12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7.00%</w:t>
                    </w:r>
                  </w:p>
                  <w:p>
                    <w:pPr>
                      <w:spacing w:line="190" w:lineRule="exact" w:before="0"/>
                      <w:ind w:left="175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2004,</w:t>
                    </w:r>
                    <w:r>
                      <w:rPr>
                        <w:rFonts w:ascii="Calibri"/>
                        <w:color w:val="44536A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6.36%</w:t>
                    </w:r>
                  </w:p>
                  <w:p>
                    <w:pPr>
                      <w:tabs>
                        <w:tab w:pos="7095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6.00%</w:t>
                      <w:tab/>
                      <w:t>2015,</w:t>
                    </w:r>
                    <w:r>
                      <w:rPr>
                        <w:rFonts w:ascii="Calibri"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6.03%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5.00%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4.00%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3.00%</w:t>
                    </w:r>
                  </w:p>
                </w:txbxContent>
              </v:textbox>
              <w10:wrap type="none"/>
            </v:shape>
            <v:shape style="position:absolute;left:1969;top:5749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2.00%</w:t>
                    </w:r>
                  </w:p>
                </w:txbxContent>
              </v:textbox>
              <w10:wrap type="none"/>
            </v:shape>
            <v:shape style="position:absolute;left:9796;top:5627;width:9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2017,</w:t>
                    </w:r>
                    <w:r>
                      <w:rPr>
                        <w:rFonts w:ascii="Calibri"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2.80%</w:t>
                    </w:r>
                  </w:p>
                </w:txbxContent>
              </v:textbox>
              <w10:wrap type="none"/>
            </v:shape>
            <v:shape style="position:absolute;left:1969;top:6145;width:818;height:81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1.00%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0.00%</w:t>
                    </w:r>
                  </w:p>
                  <w:p>
                    <w:pPr>
                      <w:spacing w:line="216" w:lineRule="exact" w:before="15"/>
                      <w:ind w:left="43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2002</w:t>
                    </w:r>
                  </w:p>
                </w:txbxContent>
              </v:textbox>
              <w10:wrap type="none"/>
            </v:shape>
            <v:shape style="position:absolute;left:3373;top:6775;width:38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2004</w:t>
                    </w:r>
                  </w:p>
                </w:txbxContent>
              </v:textbox>
              <w10:wrap type="none"/>
            </v:shape>
            <v:shape style="position:absolute;left:4345;top:677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2006</w:t>
                    </w:r>
                  </w:p>
                </w:txbxContent>
              </v:textbox>
              <w10:wrap type="none"/>
            </v:shape>
            <v:shape style="position:absolute;left:5316;top:677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2008</w:t>
                    </w:r>
                  </w:p>
                </w:txbxContent>
              </v:textbox>
              <w10:wrap type="none"/>
            </v:shape>
            <v:shape style="position:absolute;left:6287;top:6775;width:38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7258;top:677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8229;top:677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9201;top:677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10172;top:677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4972;top:7018;width:3022;height:22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Source: World</w:t>
                    </w:r>
                    <w:r>
                      <w:rPr>
                        <w:rFonts w:ascii="Calibri"/>
                        <w:b/>
                        <w:color w:val="44536A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Bank,</w:t>
                    </w:r>
                    <w:r>
                      <w:rPr>
                        <w:rFonts w:ascii="Calibri"/>
                        <w:b/>
                        <w:color w:val="44536A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2016;</w:t>
                    </w:r>
                    <w:r>
                      <w:rPr>
                        <w:rFonts w:ascii="Calibri"/>
                        <w:b/>
                        <w:color w:val="44536A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IMF,</w:t>
                    </w:r>
                    <w:r>
                      <w:rPr>
                        <w:rFonts w:ascii="Calibri"/>
                        <w:b/>
                        <w:color w:val="44536A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536A"/>
                        <w:sz w:val="18"/>
                      </w:rPr>
                      <w:t>2018:19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3.478661pt;margin-top:218.98764pt;width:13pt;height:86.25pt;mso-position-horizontal-relative:page;mso-position-vertical-relative:paragraph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4536A"/>
                      <w:sz w:val="18"/>
                    </w:rPr>
                    <w:t>Percentage</w:t>
                  </w:r>
                  <w:r>
                    <w:rPr>
                      <w:rFonts w:ascii="Calibri"/>
                      <w:b/>
                      <w:color w:val="44536A"/>
                      <w:spacing w:val="-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44536A"/>
                      <w:sz w:val="18"/>
                    </w:rPr>
                    <w:t>Shared</w:t>
                  </w:r>
                  <w:r>
                    <w:rPr>
                      <w:rFonts w:ascii="Calibri"/>
                      <w:b/>
                      <w:color w:val="44536A"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44536A"/>
                      <w:sz w:val="1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According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Oxfam</w:t>
      </w:r>
      <w:r>
        <w:rPr>
          <w:spacing w:val="-3"/>
        </w:rPr>
        <w:t> </w:t>
      </w:r>
      <w:r>
        <w:rPr/>
        <w:t>International</w:t>
      </w:r>
      <w:r>
        <w:rPr>
          <w:spacing w:val="-6"/>
        </w:rPr>
        <w:t> </w:t>
      </w:r>
      <w:r>
        <w:rPr/>
        <w:t>Report</w:t>
      </w:r>
      <w:r>
        <w:rPr>
          <w:spacing w:val="-4"/>
        </w:rPr>
        <w:t> </w:t>
      </w:r>
      <w:r>
        <w:rPr/>
        <w:t>(2018),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common</w:t>
      </w:r>
      <w:r>
        <w:rPr>
          <w:spacing w:val="-6"/>
        </w:rPr>
        <w:t> </w:t>
      </w:r>
      <w:r>
        <w:rPr/>
        <w:t>index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welfare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both</w:t>
      </w:r>
      <w:r>
        <w:rPr>
          <w:spacing w:val="-6"/>
        </w:rPr>
        <w:t> </w:t>
      </w:r>
      <w:r>
        <w:rPr/>
        <w:t>developed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developing</w:t>
      </w:r>
      <w:r>
        <w:rPr>
          <w:spacing w:val="-15"/>
        </w:rPr>
        <w:t> </w:t>
      </w:r>
      <w:r>
        <w:rPr/>
        <w:t>nations</w:t>
      </w:r>
      <w:r>
        <w:rPr>
          <w:spacing w:val="-12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relative</w:t>
      </w:r>
      <w:r>
        <w:rPr>
          <w:spacing w:val="-13"/>
        </w:rPr>
        <w:t> </w:t>
      </w:r>
      <w:r>
        <w:rPr/>
        <w:t>income</w:t>
      </w:r>
      <w:r>
        <w:rPr>
          <w:spacing w:val="-13"/>
        </w:rPr>
        <w:t> </w:t>
      </w:r>
      <w:r>
        <w:rPr/>
        <w:t>shared</w:t>
      </w:r>
      <w:r>
        <w:rPr>
          <w:spacing w:val="-12"/>
        </w:rPr>
        <w:t> </w:t>
      </w:r>
      <w:r>
        <w:rPr/>
        <w:t>by</w:t>
      </w:r>
      <w:r>
        <w:rPr>
          <w:spacing w:val="-20"/>
        </w:rPr>
        <w:t> </w:t>
      </w:r>
      <w:r>
        <w:rPr/>
        <w:t>the</w:t>
      </w:r>
      <w:r>
        <w:rPr>
          <w:spacing w:val="-12"/>
        </w:rPr>
        <w:t> </w:t>
      </w:r>
      <w:r>
        <w:rPr/>
        <w:t>bottom</w:t>
      </w:r>
      <w:r>
        <w:rPr>
          <w:spacing w:val="-12"/>
        </w:rPr>
        <w:t> </w:t>
      </w:r>
      <w:r>
        <w:rPr/>
        <w:t>40%</w:t>
      </w:r>
      <w:r>
        <w:rPr>
          <w:spacing w:val="-13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lower-end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income</w:t>
      </w:r>
      <w:r>
        <w:rPr>
          <w:spacing w:val="-57"/>
        </w:rPr>
        <w:t> </w:t>
      </w:r>
      <w:r>
        <w:rPr/>
        <w:t>distribution. The larger this income the more rapid an increase in economic growth is shared with</w:t>
      </w:r>
      <w:r>
        <w:rPr>
          <w:spacing w:val="-57"/>
        </w:rPr>
        <w:t> </w:t>
      </w:r>
      <w:r>
        <w:rPr/>
        <w:t>the most vulnerable groups (Aigbokhan, 2017). In Nigeria, the bottom 40% of Nigerian received</w:t>
      </w:r>
      <w:r>
        <w:rPr>
          <w:spacing w:val="1"/>
        </w:rPr>
        <w:t> </w:t>
      </w:r>
      <w:r>
        <w:rPr/>
        <w:t>merely 6.36% of total incomes in 2004 as Figure 2.2 shown (World Bank, 2016). In other words,</w:t>
      </w:r>
      <w:r>
        <w:rPr>
          <w:spacing w:val="-57"/>
        </w:rPr>
        <w:t> </w:t>
      </w:r>
      <w:r>
        <w:rPr/>
        <w:t>on average 4 out of 10 Nigerians (over 82.9 millions) received 6.4% of aggregated incomes in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in 2004 (NBS, 2019).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4"/>
      </w:pPr>
      <w:r>
        <w:rPr/>
        <w:t>Figure</w:t>
      </w:r>
      <w:r>
        <w:rPr>
          <w:spacing w:val="-2"/>
        </w:rPr>
        <w:t> </w:t>
      </w:r>
      <w:r>
        <w:rPr/>
        <w:t>2.2:</w:t>
      </w:r>
      <w:r>
        <w:rPr>
          <w:spacing w:val="-2"/>
        </w:rPr>
        <w:t> </w:t>
      </w:r>
      <w:r>
        <w:rPr/>
        <w:t>Income</w:t>
      </w:r>
      <w:r>
        <w:rPr>
          <w:spacing w:val="-2"/>
        </w:rPr>
        <w:t> </w:t>
      </w:r>
      <w:r>
        <w:rPr/>
        <w:t>Shared</w:t>
      </w:r>
      <w:r>
        <w:rPr>
          <w:spacing w:val="-1"/>
        </w:rPr>
        <w:t> </w:t>
      </w:r>
      <w:r>
        <w:rPr/>
        <w:t>by bottom</w:t>
      </w:r>
      <w:r>
        <w:rPr>
          <w:spacing w:val="-5"/>
        </w:rPr>
        <w:t> </w:t>
      </w:r>
      <w:r>
        <w:rPr/>
        <w:t>40%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Lower-End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Distribution in Nigeria</w:t>
      </w:r>
    </w:p>
    <w:p>
      <w:pPr>
        <w:spacing w:after="0"/>
        <w:sectPr>
          <w:pgSz w:w="12240" w:h="15840"/>
          <w:pgMar w:header="0" w:footer="1015" w:top="1440" w:bottom="1200" w:left="1280" w:right="1280"/>
        </w:sectPr>
      </w:pPr>
    </w:p>
    <w:p>
      <w:pPr>
        <w:pStyle w:val="BodyText"/>
        <w:spacing w:line="360" w:lineRule="auto" w:before="74"/>
        <w:ind w:left="160" w:right="155"/>
        <w:jc w:val="both"/>
      </w:pPr>
      <w:r>
        <w:rPr/>
        <w:t>Figure 2.2 further depicts that this statistics decline from 6.36% to 2.8% between 2004 and 2017</w:t>
      </w:r>
      <w:r>
        <w:rPr>
          <w:spacing w:val="1"/>
        </w:rPr>
        <w:t> </w:t>
      </w:r>
      <w:r>
        <w:rPr/>
        <w:t>by percentage-point of 3.56% (IMF, 2018). This shows that there is high income gap between the</w:t>
      </w:r>
      <w:r>
        <w:rPr>
          <w:spacing w:val="-57"/>
        </w:rPr>
        <w:t> </w:t>
      </w:r>
      <w:r>
        <w:rPr/>
        <w:t>richest- and poorest-groups in Nigeria. It further suggest that the benefit of economic growth in</w:t>
      </w:r>
      <w:r>
        <w:rPr>
          <w:spacing w:val="1"/>
        </w:rPr>
        <w:t> </w:t>
      </w:r>
      <w:r>
        <w:rPr/>
        <w:t>the last decades has not been pro-poor as income inequality in the nation persisted (Aigbokhan,</w:t>
      </w:r>
      <w:r>
        <w:rPr>
          <w:spacing w:val="1"/>
        </w:rPr>
        <w:t> </w:t>
      </w:r>
      <w:r>
        <w:rPr/>
        <w:t>2017:4). It also show clearly that the gain by the top 10% of the population was at the expense of</w:t>
      </w:r>
      <w:r>
        <w:rPr>
          <w:spacing w:val="-57"/>
        </w:rPr>
        <w:t> </w:t>
      </w:r>
      <w:r>
        <w:rPr/>
        <w:t>low-income</w:t>
      </w:r>
      <w:r>
        <w:rPr>
          <w:spacing w:val="-2"/>
        </w:rPr>
        <w:t> </w:t>
      </w:r>
      <w:r>
        <w:rPr/>
        <w:t>(the</w:t>
      </w:r>
      <w:r>
        <w:rPr>
          <w:spacing w:val="-2"/>
        </w:rPr>
        <w:t> </w:t>
      </w:r>
      <w:r>
        <w:rPr/>
        <w:t>bottom</w:t>
      </w:r>
      <w:r>
        <w:rPr>
          <w:spacing w:val="2"/>
        </w:rPr>
        <w:t> </w:t>
      </w:r>
      <w:r>
        <w:rPr/>
        <w:t>40%) in Nigeria.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160" w:right="152"/>
        <w:jc w:val="both"/>
      </w:pPr>
      <w:r>
        <w:rPr/>
        <w:t>The</w:t>
      </w:r>
      <w:r>
        <w:rPr>
          <w:spacing w:val="-15"/>
        </w:rPr>
        <w:t> </w:t>
      </w:r>
      <w:r>
        <w:rPr/>
        <w:t>wide</w:t>
      </w:r>
      <w:r>
        <w:rPr>
          <w:spacing w:val="-14"/>
        </w:rPr>
        <w:t> </w:t>
      </w:r>
      <w:r>
        <w:rPr/>
        <w:t>income</w:t>
      </w:r>
      <w:r>
        <w:rPr>
          <w:spacing w:val="-10"/>
        </w:rPr>
        <w:t> </w:t>
      </w:r>
      <w:r>
        <w:rPr/>
        <w:t>gaps</w:t>
      </w:r>
      <w:r>
        <w:rPr>
          <w:spacing w:val="-12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rich-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poor-families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major</w:t>
      </w:r>
      <w:r>
        <w:rPr>
          <w:spacing w:val="-14"/>
        </w:rPr>
        <w:t> </w:t>
      </w:r>
      <w:r>
        <w:rPr/>
        <w:t>economic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social</w:t>
      </w:r>
      <w:r>
        <w:rPr>
          <w:spacing w:val="-12"/>
        </w:rPr>
        <w:t> </w:t>
      </w:r>
      <w:r>
        <w:rPr/>
        <w:t>problem</w:t>
      </w:r>
      <w:r>
        <w:rPr>
          <w:spacing w:val="-58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Nigeria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likely</w:t>
      </w:r>
      <w:r>
        <w:rPr>
          <w:spacing w:val="-20"/>
        </w:rPr>
        <w:t> </w:t>
      </w:r>
      <w:r>
        <w:rPr/>
        <w:t>to</w:t>
      </w:r>
      <w:r>
        <w:rPr>
          <w:spacing w:val="-12"/>
        </w:rPr>
        <w:t> </w:t>
      </w:r>
      <w:r>
        <w:rPr/>
        <w:t>further</w:t>
      </w:r>
      <w:r>
        <w:rPr>
          <w:spacing w:val="-14"/>
        </w:rPr>
        <w:t> </w:t>
      </w:r>
      <w:r>
        <w:rPr/>
        <w:t>increase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coming</w:t>
      </w:r>
      <w:r>
        <w:rPr>
          <w:spacing w:val="-12"/>
        </w:rPr>
        <w:t> </w:t>
      </w:r>
      <w:r>
        <w:rPr/>
        <w:t>years</w:t>
      </w:r>
      <w:r>
        <w:rPr>
          <w:spacing w:val="-13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continuing</w:t>
      </w:r>
      <w:r>
        <w:rPr>
          <w:spacing w:val="-14"/>
        </w:rPr>
        <w:t> </w:t>
      </w:r>
      <w:r>
        <w:rPr/>
        <w:t>economic</w:t>
      </w:r>
      <w:r>
        <w:rPr>
          <w:spacing w:val="-13"/>
        </w:rPr>
        <w:t> </w:t>
      </w:r>
      <w:r>
        <w:rPr/>
        <w:t>hardship</w:t>
      </w:r>
      <w:r>
        <w:rPr>
          <w:spacing w:val="-57"/>
        </w:rPr>
        <w:t> </w:t>
      </w:r>
      <w:r>
        <w:rPr/>
        <w:t>(Isah, 2011; Odusanya and Agboola, 2017; IMF, 2018). Nigeria was also ranked last among 152</w:t>
      </w:r>
      <w:r>
        <w:rPr>
          <w:spacing w:val="1"/>
        </w:rPr>
        <w:t> </w:t>
      </w:r>
      <w:r>
        <w:rPr/>
        <w:t>countries assessed on Oxfam’s 2017 Commitment to Reducing Inequality Index that captures</w:t>
      </w:r>
      <w:r>
        <w:rPr>
          <w:spacing w:val="1"/>
        </w:rPr>
        <w:t> </w:t>
      </w:r>
      <w:r>
        <w:rPr/>
        <w:t>government’s actions with respect to social spending, tax and labour rights (Oxfam International</w:t>
      </w:r>
      <w:r>
        <w:rPr>
          <w:spacing w:val="1"/>
        </w:rPr>
        <w:t> </w:t>
      </w:r>
      <w:r>
        <w:rPr/>
        <w:t>Report, 2018:53). This implies that, in spite of Nigeria being the largest economy and biggest oil</w:t>
      </w:r>
      <w:r>
        <w:rPr>
          <w:spacing w:val="1"/>
        </w:rPr>
        <w:t> </w:t>
      </w:r>
      <w:r>
        <w:rPr/>
        <w:t>exporter in Africa, there is a persistent disparity in welfare and consumption that explains poor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outcomes and weak HSB.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60" w:right="151"/>
        <w:jc w:val="both"/>
      </w:pPr>
      <w:r>
        <w:rPr/>
        <w:t>In</w:t>
      </w:r>
      <w:r>
        <w:rPr>
          <w:spacing w:val="-13"/>
        </w:rPr>
        <w:t> </w:t>
      </w:r>
      <w:r>
        <w:rPr/>
        <w:t>terms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regional</w:t>
      </w:r>
      <w:r>
        <w:rPr>
          <w:spacing w:val="-12"/>
        </w:rPr>
        <w:t> </w:t>
      </w:r>
      <w:r>
        <w:rPr/>
        <w:t>income</w:t>
      </w:r>
      <w:r>
        <w:rPr>
          <w:spacing w:val="-14"/>
        </w:rPr>
        <w:t> </w:t>
      </w:r>
      <w:r>
        <w:rPr/>
        <w:t>inequality,</w:t>
      </w:r>
      <w:r>
        <w:rPr>
          <w:spacing w:val="-9"/>
        </w:rPr>
        <w:t> </w:t>
      </w:r>
      <w:r>
        <w:rPr/>
        <w:t>Figure</w:t>
      </w:r>
      <w:r>
        <w:rPr>
          <w:spacing w:val="-12"/>
        </w:rPr>
        <w:t> </w:t>
      </w:r>
      <w:r>
        <w:rPr/>
        <w:t>2.3</w:t>
      </w:r>
      <w:r>
        <w:rPr>
          <w:spacing w:val="-11"/>
        </w:rPr>
        <w:t> </w:t>
      </w:r>
      <w:r>
        <w:rPr/>
        <w:t>further</w:t>
      </w:r>
      <w:r>
        <w:rPr>
          <w:spacing w:val="-14"/>
        </w:rPr>
        <w:t> </w:t>
      </w:r>
      <w:r>
        <w:rPr/>
        <w:t>shows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since</w:t>
      </w:r>
      <w:r>
        <w:rPr>
          <w:spacing w:val="-15"/>
        </w:rPr>
        <w:t> </w:t>
      </w:r>
      <w:r>
        <w:rPr/>
        <w:t>2004,</w:t>
      </w:r>
      <w:r>
        <w:rPr>
          <w:spacing w:val="-11"/>
        </w:rPr>
        <w:t> </w:t>
      </w:r>
      <w:r>
        <w:rPr/>
        <w:t>income</w:t>
      </w:r>
      <w:r>
        <w:rPr>
          <w:spacing w:val="-14"/>
        </w:rPr>
        <w:t> </w:t>
      </w:r>
      <w:r>
        <w:rPr/>
        <w:t>inequality</w:t>
      </w:r>
      <w:r>
        <w:rPr>
          <w:spacing w:val="-57"/>
        </w:rPr>
        <w:t> </w:t>
      </w:r>
      <w:r>
        <w:rPr>
          <w:spacing w:val="-1"/>
        </w:rPr>
        <w:t>increased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all</w:t>
      </w:r>
      <w:r>
        <w:rPr>
          <w:spacing w:val="-9"/>
        </w:rPr>
        <w:t> </w:t>
      </w:r>
      <w:r>
        <w:rPr>
          <w:spacing w:val="-1"/>
        </w:rPr>
        <w:t>zones</w:t>
      </w:r>
      <w:r>
        <w:rPr>
          <w:spacing w:val="-7"/>
        </w:rPr>
        <w:t> </w:t>
      </w:r>
      <w:r>
        <w:rPr/>
        <w:t>except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South-West,</w:t>
      </w:r>
      <w:r>
        <w:rPr>
          <w:spacing w:val="-9"/>
        </w:rPr>
        <w:t> </w:t>
      </w:r>
      <w:r>
        <w:rPr/>
        <w:t>where</w:t>
      </w:r>
      <w:r>
        <w:rPr>
          <w:spacing w:val="-9"/>
        </w:rPr>
        <w:t> </w:t>
      </w:r>
      <w:r>
        <w:rPr/>
        <w:t>it</w:t>
      </w:r>
      <w:r>
        <w:rPr>
          <w:spacing w:val="-6"/>
        </w:rPr>
        <w:t> </w:t>
      </w:r>
      <w:r>
        <w:rPr/>
        <w:t>declined</w:t>
      </w:r>
      <w:r>
        <w:rPr>
          <w:spacing w:val="-8"/>
        </w:rPr>
        <w:t> </w:t>
      </w:r>
      <w:r>
        <w:rPr/>
        <w:t>by</w:t>
      </w:r>
      <w:r>
        <w:rPr>
          <w:spacing w:val="-15"/>
        </w:rPr>
        <w:t> </w:t>
      </w:r>
      <w:r>
        <w:rPr/>
        <w:t>almost</w:t>
      </w:r>
      <w:r>
        <w:rPr>
          <w:spacing w:val="-7"/>
        </w:rPr>
        <w:t> </w:t>
      </w:r>
      <w:r>
        <w:rPr/>
        <w:t>2</w:t>
      </w:r>
      <w:r>
        <w:rPr>
          <w:spacing w:val="-7"/>
        </w:rPr>
        <w:t> </w:t>
      </w:r>
      <w:r>
        <w:rPr/>
        <w:t>percentage</w:t>
      </w:r>
      <w:r>
        <w:rPr>
          <w:spacing w:val="-9"/>
        </w:rPr>
        <w:t> </w:t>
      </w:r>
      <w:r>
        <w:rPr/>
        <w:t>points.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Gini coefficient rose by almost 0.13 points in the South-South and the North-East from levels at</w:t>
      </w:r>
      <w:r>
        <w:rPr>
          <w:spacing w:val="1"/>
        </w:rPr>
        <w:t> </w:t>
      </w:r>
      <w:r>
        <w:rPr/>
        <w:t>around 0.33. The largest contributors to the rapid widening in income disparity in Nigeria were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the South-South</w:t>
      </w:r>
      <w:r>
        <w:rPr>
          <w:spacing w:val="-1"/>
        </w:rPr>
        <w:t> </w:t>
      </w:r>
      <w:r>
        <w:rPr/>
        <w:t>and North-East between 2004</w:t>
      </w:r>
      <w:r>
        <w:rPr>
          <w:spacing w:val="-1"/>
        </w:rPr>
        <w:t> </w:t>
      </w:r>
      <w:r>
        <w:rPr/>
        <w:t>and 2013</w:t>
      </w:r>
      <w:r>
        <w:rPr>
          <w:spacing w:val="-1"/>
        </w:rPr>
        <w:t> </w:t>
      </w:r>
      <w:r>
        <w:rPr/>
        <w:t>(World Bank, 2016).</w:t>
      </w: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71.639999pt;margin-top:7.880498pt;width:472.45pt;height:185.2pt;mso-position-horizontal-relative:page;mso-position-vertical-relative:paragraph;z-index:-15725056;mso-wrap-distance-left:0;mso-wrap-distance-right:0" coordorigin="1433,158" coordsize="9449,3704">
            <v:shape style="position:absolute;left:2056;top:1285;width:648;height:1805" coordorigin="2057,1286" coordsize="648,1805" path="m2057,3090l2705,3090m2057,2790l2705,2790m2057,2488l2705,2488m2057,2188l2705,2188m2057,1888l2705,1888m2057,1588l2705,1588m2057,1286l2705,1286e" filled="false" stroked="true" strokeweight=".72pt" strokecolor="#d9d9d9">
              <v:path arrowok="t"/>
              <v:stroke dashstyle="solid"/>
            </v:shape>
            <v:rect style="position:absolute;left:2335;top:1309;width:370;height:2081" filled="true" fillcolor="#d9d9d9" stroked="false">
              <v:fill type="solid"/>
            </v:rect>
            <v:shape style="position:absolute;left:3076;top:1588;width:929;height:1503" coordorigin="3077,1588" coordsize="929,1503" path="m3077,3090l4006,3090m3077,2790l4006,2790m3077,2488l4006,2488m3077,2188l4006,2188m3077,1888l4006,1888m3077,1588l4006,1588e" filled="false" stroked="true" strokeweight=".72pt" strokecolor="#d9d9d9">
              <v:path arrowok="t"/>
              <v:stroke dashstyle="solid"/>
            </v:shape>
            <v:rect style="position:absolute;left:3633;top:1381;width:372;height:2009" filled="true" fillcolor="#d9d9d9" stroked="false">
              <v:fill type="solid"/>
            </v:rect>
            <v:shape style="position:absolute;left:2056;top:685;width:5847;height:600" coordorigin="2057,686" coordsize="5847,600" path="m3077,1286l4006,1286m2057,986l2705,986m3077,986l7903,986m2057,686l2705,686m3077,686l7903,686e" filled="false" stroked="true" strokeweight=".72pt" strokecolor="#d9d9d9">
              <v:path arrowok="t"/>
              <v:stroke dashstyle="solid"/>
            </v:shape>
            <v:rect style="position:absolute;left:2704;top:673;width:372;height:2717" filled="true" fillcolor="#000000" stroked="false">
              <v:fill type="solid"/>
            </v:rect>
            <v:shape style="position:absolute;left:4375;top:1285;width:2230;height:1805" coordorigin="4375,1286" coordsize="2230,1805" path="m4375,3090l5304,3090m4375,2790l5304,2790m4375,2488l5304,2488m4375,2188l5304,2188m4375,1888l5304,1888m4375,1588l5304,1588m4375,1286l6605,1286e" filled="false" stroked="true" strokeweight=".72pt" strokecolor="#d9d9d9">
              <v:path arrowok="t"/>
              <v:stroke dashstyle="solid"/>
            </v:shape>
            <v:rect style="position:absolute;left:4934;top:1273;width:370;height:2117" filled="true" fillcolor="#d9d9d9" stroked="false">
              <v:fill type="solid"/>
            </v:rect>
            <v:shape style="position:absolute;left:5676;top:1588;width:929;height:1503" coordorigin="5676,1588" coordsize="929,1503" path="m5676,3090l6605,3090m5676,2790l6605,2790m5676,2488l6605,2488m5676,2188l6605,2188m5676,1888l6605,1888m5676,1588l6605,1588e" filled="false" stroked="true" strokeweight=".72pt" strokecolor="#d9d9d9">
              <v:path arrowok="t"/>
              <v:stroke dashstyle="solid"/>
            </v:shape>
            <v:rect style="position:absolute;left:6232;top:1369;width:372;height:2021" filled="true" fillcolor="#d9d9d9" stroked="false">
              <v:fill type="solid"/>
            </v:rect>
            <v:shape style="position:absolute;left:4005;top:1016;width:1671;height:2374" coordorigin="4006,1017" coordsize="1671,2374" path="m4375,1017l4006,1017,4006,3390,4375,3390,4375,1017xm5676,1382l5304,1382,5304,3390,5676,3390,5676,1382xe" filled="true" fillcolor="#000000" stroked="false">
              <v:path arrowok="t"/>
              <v:fill type="solid"/>
            </v:shape>
            <v:shape style="position:absolute;left:6974;top:1588;width:929;height:1503" coordorigin="6974,1588" coordsize="929,1503" path="m6974,3090l7903,3090m6974,2790l7903,2790m6974,2488l7903,2488m6974,2188l7903,2188m6974,1888l7903,1888m6974,1588l7903,1588e" filled="false" stroked="true" strokeweight=".72pt" strokecolor="#d9d9d9">
              <v:path arrowok="t"/>
              <v:stroke dashstyle="solid"/>
            </v:shape>
            <v:rect style="position:absolute;left:7531;top:1393;width:372;height:1997" filled="true" fillcolor="#d9d9d9" stroked="false">
              <v:fill type="solid"/>
            </v:rect>
            <v:line style="position:absolute" from="6974,1286" to="7903,1286" stroked="true" strokeweight=".72pt" strokecolor="#d9d9d9">
              <v:stroke dashstyle="solid"/>
            </v:line>
            <v:rect style="position:absolute;left:6604;top:1261;width:370;height:2129" filled="true" fillcolor="#000000" stroked="false">
              <v:fill type="solid"/>
            </v:rect>
            <v:shape style="position:absolute;left:8275;top:1588;width:927;height:1503" coordorigin="8275,1588" coordsize="927,1503" path="m8275,3090l9202,3090m8275,2790l9202,2790m8275,2488l9202,2488m8275,2188l9202,2188m8275,1588l9202,1588e" filled="false" stroked="true" strokeweight=".72pt" strokecolor="#d9d9d9">
              <v:path arrowok="t"/>
              <v:stroke dashstyle="solid"/>
            </v:shape>
            <v:rect style="position:absolute;left:8832;top:1364;width:370;height:2026" filled="true" fillcolor="#d9d9d9" stroked="false">
              <v:fill type="solid"/>
            </v:rect>
            <v:shape style="position:absolute;left:8275;top:1282;width:1577;height:8" coordorigin="8275,1282" coordsize="1577,8" path="m8275,1289l9852,1289m8275,1282l9852,1282e" filled="false" stroked="true" strokeweight=".36pt" strokecolor="#d9d9d9">
              <v:path arrowok="t"/>
              <v:stroke dashstyle="solid"/>
            </v:shape>
            <v:shape style="position:absolute;left:8275;top:685;width:1577;height:300" coordorigin="8275,686" coordsize="1577,300" path="m8275,986l9852,986m8275,686l9852,686e" filled="false" stroked="true" strokeweight=".72pt" strokecolor="#d9d9d9">
              <v:path arrowok="t"/>
              <v:stroke dashstyle="solid"/>
            </v:shape>
            <v:rect style="position:absolute;left:7903;top:642;width:372;height:2748" filled="true" fillcolor="#000000" stroked="false">
              <v:fill type="solid"/>
            </v:rect>
            <v:shape style="position:absolute;left:9573;top:1588;width:279;height:1503" coordorigin="9574,1588" coordsize="279,1503" path="m9574,3090l9852,3090m9574,2790l9852,2790m9574,2488l9852,2488m9574,2188l9852,2188m9574,1888l9852,1888m9574,1588l9852,1588e" filled="false" stroked="true" strokeweight=".72pt" strokecolor="#d9d9d9">
              <v:path arrowok="t"/>
              <v:stroke dashstyle="solid"/>
            </v:shape>
            <v:rect style="position:absolute;left:9201;top:1285;width:372;height:2105" filled="true" fillcolor="#000000" stroked="false">
              <v:fill type="solid"/>
            </v:rect>
            <v:shape style="position:absolute;left:2056;top:385;width:7796;height:3005" coordorigin="2057,386" coordsize="7796,3005" path="m2057,3390l9852,3390m2057,386l9852,386e" filled="false" stroked="true" strokeweight=".72pt" strokecolor="#d9d9d9">
              <v:path arrowok="t"/>
              <v:stroke dashstyle="solid"/>
            </v:shape>
            <v:rect style="position:absolute;left:10166;top:1792;width:99;height:99" filled="true" fillcolor="#d9d9d9" stroked="false">
              <v:fill type="solid"/>
            </v:rect>
            <v:rect style="position:absolute;left:10166;top:2128;width:99;height:101" filled="true" fillcolor="#000000" stroked="false">
              <v:fill type="solid"/>
            </v:rect>
            <v:rect style="position:absolute;left:1440;top:164;width:9435;height:3689" filled="false" stroked="true" strokeweight=".72pt" strokecolor="#d9d9d9">
              <v:stroke dashstyle="solid"/>
            </v:rect>
            <v:shape style="position:absolute;left:1570;top:301;width:341;height:318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before="8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0.45</w:t>
                    </w:r>
                  </w:p>
                  <w:p>
                    <w:pPr>
                      <w:spacing w:before="81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</w:t>
                    </w:r>
                  </w:p>
                  <w:p>
                    <w:pPr>
                      <w:spacing w:before="8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0.35</w:t>
                    </w:r>
                  </w:p>
                  <w:p>
                    <w:pPr>
                      <w:spacing w:before="81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0.3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0.25</w:t>
                    </w:r>
                  </w:p>
                  <w:p>
                    <w:pPr>
                      <w:spacing w:before="81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</w:t>
                    </w:r>
                  </w:p>
                  <w:p>
                    <w:pPr>
                      <w:spacing w:before="8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0.15</w:t>
                    </w:r>
                  </w:p>
                  <w:p>
                    <w:pPr>
                      <w:spacing w:before="81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0.1</w:t>
                    </w:r>
                  </w:p>
                  <w:p>
                    <w:pPr>
                      <w:spacing w:before="8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0.05</w:t>
                    </w:r>
                  </w:p>
                  <w:p>
                    <w:pPr>
                      <w:spacing w:line="216" w:lineRule="exact" w:before="81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275;top:1758;width:983;height:180" type="#_x0000_t202" filled="false" stroked="false">
              <v:textbox inset="0,0,0,0">
                <w:txbxContent>
                  <w:p>
                    <w:pPr>
                      <w:tabs>
                        <w:tab w:pos="96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single" w:color="D9D9D9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0309;top:1758;width:385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2004</w:t>
                    </w:r>
                  </w:p>
                  <w:p>
                    <w:pPr>
                      <w:spacing w:line="216" w:lineRule="exact"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2013</w:t>
                    </w:r>
                  </w:p>
                </w:txbxContent>
              </v:textbox>
              <w10:wrap type="none"/>
            </v:shape>
            <v:shape style="position:absolute;left:2251;top:3542;width:7405;height:180" type="#_x0000_t202" filled="false" stroked="false">
              <v:textbox inset="0,0,0,0">
                <w:txbxContent>
                  <w:p>
                    <w:pPr>
                      <w:tabs>
                        <w:tab w:pos="1360" w:val="left" w:leader="none"/>
                        <w:tab w:pos="2622" w:val="left" w:leader="none"/>
                        <w:tab w:pos="3846" w:val="left" w:leader="none"/>
                        <w:tab w:pos="5258" w:val="left" w:leader="none"/>
                        <w:tab w:pos="652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South-South</w:t>
                      <w:tab/>
                      <w:t>South-East</w:t>
                      <w:tab/>
                      <w:t>South-West</w:t>
                      <w:tab/>
                      <w:t>North-Central</w:t>
                      <w:tab/>
                      <w:t>North-East</w:t>
                      <w:tab/>
                      <w:t>North-West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4"/>
        <w:spacing w:line="235" w:lineRule="exact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2"/>
        </w:rPr>
        <w:t> </w:t>
      </w:r>
      <w:r>
        <w:rPr/>
        <w:t>Index</w:t>
      </w:r>
      <w:r>
        <w:rPr>
          <w:spacing w:val="-1"/>
        </w:rPr>
        <w:t> </w:t>
      </w:r>
      <w:r>
        <w:rPr/>
        <w:t>of Income</w:t>
      </w:r>
      <w:r>
        <w:rPr>
          <w:spacing w:val="-2"/>
        </w:rPr>
        <w:t> </w:t>
      </w:r>
      <w:r>
        <w:rPr/>
        <w:t>Inequality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Zones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2004,</w:t>
      </w:r>
      <w:r>
        <w:rPr>
          <w:spacing w:val="-2"/>
        </w:rPr>
        <w:t> </w:t>
      </w:r>
      <w:r>
        <w:rPr/>
        <w:t>2013</w:t>
      </w:r>
    </w:p>
    <w:p>
      <w:pPr>
        <w:spacing w:before="0"/>
        <w:ind w:left="880" w:right="514" w:hanging="720"/>
        <w:jc w:val="left"/>
        <w:rPr>
          <w:sz w:val="20"/>
        </w:rPr>
      </w:pPr>
      <w:r>
        <w:rPr>
          <w:i/>
          <w:sz w:val="20"/>
        </w:rPr>
        <w:t>Source: </w:t>
      </w:r>
      <w:r>
        <w:rPr>
          <w:sz w:val="20"/>
        </w:rPr>
        <w:t>World Bank’s (2016) calculations based on National Bureau of Statistics NLSS 2003-2004 and NGHPS</w:t>
      </w:r>
      <w:r>
        <w:rPr>
          <w:spacing w:val="-47"/>
          <w:sz w:val="20"/>
        </w:rPr>
        <w:t> </w:t>
      </w:r>
      <w:r>
        <w:rPr>
          <w:sz w:val="20"/>
        </w:rPr>
        <w:t>2010-2011,</w:t>
      </w:r>
      <w:r>
        <w:rPr>
          <w:spacing w:val="-2"/>
          <w:sz w:val="20"/>
        </w:rPr>
        <w:t> </w:t>
      </w:r>
      <w:r>
        <w:rPr>
          <w:sz w:val="20"/>
        </w:rPr>
        <w:t>2012-2013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280" w:right="1280"/>
        </w:sectPr>
      </w:pPr>
    </w:p>
    <w:p>
      <w:pPr>
        <w:pStyle w:val="ListParagraph"/>
        <w:numPr>
          <w:ilvl w:val="2"/>
          <w:numId w:val="8"/>
        </w:numPr>
        <w:tabs>
          <w:tab w:pos="881" w:val="left" w:leader="none"/>
        </w:tabs>
        <w:spacing w:line="240" w:lineRule="auto" w:before="72" w:after="0"/>
        <w:ind w:left="880" w:right="0" w:hanging="721"/>
        <w:jc w:val="both"/>
        <w:rPr>
          <w:i/>
          <w:sz w:val="24"/>
        </w:rPr>
      </w:pPr>
      <w:r>
        <w:rPr>
          <w:i/>
          <w:sz w:val="24"/>
        </w:rPr>
        <w:t>Trends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Distribution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</w:t>
      </w:r>
    </w:p>
    <w:p>
      <w:pPr>
        <w:pStyle w:val="BodyText"/>
        <w:spacing w:line="360" w:lineRule="auto" w:before="24"/>
        <w:ind w:left="160" w:right="155"/>
        <w:jc w:val="both"/>
      </w:pPr>
      <w:r>
        <w:rPr/>
        <w:t>After Latin America, Africa remains the second continent with the highest level of income</w:t>
      </w:r>
      <w:r>
        <w:rPr>
          <w:spacing w:val="1"/>
        </w:rPr>
        <w:t> </w:t>
      </w:r>
      <w:r>
        <w:rPr/>
        <w:t>inequality in the world (United Nations, 2020). In 2019, the share of income going to the richest</w:t>
      </w:r>
      <w:r>
        <w:rPr>
          <w:spacing w:val="1"/>
        </w:rPr>
        <w:t> </w:t>
      </w:r>
      <w:r>
        <w:rPr/>
        <w:t>0.001% of Africans is 40% of the continent’s entire wealth (World Income Inequality Database,</w:t>
      </w:r>
      <w:r>
        <w:rPr>
          <w:spacing w:val="1"/>
        </w:rPr>
        <w:t> </w:t>
      </w:r>
      <w:r>
        <w:rPr/>
        <w:t>2019). This demonstrates that despite economic progress in some countries in Africa, income are</w:t>
      </w:r>
      <w:r>
        <w:rPr>
          <w:spacing w:val="-57"/>
        </w:rPr>
        <w:t> </w:t>
      </w:r>
      <w:r>
        <w:rPr/>
        <w:t>increasingly</w:t>
      </w:r>
      <w:r>
        <w:rPr>
          <w:spacing w:val="-6"/>
        </w:rPr>
        <w:t> </w:t>
      </w:r>
      <w:r>
        <w:rPr/>
        <w:t>concentrated at the</w:t>
      </w:r>
      <w:r>
        <w:rPr>
          <w:spacing w:val="-1"/>
        </w:rPr>
        <w:t> </w:t>
      </w:r>
      <w:r>
        <w:rPr/>
        <w:t>extreme upper-end of the</w:t>
      </w:r>
      <w:r>
        <w:rPr>
          <w:spacing w:val="-2"/>
        </w:rPr>
        <w:t> </w:t>
      </w:r>
      <w:r>
        <w:rPr/>
        <w:t>income</w:t>
      </w:r>
      <w:r>
        <w:rPr>
          <w:spacing w:val="-1"/>
        </w:rPr>
        <w:t> </w:t>
      </w:r>
      <w:r>
        <w:rPr/>
        <w:t>distribution.</w:t>
      </w:r>
    </w:p>
    <w:p>
      <w:pPr>
        <w:pStyle w:val="BodyText"/>
        <w:spacing w:line="360" w:lineRule="auto" w:before="229"/>
        <w:ind w:left="160" w:right="153"/>
        <w:jc w:val="both"/>
      </w:pPr>
      <w:r>
        <w:rPr>
          <w:spacing w:val="-1"/>
        </w:rPr>
        <w:t>Table</w:t>
      </w:r>
      <w:r>
        <w:rPr>
          <w:spacing w:val="-13"/>
        </w:rPr>
        <w:t> </w:t>
      </w:r>
      <w:r>
        <w:rPr>
          <w:spacing w:val="-1"/>
        </w:rPr>
        <w:t>2.1</w:t>
      </w:r>
      <w:r>
        <w:rPr>
          <w:spacing w:val="-11"/>
        </w:rPr>
        <w:t> </w:t>
      </w:r>
      <w:r>
        <w:rPr>
          <w:spacing w:val="-1"/>
        </w:rPr>
        <w:t>shows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comparative</w:t>
      </w:r>
      <w:r>
        <w:rPr>
          <w:spacing w:val="-12"/>
        </w:rPr>
        <w:t> </w:t>
      </w:r>
      <w:r>
        <w:rPr/>
        <w:t>statistics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income</w:t>
      </w:r>
      <w:r>
        <w:rPr>
          <w:spacing w:val="-12"/>
        </w:rPr>
        <w:t> </w:t>
      </w:r>
      <w:r>
        <w:rPr/>
        <w:t>inequality</w:t>
      </w:r>
      <w:r>
        <w:rPr>
          <w:spacing w:val="-17"/>
        </w:rPr>
        <w:t> </w:t>
      </w:r>
      <w:r>
        <w:rPr/>
        <w:t>for</w:t>
      </w:r>
      <w:r>
        <w:rPr>
          <w:spacing w:val="-13"/>
        </w:rPr>
        <w:t> </w:t>
      </w:r>
      <w:r>
        <w:rPr/>
        <w:t>selected</w:t>
      </w:r>
      <w:r>
        <w:rPr>
          <w:spacing w:val="-10"/>
        </w:rPr>
        <w:t> </w:t>
      </w:r>
      <w:r>
        <w:rPr/>
        <w:t>African</w:t>
      </w:r>
      <w:r>
        <w:rPr>
          <w:spacing w:val="-12"/>
        </w:rPr>
        <w:t> </w:t>
      </w:r>
      <w:r>
        <w:rPr/>
        <w:t>countries</w:t>
      </w:r>
      <w:r>
        <w:rPr>
          <w:spacing w:val="-11"/>
        </w:rPr>
        <w:t> </w:t>
      </w:r>
      <w:r>
        <w:rPr/>
        <w:t>from</w:t>
      </w:r>
      <w:r>
        <w:rPr>
          <w:spacing w:val="-58"/>
        </w:rPr>
        <w:t> </w:t>
      </w:r>
      <w:r>
        <w:rPr/>
        <w:t>1990 to 2015. Between these periods, income inequality as measured by the Gini-coefficient</w:t>
      </w:r>
      <w:r>
        <w:rPr>
          <w:spacing w:val="1"/>
        </w:rPr>
        <w:t> </w:t>
      </w:r>
      <w:r>
        <w:rPr/>
        <w:t>increased</w:t>
      </w:r>
      <w:r>
        <w:rPr>
          <w:spacing w:val="-12"/>
        </w:rPr>
        <w:t> </w:t>
      </w:r>
      <w:r>
        <w:rPr/>
        <w:t>steadily</w:t>
      </w:r>
      <w:r>
        <w:rPr>
          <w:spacing w:val="-17"/>
        </w:rPr>
        <w:t> </w:t>
      </w:r>
      <w:r>
        <w:rPr/>
        <w:t>in</w:t>
      </w:r>
      <w:r>
        <w:rPr>
          <w:spacing w:val="-12"/>
        </w:rPr>
        <w:t> </w:t>
      </w:r>
      <w:r>
        <w:rPr/>
        <w:t>5</w:t>
      </w:r>
      <w:r>
        <w:rPr>
          <w:spacing w:val="-10"/>
        </w:rPr>
        <w:t> </w:t>
      </w:r>
      <w:r>
        <w:rPr/>
        <w:t>out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6</w:t>
      </w:r>
      <w:r>
        <w:rPr>
          <w:spacing w:val="-12"/>
        </w:rPr>
        <w:t> </w:t>
      </w:r>
      <w:r>
        <w:rPr/>
        <w:t>selected</w:t>
      </w:r>
      <w:r>
        <w:rPr>
          <w:spacing w:val="-11"/>
        </w:rPr>
        <w:t> </w:t>
      </w:r>
      <w:r>
        <w:rPr/>
        <w:t>countries.</w:t>
      </w:r>
      <w:r>
        <w:rPr>
          <w:spacing w:val="-9"/>
        </w:rPr>
        <w:t> </w:t>
      </w:r>
      <w:r>
        <w:rPr/>
        <w:t>The</w:t>
      </w:r>
      <w:r>
        <w:rPr>
          <w:spacing w:val="-14"/>
        </w:rPr>
        <w:t> </w:t>
      </w:r>
      <w:r>
        <w:rPr/>
        <w:t>income</w:t>
      </w:r>
      <w:r>
        <w:rPr>
          <w:spacing w:val="-13"/>
        </w:rPr>
        <w:t> </w:t>
      </w:r>
      <w:r>
        <w:rPr/>
        <w:t>disparity</w:t>
      </w:r>
      <w:r>
        <w:rPr>
          <w:spacing w:val="-16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14"/>
        </w:rPr>
        <w:t> </w:t>
      </w:r>
      <w:r>
        <w:rPr/>
        <w:t>increase</w:t>
      </w:r>
      <w:r>
        <w:rPr>
          <w:spacing w:val="-13"/>
        </w:rPr>
        <w:t> </w:t>
      </w:r>
      <w:r>
        <w:rPr/>
        <w:t>slightly</w:t>
      </w:r>
      <w:r>
        <w:rPr>
          <w:spacing w:val="-57"/>
        </w:rPr>
        <w:t> </w:t>
      </w:r>
      <w:r>
        <w:rPr/>
        <w:t>from</w:t>
      </w:r>
      <w:r>
        <w:rPr>
          <w:spacing w:val="4"/>
        </w:rPr>
        <w:t> </w:t>
      </w:r>
      <w:r>
        <w:rPr/>
        <w:t>0.44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1990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0.45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2010</w:t>
      </w:r>
      <w:r>
        <w:rPr>
          <w:spacing w:val="4"/>
        </w:rPr>
        <w:t> </w:t>
      </w:r>
      <w:r>
        <w:rPr/>
        <w:t>(see</w:t>
      </w:r>
      <w:r>
        <w:rPr>
          <w:spacing w:val="3"/>
        </w:rPr>
        <w:t> </w:t>
      </w:r>
      <w:r>
        <w:rPr/>
        <w:t>SWIID,</w:t>
      </w:r>
      <w:r>
        <w:rPr>
          <w:spacing w:val="6"/>
        </w:rPr>
        <w:t> </w:t>
      </w:r>
      <w:r>
        <w:rPr/>
        <w:t>2018),</w:t>
      </w:r>
      <w:r>
        <w:rPr>
          <w:spacing w:val="3"/>
        </w:rPr>
        <w:t> </w:t>
      </w:r>
      <w:r>
        <w:rPr/>
        <w:t>with</w:t>
      </w:r>
      <w:r>
        <w:rPr>
          <w:spacing w:val="5"/>
        </w:rPr>
        <w:t> </w:t>
      </w:r>
      <w:r>
        <w:rPr/>
        <w:t>Gini</w:t>
      </w:r>
      <w:r>
        <w:rPr>
          <w:spacing w:val="4"/>
        </w:rPr>
        <w:t> </w:t>
      </w:r>
      <w:r>
        <w:rPr/>
        <w:t>coefficient-adjusted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health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line="360" w:lineRule="auto" w:before="1"/>
        <w:ind w:left="160" w:right="154"/>
        <w:jc w:val="both"/>
      </w:pPr>
      <w:r>
        <w:rPr/>
        <w:t>0.43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2015</w:t>
      </w:r>
      <w:r>
        <w:rPr>
          <w:spacing w:val="-5"/>
        </w:rPr>
        <w:t> </w:t>
      </w:r>
      <w:r>
        <w:rPr/>
        <w:t>(UNDP,</w:t>
      </w:r>
      <w:r>
        <w:rPr>
          <w:spacing w:val="-6"/>
        </w:rPr>
        <w:t> </w:t>
      </w:r>
      <w:r>
        <w:rPr/>
        <w:t>2019).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figure</w:t>
      </w:r>
      <w:r>
        <w:rPr>
          <w:spacing w:val="-7"/>
        </w:rPr>
        <w:t> </w:t>
      </w:r>
      <w:r>
        <w:rPr/>
        <w:t>suggest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wide</w:t>
      </w:r>
      <w:r>
        <w:rPr>
          <w:spacing w:val="-5"/>
        </w:rPr>
        <w:t> </w:t>
      </w:r>
      <w:r>
        <w:rPr/>
        <w:t>gap</w:t>
      </w:r>
      <w:r>
        <w:rPr>
          <w:spacing w:val="-3"/>
        </w:rPr>
        <w:t> </w:t>
      </w:r>
      <w:r>
        <w:rPr/>
        <w:t>exists</w:t>
      </w:r>
      <w:r>
        <w:rPr>
          <w:spacing w:val="-6"/>
        </w:rPr>
        <w:t> </w:t>
      </w:r>
      <w:r>
        <w:rPr/>
        <w:t>among</w:t>
      </w:r>
      <w:r>
        <w:rPr>
          <w:spacing w:val="-5"/>
        </w:rPr>
        <w:t> </w:t>
      </w:r>
      <w:r>
        <w:rPr/>
        <w:t>households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Cote</w:t>
      </w:r>
      <w:r>
        <w:rPr>
          <w:spacing w:val="-6"/>
        </w:rPr>
        <w:t> </w:t>
      </w:r>
      <w:r>
        <w:rPr/>
        <w:t>d’Ivoire</w:t>
      </w:r>
      <w:r>
        <w:rPr>
          <w:spacing w:val="-5"/>
        </w:rPr>
        <w:t> </w:t>
      </w:r>
      <w:r>
        <w:rPr/>
        <w:t>whose</w:t>
      </w:r>
      <w:r>
        <w:rPr>
          <w:spacing w:val="-8"/>
        </w:rPr>
        <w:t> </w:t>
      </w:r>
      <w:r>
        <w:rPr/>
        <w:t>index</w:t>
      </w:r>
      <w:r>
        <w:rPr>
          <w:spacing w:val="-4"/>
        </w:rPr>
        <w:t> </w:t>
      </w:r>
      <w:r>
        <w:rPr/>
        <w:t>fell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0.42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2000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0.37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2010,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0.38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2015.</w:t>
      </w:r>
      <w:r>
        <w:rPr>
          <w:spacing w:val="-5"/>
        </w:rPr>
        <w:t> </w:t>
      </w:r>
      <w:r>
        <w:rPr/>
        <w:t>For</w:t>
      </w:r>
      <w:r>
        <w:rPr>
          <w:spacing w:val="-58"/>
        </w:rPr>
        <w:t> </w:t>
      </w:r>
      <w:r>
        <w:rPr/>
        <w:t>Ghana, the inequality rose slightly from 0.34 in 1990 to 0.35 in 2005, and and a further to 0.38 in</w:t>
      </w:r>
      <w:r>
        <w:rPr>
          <w:spacing w:val="-57"/>
        </w:rPr>
        <w:t> </w:t>
      </w:r>
      <w:r>
        <w:rPr/>
        <w:t>2015.</w:t>
      </w:r>
    </w:p>
    <w:p>
      <w:pPr>
        <w:pStyle w:val="BodyText"/>
        <w:spacing w:before="3"/>
      </w:pPr>
    </w:p>
    <w:p>
      <w:pPr>
        <w:pStyle w:val="Heading4"/>
        <w:spacing w:after="3"/>
      </w:pPr>
      <w:r>
        <w:rPr/>
        <w:t>Table</w:t>
      </w:r>
      <w:r>
        <w:rPr>
          <w:spacing w:val="-2"/>
        </w:rPr>
        <w:t> </w:t>
      </w:r>
      <w:r>
        <w:rPr/>
        <w:t>2.1:</w:t>
      </w:r>
      <w:r>
        <w:rPr>
          <w:spacing w:val="-2"/>
        </w:rPr>
        <w:t> </w:t>
      </w:r>
      <w:r>
        <w:rPr/>
        <w:t>Trends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Gini-Coefficient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Africa</w:t>
      </w:r>
      <w:r>
        <w:rPr>
          <w:spacing w:val="-2"/>
        </w:rPr>
        <w:t> </w:t>
      </w:r>
      <w:r>
        <w:rPr/>
        <w:t>Countries,</w:t>
      </w:r>
      <w:r>
        <w:rPr>
          <w:spacing w:val="-1"/>
        </w:rPr>
        <w:t> </w:t>
      </w:r>
      <w:r>
        <w:rPr/>
        <w:t>1990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2015*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7"/>
        <w:gridCol w:w="1080"/>
        <w:gridCol w:w="989"/>
        <w:gridCol w:w="900"/>
        <w:gridCol w:w="991"/>
        <w:gridCol w:w="989"/>
        <w:gridCol w:w="1075"/>
      </w:tblGrid>
      <w:tr>
        <w:trPr>
          <w:trHeight w:val="318" w:hRule="atLeast"/>
        </w:trPr>
        <w:tc>
          <w:tcPr>
            <w:tcW w:w="3327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Countries</w:t>
            </w:r>
          </w:p>
        </w:tc>
        <w:tc>
          <w:tcPr>
            <w:tcW w:w="1080" w:type="dxa"/>
          </w:tcPr>
          <w:p>
            <w:pPr>
              <w:pStyle w:val="TableParagraph"/>
              <w:spacing w:line="275" w:lineRule="exact"/>
              <w:ind w:left="29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1990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25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2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/>
              <w:ind w:left="203" w:right="19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25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075" w:type="dxa"/>
          </w:tcPr>
          <w:p>
            <w:pPr>
              <w:pStyle w:val="TableParagraph"/>
              <w:spacing w:line="275" w:lineRule="exact"/>
              <w:ind w:left="23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2015*</w:t>
            </w:r>
          </w:p>
        </w:tc>
      </w:tr>
      <w:tr>
        <w:trPr>
          <w:trHeight w:val="316" w:hRule="atLeast"/>
        </w:trPr>
        <w:tc>
          <w:tcPr>
            <w:tcW w:w="3327" w:type="dxa"/>
          </w:tcPr>
          <w:p>
            <w:pPr>
              <w:pStyle w:val="TableParagraph"/>
              <w:spacing w:line="271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Nigeria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(WA)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/>
              <w:ind w:left="2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0.447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0.458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23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0.45</w:t>
            </w:r>
          </w:p>
        </w:tc>
        <w:tc>
          <w:tcPr>
            <w:tcW w:w="991" w:type="dxa"/>
          </w:tcPr>
          <w:p>
            <w:pPr>
              <w:pStyle w:val="TableParagraph"/>
              <w:spacing w:line="271" w:lineRule="exact"/>
              <w:ind w:left="203" w:right="1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0.446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/>
              <w:ind w:left="22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0.452</w:t>
            </w:r>
          </w:p>
        </w:tc>
        <w:tc>
          <w:tcPr>
            <w:tcW w:w="1075" w:type="dxa"/>
          </w:tcPr>
          <w:p>
            <w:pPr>
              <w:pStyle w:val="TableParagraph"/>
              <w:spacing w:line="271" w:lineRule="exact"/>
              <w:ind w:left="2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0.432</w:t>
            </w:r>
          </w:p>
        </w:tc>
      </w:tr>
      <w:tr>
        <w:trPr>
          <w:trHeight w:val="316" w:hRule="atLeast"/>
        </w:trPr>
        <w:tc>
          <w:tcPr>
            <w:tcW w:w="332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Ghana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(WA)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2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0.345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0.332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0.372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203" w:right="1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0.347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22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0.370</w:t>
            </w:r>
          </w:p>
        </w:tc>
        <w:tc>
          <w:tcPr>
            <w:tcW w:w="1075" w:type="dxa"/>
          </w:tcPr>
          <w:p>
            <w:pPr>
              <w:pStyle w:val="TableParagraph"/>
              <w:spacing w:line="270" w:lineRule="exact"/>
              <w:ind w:left="2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0.377</w:t>
            </w:r>
          </w:p>
        </w:tc>
      </w:tr>
      <w:tr>
        <w:trPr>
          <w:trHeight w:val="318" w:hRule="atLeast"/>
        </w:trPr>
        <w:tc>
          <w:tcPr>
            <w:tcW w:w="3327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d’Ivoire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(WA)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2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0.345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0.339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7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0.424</w:t>
            </w:r>
          </w:p>
        </w:tc>
        <w:tc>
          <w:tcPr>
            <w:tcW w:w="991" w:type="dxa"/>
          </w:tcPr>
          <w:p>
            <w:pPr>
              <w:pStyle w:val="TableParagraph"/>
              <w:spacing w:line="273" w:lineRule="exact"/>
              <w:ind w:left="203" w:right="1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0.385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22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0.366</w:t>
            </w:r>
          </w:p>
        </w:tc>
        <w:tc>
          <w:tcPr>
            <w:tcW w:w="1075" w:type="dxa"/>
          </w:tcPr>
          <w:p>
            <w:pPr>
              <w:pStyle w:val="TableParagraph"/>
              <w:spacing w:line="273" w:lineRule="exact"/>
              <w:ind w:left="2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0.379</w:t>
            </w:r>
          </w:p>
        </w:tc>
      </w:tr>
      <w:tr>
        <w:trPr>
          <w:trHeight w:val="316" w:hRule="atLeast"/>
        </w:trPr>
        <w:tc>
          <w:tcPr>
            <w:tcW w:w="332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Botswana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(SA)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2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0.564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0.568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23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0.58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203" w:right="1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0.575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22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0.589</w:t>
            </w:r>
          </w:p>
        </w:tc>
        <w:tc>
          <w:tcPr>
            <w:tcW w:w="1075" w:type="dxa"/>
          </w:tcPr>
          <w:p>
            <w:pPr>
              <w:pStyle w:val="TableParagraph"/>
              <w:spacing w:line="270" w:lineRule="exact"/>
              <w:ind w:left="2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0.335</w:t>
            </w:r>
          </w:p>
        </w:tc>
      </w:tr>
      <w:tr>
        <w:trPr>
          <w:trHeight w:val="318" w:hRule="atLeast"/>
        </w:trPr>
        <w:tc>
          <w:tcPr>
            <w:tcW w:w="332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Africa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(SA)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2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0.561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2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0.562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0.567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203" w:right="1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0.581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22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0.586</w:t>
            </w:r>
          </w:p>
        </w:tc>
        <w:tc>
          <w:tcPr>
            <w:tcW w:w="1075" w:type="dxa"/>
          </w:tcPr>
          <w:p>
            <w:pPr>
              <w:pStyle w:val="TableParagraph"/>
              <w:spacing w:line="270" w:lineRule="exact"/>
              <w:ind w:left="2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0.316</w:t>
            </w:r>
          </w:p>
        </w:tc>
      </w:tr>
      <w:tr>
        <w:trPr>
          <w:trHeight w:val="316" w:hRule="atLeast"/>
        </w:trPr>
        <w:tc>
          <w:tcPr>
            <w:tcW w:w="332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Republic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Congo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(CA)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33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N/A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2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N/A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0.421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203" w:right="1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0.429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22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0.437</w:t>
            </w:r>
          </w:p>
        </w:tc>
        <w:tc>
          <w:tcPr>
            <w:tcW w:w="1075" w:type="dxa"/>
          </w:tcPr>
          <w:p>
            <w:pPr>
              <w:pStyle w:val="TableParagraph"/>
              <w:spacing w:line="270" w:lineRule="exact"/>
              <w:ind w:left="2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0.477</w:t>
            </w:r>
          </w:p>
        </w:tc>
      </w:tr>
    </w:tbl>
    <w:p>
      <w:pPr>
        <w:spacing w:before="0"/>
        <w:ind w:left="930" w:right="0" w:hanging="771"/>
        <w:jc w:val="left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1"/>
          <w:sz w:val="20"/>
        </w:rPr>
        <w:t> </w:t>
      </w:r>
      <w:r>
        <w:rPr>
          <w:sz w:val="20"/>
        </w:rPr>
        <w:t>SWIID (2018) for 1990-2010; where WA, NA, CA, and SA represent West Africa, Central Africa and</w:t>
      </w:r>
      <w:r>
        <w:rPr>
          <w:spacing w:val="1"/>
          <w:sz w:val="20"/>
        </w:rPr>
        <w:t> </w:t>
      </w:r>
      <w:r>
        <w:rPr>
          <w:sz w:val="20"/>
        </w:rPr>
        <w:t>Southern</w:t>
      </w:r>
      <w:r>
        <w:rPr>
          <w:spacing w:val="-1"/>
          <w:sz w:val="20"/>
        </w:rPr>
        <w:t> </w:t>
      </w:r>
      <w:r>
        <w:rPr>
          <w:sz w:val="20"/>
        </w:rPr>
        <w:t>Africa</w:t>
      </w:r>
      <w:r>
        <w:rPr>
          <w:spacing w:val="-2"/>
          <w:sz w:val="20"/>
        </w:rPr>
        <w:t> </w:t>
      </w:r>
      <w:r>
        <w:rPr>
          <w:sz w:val="20"/>
        </w:rPr>
        <w:t>sub-regions</w:t>
      </w:r>
      <w:r>
        <w:rPr>
          <w:spacing w:val="-2"/>
          <w:sz w:val="20"/>
        </w:rPr>
        <w:t> </w:t>
      </w:r>
      <w:r>
        <w:rPr>
          <w:sz w:val="20"/>
        </w:rPr>
        <w:t>respectively</w:t>
      </w:r>
      <w:r>
        <w:rPr>
          <w:spacing w:val="-1"/>
          <w:sz w:val="20"/>
        </w:rPr>
        <w:t> </w:t>
      </w:r>
      <w:r>
        <w:rPr>
          <w:sz w:val="20"/>
        </w:rPr>
        <w:t>*</w:t>
      </w:r>
      <w:r>
        <w:rPr>
          <w:spacing w:val="-5"/>
          <w:sz w:val="20"/>
        </w:rPr>
        <w:t> </w:t>
      </w:r>
      <w:r>
        <w:rPr>
          <w:sz w:val="20"/>
        </w:rPr>
        <w:t>denoted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2015</w:t>
      </w:r>
      <w:r>
        <w:rPr>
          <w:spacing w:val="-1"/>
          <w:sz w:val="20"/>
        </w:rPr>
        <w:t> </w:t>
      </w:r>
      <w:r>
        <w:rPr>
          <w:sz w:val="20"/>
        </w:rPr>
        <w:t>figure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adjusted</w:t>
      </w:r>
      <w:r>
        <w:rPr>
          <w:spacing w:val="-1"/>
          <w:sz w:val="20"/>
        </w:rPr>
        <w:t> </w:t>
      </w:r>
      <w:r>
        <w:rPr>
          <w:sz w:val="20"/>
        </w:rPr>
        <w:t>to health</w:t>
      </w:r>
      <w:r>
        <w:rPr>
          <w:spacing w:val="-3"/>
          <w:sz w:val="20"/>
        </w:rPr>
        <w:t> </w:t>
      </w:r>
      <w:r>
        <w:rPr>
          <w:sz w:val="20"/>
        </w:rPr>
        <w:t>(UNDP,</w:t>
      </w:r>
      <w:r>
        <w:rPr>
          <w:spacing w:val="-1"/>
          <w:sz w:val="20"/>
        </w:rPr>
        <w:t> </w:t>
      </w:r>
      <w:r>
        <w:rPr>
          <w:sz w:val="20"/>
        </w:rPr>
        <w:t>2019)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5"/>
        <w:ind w:left="160" w:right="159"/>
        <w:jc w:val="both"/>
      </w:pPr>
      <w:r>
        <w:rPr/>
        <w:t>This evidence (as presented in Table 2.1) suggests that highly unequal societies in Africa are less</w:t>
      </w:r>
      <w:r>
        <w:rPr>
          <w:spacing w:val="-57"/>
        </w:rPr>
        <w:t> </w:t>
      </w:r>
      <w:r>
        <w:rPr/>
        <w:t>effective at reducing poverty than those with low levels of income inequality (IMF, 2018). It also</w:t>
      </w:r>
      <w:r>
        <w:rPr>
          <w:spacing w:val="-57"/>
        </w:rPr>
        <w:t> </w:t>
      </w:r>
      <w:r>
        <w:rPr>
          <w:spacing w:val="-1"/>
        </w:rPr>
        <w:t>reveal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/>
        <w:t>inequality</w:t>
      </w:r>
      <w:r>
        <w:rPr>
          <w:spacing w:val="-17"/>
        </w:rPr>
        <w:t> </w:t>
      </w:r>
      <w:r>
        <w:rPr/>
        <w:t>in</w:t>
      </w:r>
      <w:r>
        <w:rPr>
          <w:spacing w:val="-12"/>
        </w:rPr>
        <w:t> </w:t>
      </w:r>
      <w:r>
        <w:rPr/>
        <w:t>income</w:t>
      </w:r>
      <w:r>
        <w:rPr>
          <w:spacing w:val="-13"/>
        </w:rPr>
        <w:t> </w:t>
      </w:r>
      <w:r>
        <w:rPr/>
        <w:t>distribution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grown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most</w:t>
      </w:r>
      <w:r>
        <w:rPr>
          <w:spacing w:val="-12"/>
        </w:rPr>
        <w:t> </w:t>
      </w:r>
      <w:r>
        <w:rPr/>
        <w:t>African</w:t>
      </w:r>
      <w:r>
        <w:rPr>
          <w:spacing w:val="-10"/>
        </w:rPr>
        <w:t> </w:t>
      </w:r>
      <w:r>
        <w:rPr/>
        <w:t>countries</w:t>
      </w:r>
      <w:r>
        <w:rPr>
          <w:spacing w:val="-12"/>
        </w:rPr>
        <w:t> </w:t>
      </w:r>
      <w:r>
        <w:rPr/>
        <w:t>over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last</w:t>
      </w:r>
      <w:r>
        <w:rPr>
          <w:spacing w:val="-12"/>
        </w:rPr>
        <w:t> </w:t>
      </w:r>
      <w:r>
        <w:rPr/>
        <w:t>three</w:t>
      </w:r>
      <w:r>
        <w:rPr>
          <w:spacing w:val="-57"/>
        </w:rPr>
        <w:t> </w:t>
      </w:r>
      <w:r>
        <w:rPr/>
        <w:t>decades. Though the levels and trends differ among countries that are at similar levels of growth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equally</w:t>
      </w:r>
      <w:r>
        <w:rPr>
          <w:spacing w:val="-7"/>
        </w:rPr>
        <w:t> </w:t>
      </w:r>
      <w:r>
        <w:rPr/>
        <w:t>exposed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trade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even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climate</w:t>
      </w:r>
      <w:r>
        <w:rPr>
          <w:spacing w:val="-3"/>
        </w:rPr>
        <w:t> </w:t>
      </w:r>
      <w:r>
        <w:rPr/>
        <w:t>change.</w:t>
      </w:r>
      <w:r>
        <w:rPr>
          <w:spacing w:val="-1"/>
        </w:rPr>
        <w:t> </w:t>
      </w:r>
      <w:r>
        <w:rPr/>
        <w:t>Therefore,</w:t>
      </w:r>
      <w:r>
        <w:rPr>
          <w:spacing w:val="-58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discount</w:t>
      </w:r>
      <w:r>
        <w:rPr>
          <w:spacing w:val="-3"/>
        </w:rPr>
        <w:t> </w:t>
      </w:r>
      <w:r>
        <w:rPr/>
        <w:t>these</w:t>
      </w:r>
      <w:r>
        <w:rPr>
          <w:spacing w:val="-4"/>
        </w:rPr>
        <w:t> </w:t>
      </w:r>
      <w:r>
        <w:rPr/>
        <w:t>levels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income</w:t>
      </w:r>
      <w:r>
        <w:rPr>
          <w:spacing w:val="-4"/>
        </w:rPr>
        <w:t> </w:t>
      </w:r>
      <w:r>
        <w:rPr/>
        <w:t>inequality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human capital</w:t>
      </w:r>
      <w:r>
        <w:rPr>
          <w:spacing w:val="-2"/>
        </w:rPr>
        <w:t> </w:t>
      </w:r>
      <w:r>
        <w:rPr/>
        <w:t>index,</w:t>
      </w:r>
      <w:r>
        <w:rPr>
          <w:spacing w:val="-3"/>
        </w:rPr>
        <w:t> </w:t>
      </w:r>
      <w:r>
        <w:rPr/>
        <w:t>particularly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health</w:t>
      </w:r>
      <w:r>
        <w:rPr>
          <w:spacing w:val="-1"/>
        </w:rPr>
        <w:t> </w:t>
      </w:r>
      <w:r>
        <w:rPr/>
        <w:t>indicators.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called</w:t>
      </w:r>
      <w:r>
        <w:rPr>
          <w:spacing w:val="-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inequality-adjusted</w:t>
      </w:r>
      <w:r>
        <w:rPr>
          <w:spacing w:val="-1"/>
        </w:rPr>
        <w:t> </w:t>
      </w:r>
      <w:r>
        <w:rPr/>
        <w:t>to health</w:t>
      </w:r>
      <w:r>
        <w:rPr>
          <w:spacing w:val="-1"/>
        </w:rPr>
        <w:t> </w:t>
      </w:r>
      <w:r>
        <w:rPr/>
        <w:t>(United</w:t>
      </w:r>
      <w:r>
        <w:rPr>
          <w:spacing w:val="-1"/>
        </w:rPr>
        <w:t> </w:t>
      </w:r>
      <w:r>
        <w:rPr/>
        <w:t>Nations,</w:t>
      </w:r>
      <w:r>
        <w:rPr>
          <w:spacing w:val="-1"/>
        </w:rPr>
        <w:t> </w:t>
      </w:r>
      <w:r>
        <w:rPr/>
        <w:t>2020).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ListParagraph"/>
        <w:numPr>
          <w:ilvl w:val="2"/>
          <w:numId w:val="8"/>
        </w:numPr>
        <w:tabs>
          <w:tab w:pos="881" w:val="left" w:leader="none"/>
        </w:tabs>
        <w:spacing w:line="240" w:lineRule="auto" w:before="72" w:after="0"/>
        <w:ind w:left="880" w:right="0" w:hanging="721"/>
        <w:jc w:val="both"/>
        <w:rPr>
          <w:i/>
          <w:sz w:val="24"/>
        </w:rPr>
      </w:pPr>
      <w:r>
        <w:rPr>
          <w:i/>
          <w:sz w:val="24"/>
        </w:rPr>
        <w:t>Income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Inequality-Adjusted-to-Health</w:t>
      </w:r>
    </w:p>
    <w:p>
      <w:pPr>
        <w:pStyle w:val="BodyText"/>
        <w:spacing w:line="360" w:lineRule="auto" w:before="24"/>
        <w:ind w:left="160" w:right="154"/>
        <w:jc w:val="both"/>
      </w:pPr>
      <w:r>
        <w:rPr/>
        <w:t>A growing economy is reflected by the nature of its human capital (especially those that concern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education).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United</w:t>
      </w:r>
      <w:r>
        <w:rPr>
          <w:spacing w:val="-14"/>
        </w:rPr>
        <w:t> </w:t>
      </w:r>
      <w:r>
        <w:rPr/>
        <w:t>Nations</w:t>
      </w:r>
      <w:r>
        <w:rPr>
          <w:spacing w:val="-15"/>
        </w:rPr>
        <w:t> </w:t>
      </w:r>
      <w:r>
        <w:rPr/>
        <w:t>(2018)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IMF</w:t>
      </w:r>
      <w:r>
        <w:rPr>
          <w:spacing w:val="-14"/>
        </w:rPr>
        <w:t> </w:t>
      </w:r>
      <w:r>
        <w:rPr/>
        <w:t>(2018:19)</w:t>
      </w:r>
      <w:r>
        <w:rPr>
          <w:spacing w:val="-13"/>
        </w:rPr>
        <w:t> </w:t>
      </w:r>
      <w:r>
        <w:rPr/>
        <w:t>opine</w:t>
      </w:r>
      <w:r>
        <w:rPr>
          <w:spacing w:val="-13"/>
        </w:rPr>
        <w:t> </w:t>
      </w:r>
      <w:r>
        <w:rPr/>
        <w:t>that,</w:t>
      </w:r>
      <w:r>
        <w:rPr>
          <w:spacing w:val="-15"/>
        </w:rPr>
        <w:t> </w:t>
      </w:r>
      <w:r>
        <w:rPr/>
        <w:t>income</w:t>
      </w:r>
      <w:r>
        <w:rPr>
          <w:spacing w:val="-16"/>
        </w:rPr>
        <w:t> </w:t>
      </w:r>
      <w:r>
        <w:rPr/>
        <w:t>inequality</w:t>
      </w:r>
      <w:r>
        <w:rPr>
          <w:spacing w:val="-57"/>
        </w:rPr>
        <w:t> </w:t>
      </w:r>
      <w:r>
        <w:rPr/>
        <w:t>associated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poverty.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implies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reduction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12"/>
        </w:rPr>
        <w:t> </w:t>
      </w:r>
      <w:r>
        <w:rPr/>
        <w:t>improves</w:t>
      </w:r>
      <w:r>
        <w:rPr>
          <w:spacing w:val="-5"/>
        </w:rPr>
        <w:t> </w:t>
      </w:r>
      <w:r>
        <w:rPr/>
        <w:t>human</w:t>
      </w:r>
      <w:r>
        <w:rPr>
          <w:spacing w:val="-7"/>
        </w:rPr>
        <w:t> </w:t>
      </w:r>
      <w:r>
        <w:rPr/>
        <w:t>capital.</w:t>
      </w:r>
      <w:r>
        <w:rPr>
          <w:spacing w:val="-58"/>
        </w:rPr>
        <w:t> </w:t>
      </w:r>
      <w:r>
        <w:rPr/>
        <w:t>Thus, the income inequality-adjusted consider the country’s average achievements in health and</w:t>
      </w:r>
      <w:r>
        <w:rPr>
          <w:spacing w:val="1"/>
        </w:rPr>
        <w:t> </w:t>
      </w:r>
      <w:r>
        <w:rPr/>
        <w:t>education by discounting each dimension of human capital index to income inequality level. For</w:t>
      </w:r>
      <w:r>
        <w:rPr>
          <w:spacing w:val="1"/>
        </w:rPr>
        <w:t> </w:t>
      </w:r>
      <w:r>
        <w:rPr/>
        <w:t>example,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income</w:t>
      </w:r>
      <w:r>
        <w:rPr>
          <w:spacing w:val="-6"/>
        </w:rPr>
        <w:t> </w:t>
      </w:r>
      <w:r>
        <w:rPr/>
        <w:t>inequality-adjusted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life-expectancy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health</w:t>
      </w:r>
      <w:r>
        <w:rPr>
          <w:spacing w:val="-5"/>
        </w:rPr>
        <w:t> </w:t>
      </w:r>
      <w:r>
        <w:rPr/>
        <w:t>(IIAH)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Nigeria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0.432</w:t>
      </w:r>
      <w:r>
        <w:rPr>
          <w:spacing w:val="-5"/>
        </w:rPr>
        <w:t> </w:t>
      </w:r>
      <w:r>
        <w:rPr/>
        <w:t>in</w:t>
      </w:r>
      <w:r>
        <w:rPr>
          <w:spacing w:val="-58"/>
        </w:rPr>
        <w:t> </w:t>
      </w:r>
      <w:r>
        <w:rPr/>
        <w:t>2018,</w:t>
      </w:r>
      <w:r>
        <w:rPr>
          <w:spacing w:val="-1"/>
        </w:rPr>
        <w:t> </w:t>
      </w:r>
      <w:r>
        <w:rPr/>
        <w:t>compare</w:t>
      </w:r>
      <w:r>
        <w:rPr>
          <w:spacing w:val="-1"/>
        </w:rPr>
        <w:t> </w:t>
      </w:r>
      <w:r>
        <w:rPr/>
        <w:t>to SSA average</w:t>
      </w:r>
      <w:r>
        <w:rPr>
          <w:spacing w:val="-1"/>
        </w:rPr>
        <w:t> </w:t>
      </w:r>
      <w:r>
        <w:rPr/>
        <w:t>of 0.386 in the</w:t>
      </w:r>
      <w:r>
        <w:rPr>
          <w:spacing w:val="-1"/>
        </w:rPr>
        <w:t> </w:t>
      </w:r>
      <w:r>
        <w:rPr/>
        <w:t>same period (UNDP, 2018, 2019).</w:t>
      </w:r>
    </w:p>
    <w:p>
      <w:pPr>
        <w:pStyle w:val="BodyText"/>
        <w:spacing w:line="360" w:lineRule="auto" w:before="230"/>
        <w:ind w:left="160" w:right="158"/>
        <w:jc w:val="both"/>
      </w:pPr>
      <w:r>
        <w:rPr/>
        <w:t>It is pertinent to note that Nigeria has the unenviable distinction of being at the bottom of the</w:t>
      </w:r>
      <w:r>
        <w:rPr>
          <w:spacing w:val="1"/>
        </w:rPr>
        <w:t> </w:t>
      </w:r>
      <w:r>
        <w:rPr/>
        <w:t>Commitment to Reducing Income Inequality (CRII) Index (see Oxfam Report, 2018:8). This</w:t>
      </w:r>
      <w:r>
        <w:rPr>
          <w:spacing w:val="1"/>
        </w:rPr>
        <w:t> </w:t>
      </w:r>
      <w:r>
        <w:rPr/>
        <w:t>indicates that Nigeria’s social spending on human capital, including, health, education and social</w:t>
      </w:r>
      <w:r>
        <w:rPr>
          <w:spacing w:val="1"/>
        </w:rPr>
        <w:t> </w:t>
      </w:r>
      <w:r>
        <w:rPr/>
        <w:t>protection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comparatively</w:t>
      </w:r>
      <w:r>
        <w:rPr>
          <w:spacing w:val="-9"/>
        </w:rPr>
        <w:t> </w:t>
      </w:r>
      <w:r>
        <w:rPr/>
        <w:t>low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reflected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country’s</w:t>
      </w:r>
      <w:r>
        <w:rPr>
          <w:spacing w:val="-4"/>
        </w:rPr>
        <w:t> </w:t>
      </w:r>
      <w:r>
        <w:rPr/>
        <w:t>poor</w:t>
      </w:r>
      <w:r>
        <w:rPr>
          <w:spacing w:val="-4"/>
        </w:rPr>
        <w:t> </w:t>
      </w:r>
      <w:r>
        <w:rPr/>
        <w:t>socioeconomic</w:t>
      </w:r>
      <w:r>
        <w:rPr>
          <w:spacing w:val="-3"/>
        </w:rPr>
        <w:t> </w:t>
      </w:r>
      <w:r>
        <w:rPr/>
        <w:t>outcomes.</w:t>
      </w:r>
      <w:r>
        <w:rPr>
          <w:spacing w:val="-3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foregoing, it is apparent that Nigeria is characterized by relatively poor health indicators and</w:t>
      </w:r>
      <w:r>
        <w:rPr>
          <w:spacing w:val="1"/>
        </w:rPr>
        <w:t> </w:t>
      </w:r>
      <w:r>
        <w:rPr/>
        <w:t>high income-inequality. This rated the nation as one of the highest IIAH when compared with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sub-Saharan Africa</w:t>
      </w:r>
      <w:r>
        <w:rPr>
          <w:spacing w:val="1"/>
        </w:rPr>
        <w:t> </w:t>
      </w:r>
      <w:r>
        <w:rPr/>
        <w:t>(SSA) countries (see</w:t>
      </w:r>
      <w:r>
        <w:rPr>
          <w:spacing w:val="-1"/>
        </w:rPr>
        <w:t> </w:t>
      </w:r>
      <w:r>
        <w:rPr/>
        <w:t>UNDP, 2018, 2019).</w:t>
      </w:r>
    </w:p>
    <w:p>
      <w:pPr>
        <w:pStyle w:val="BodyText"/>
        <w:spacing w:line="360" w:lineRule="auto" w:before="208"/>
        <w:ind w:left="160" w:right="156"/>
        <w:jc w:val="both"/>
      </w:pPr>
      <w:r>
        <w:rPr/>
        <w:pict>
          <v:group style="position:absolute;margin-left:71.639999pt;margin-top:93.073135pt;width:462.75pt;height:212.2pt;mso-position-horizontal-relative:page;mso-position-vertical-relative:paragraph;z-index:15732736" coordorigin="1433,1861" coordsize="9255,4244">
            <v:shape style="position:absolute;left:2455;top:2677;width:8004;height:2067" coordorigin="2455,2677" coordsize="8004,2067" path="m2455,4744l10459,4744m2455,4449l10459,4449m2455,4153l10459,4153m2455,3858l10459,3858m2455,3563l10459,3563m2455,3268l10459,3268m2455,2973l10459,2973m2455,2677l10459,2677e" filled="false" stroked="true" strokeweight=".72pt" strokecolor="#d9d9d9">
              <v:path arrowok="t"/>
              <v:stroke dashstyle="solid"/>
            </v:shape>
            <v:shape style="position:absolute;left:2522;top:2730;width:401;height:2321" type="#_x0000_t75" stroked="false">
              <v:imagedata r:id="rId11" o:title=""/>
            </v:shape>
            <v:line style="position:absolute" from="2455,2382" to="10459,2382" stroked="true" strokeweight=".72pt" strokecolor="#d9d9d9">
              <v:stroke dashstyle="solid"/>
            </v:line>
            <v:shape style="position:absolute;left:3055;top:2459;width:401;height:2592" type="#_x0000_t75" stroked="false">
              <v:imagedata r:id="rId12" o:title=""/>
            </v:shape>
            <v:shape style="position:absolute;left:3588;top:2701;width:404;height:2350" type="#_x0000_t75" stroked="false">
              <v:imagedata r:id="rId13" o:title=""/>
            </v:shape>
            <v:shape style="position:absolute;left:4123;top:3426;width:401;height:1625" type="#_x0000_t75" stroked="false">
              <v:imagedata r:id="rId14" o:title=""/>
            </v:shape>
            <v:shape style="position:absolute;left:4656;top:2783;width:401;height:2268" type="#_x0000_t75" stroked="false">
              <v:imagedata r:id="rId15" o:title=""/>
            </v:shape>
            <v:shape style="position:absolute;left:5188;top:3431;width:404;height:1620" type="#_x0000_t75" stroked="false">
              <v:imagedata r:id="rId16" o:title=""/>
            </v:shape>
            <v:shape style="position:absolute;left:5724;top:3183;width:401;height:1868" type="#_x0000_t75" stroked="false">
              <v:imagedata r:id="rId17" o:title=""/>
            </v:shape>
            <v:shape style="position:absolute;left:6256;top:3277;width:401;height:1774" type="#_x0000_t75" stroked="false">
              <v:imagedata r:id="rId18" o:title=""/>
            </v:shape>
            <v:shape style="position:absolute;left:6792;top:3143;width:401;height:1908" type="#_x0000_t75" stroked="false">
              <v:imagedata r:id="rId19" o:title=""/>
            </v:shape>
            <v:shape style="position:absolute;left:7324;top:3579;width:401;height:1472" type="#_x0000_t75" stroked="false">
              <v:imagedata r:id="rId20" o:title=""/>
            </v:shape>
            <v:shape style="position:absolute;left:7857;top:2771;width:401;height:2280" type="#_x0000_t75" stroked="false">
              <v:imagedata r:id="rId21" o:title=""/>
            </v:shape>
            <v:shape style="position:absolute;left:8392;top:3527;width:401;height:1524" type="#_x0000_t75" stroked="false">
              <v:imagedata r:id="rId22" o:title=""/>
            </v:shape>
            <v:shape style="position:absolute;left:8925;top:3159;width:401;height:1892" type="#_x0000_t75" stroked="false">
              <v:imagedata r:id="rId23" o:title=""/>
            </v:shape>
            <v:shape style="position:absolute;left:9458;top:3159;width:401;height:1892" type="#_x0000_t75" stroked="false">
              <v:imagedata r:id="rId23" o:title=""/>
            </v:shape>
            <v:shape style="position:absolute;left:9993;top:3296;width:401;height:1755" type="#_x0000_t75" stroked="false">
              <v:imagedata r:id="rId24" o:title=""/>
            </v:shape>
            <v:shape style="position:absolute;left:2582;top:2754;width:279;height:2290" type="#_x0000_t75" stroked="false">
              <v:imagedata r:id="rId25" o:title=""/>
            </v:shape>
            <v:shape style="position:absolute;left:3117;top:2483;width:279;height:2561" type="#_x0000_t75" stroked="false">
              <v:imagedata r:id="rId26" o:title=""/>
            </v:shape>
            <v:shape style="position:absolute;left:3650;top:2725;width:279;height:2319" type="#_x0000_t75" stroked="false">
              <v:imagedata r:id="rId27" o:title=""/>
            </v:shape>
            <v:shape style="position:absolute;left:4183;top:3450;width:279;height:1594" type="#_x0000_t75" stroked="false">
              <v:imagedata r:id="rId28" o:title=""/>
            </v:shape>
            <v:shape style="position:absolute;left:4718;top:2807;width:279;height:2237" type="#_x0000_t75" stroked="false">
              <v:imagedata r:id="rId29" o:title=""/>
            </v:shape>
            <v:shape style="position:absolute;left:5251;top:3457;width:279;height:1587" type="#_x0000_t75" stroked="false">
              <v:imagedata r:id="rId30" o:title=""/>
            </v:shape>
            <v:shape style="position:absolute;left:5784;top:3210;width:281;height:1834" type="#_x0000_t75" stroked="false">
              <v:imagedata r:id="rId31" o:title=""/>
            </v:shape>
            <v:shape style="position:absolute;left:6319;top:3303;width:279;height:1740" type="#_x0000_t75" stroked="false">
              <v:imagedata r:id="rId32" o:title=""/>
            </v:shape>
            <v:shape style="position:absolute;left:6852;top:3167;width:279;height:1877" type="#_x0000_t75" stroked="false">
              <v:imagedata r:id="rId33" o:title=""/>
            </v:shape>
            <v:shape style="position:absolute;left:7384;top:3603;width:281;height:1440" type="#_x0000_t75" stroked="false">
              <v:imagedata r:id="rId34" o:title=""/>
            </v:shape>
            <v:shape style="position:absolute;left:7920;top:2797;width:279;height:2247" type="#_x0000_t75" stroked="false">
              <v:imagedata r:id="rId35" o:title=""/>
            </v:shape>
            <v:shape style="position:absolute;left:8452;top:3551;width:279;height:1493" type="#_x0000_t75" stroked="false">
              <v:imagedata r:id="rId36" o:title=""/>
            </v:shape>
            <v:shape style="position:absolute;left:8985;top:3186;width:281;height:1858" type="#_x0000_t75" stroked="false">
              <v:imagedata r:id="rId37" o:title=""/>
            </v:shape>
            <v:shape style="position:absolute;left:9520;top:3186;width:279;height:1858" type="#_x0000_t75" stroked="false">
              <v:imagedata r:id="rId38" o:title=""/>
            </v:shape>
            <v:shape style="position:absolute;left:10053;top:3320;width:279;height:1724" type="#_x0000_t75" stroked="false">
              <v:imagedata r:id="rId39" o:title=""/>
            </v:shape>
            <v:line style="position:absolute" from="2455,5039" to="10459,5039" stroked="true" strokeweight=".96pt" strokecolor="#d9d9d9">
              <v:stroke dashstyle="solid"/>
            </v:line>
            <v:line style="position:absolute" from="2455,2089" to="10459,2089" stroked="true" strokeweight=".72pt" strokecolor="#d9d9d9">
              <v:stroke dashstyle="solid"/>
            </v:line>
            <v:shape style="position:absolute;left:2059;top:5232;width:693;height:672" type="#_x0000_t75" stroked="false">
              <v:imagedata r:id="rId40" o:title=""/>
            </v:shape>
            <v:shape style="position:absolute;left:2862;top:5232;width:1492;height:575" type="#_x0000_t75" stroked="false">
              <v:imagedata r:id="rId41" o:title=""/>
            </v:shape>
            <v:shape style="position:absolute;left:4510;top:5233;width:380;height:350" type="#_x0000_t75" stroked="false">
              <v:imagedata r:id="rId42" o:title=""/>
            </v:shape>
            <v:shape style="position:absolute;left:4950;top:5233;width:473;height:444" type="#_x0000_t75" stroked="false">
              <v:imagedata r:id="rId43" o:title=""/>
            </v:shape>
            <v:shape style="position:absolute;left:5500;top:5233;width:456;height:412" type="#_x0000_t75" stroked="false">
              <v:imagedata r:id="rId44" o:title=""/>
            </v:shape>
            <v:shape style="position:absolute;left:6166;top:5233;width:857;height:660" type="#_x0000_t75" stroked="false">
              <v:imagedata r:id="rId45" o:title=""/>
            </v:shape>
            <v:shape style="position:absolute;left:7120;top:5201;width:969;height:707" type="#_x0000_t75" stroked="false">
              <v:imagedata r:id="rId46" o:title=""/>
            </v:shape>
            <v:shape style="position:absolute;left:8157;top:5200;width:993;height:720" type="#_x0000_t75" stroked="false">
              <v:imagedata r:id="rId47" o:title=""/>
            </v:shape>
            <v:shape style="position:absolute;left:9384;top:5199;width:307;height:312" type="#_x0000_t75" stroked="false">
              <v:imagedata r:id="rId48" o:title=""/>
            </v:shape>
            <v:shape style="position:absolute;left:9889;top:5218;width:321;height:322" type="#_x0000_t75" stroked="false">
              <v:imagedata r:id="rId49" o:title=""/>
            </v:shape>
            <v:rect style="position:absolute;left:1440;top:1868;width:9240;height:4229" filled="false" stroked="true" strokeweight=".72pt" strokecolor="#d9d9d9">
              <v:stroke dashstyle="solid"/>
            </v:rect>
            <v:shape style="position:absolute;left:1969;top:2005;width:340;height:313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0.45</w:t>
                    </w:r>
                  </w:p>
                  <w:p>
                    <w:pPr>
                      <w:spacing w:before="7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0.35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0.3</w:t>
                    </w:r>
                  </w:p>
                  <w:p>
                    <w:pPr>
                      <w:spacing w:before="7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0.25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0.15</w:t>
                    </w:r>
                  </w:p>
                  <w:p>
                    <w:pPr>
                      <w:spacing w:before="7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0.1</w:t>
                    </w:r>
                  </w:p>
                  <w:p>
                    <w:pPr>
                      <w:spacing w:before="7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0.05</w:t>
                    </w:r>
                  </w:p>
                  <w:p>
                    <w:pPr>
                      <w:spacing w:line="216" w:lineRule="exact" w:before="7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50;top:2216;width:43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0.432</w:t>
                    </w:r>
                  </w:p>
                </w:txbxContent>
              </v:textbox>
              <w10:wrap type="none"/>
            </v:shape>
            <v:shape style="position:absolute;left:2516;top:2488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0.386</w:t>
                    </w:r>
                  </w:p>
                </w:txbxContent>
              </v:textbox>
              <w10:wrap type="none"/>
            </v:shape>
            <v:shape style="position:absolute;left:3584;top:2458;width:43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0.391</w:t>
                    </w:r>
                  </w:p>
                </w:txbxContent>
              </v:textbox>
              <w10:wrap type="none"/>
            </v:shape>
            <v:shape style="position:absolute;left:4651;top:2541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0.377</w:t>
                    </w:r>
                  </w:p>
                </w:txbxContent>
              </v:textbox>
              <w10:wrap type="none"/>
            </v:shape>
            <v:shape style="position:absolute;left:7853;top:2529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0.379</w:t>
                    </w:r>
                  </w:p>
                </w:txbxContent>
              </v:textbox>
              <w10:wrap type="none"/>
            </v:shape>
            <v:shape style="position:absolute;left:5718;top:2900;width:1499;height:31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-3"/>
                        <w:sz w:val="18"/>
                      </w:rPr>
                      <w:t>0.309   </w:t>
                    </w:r>
                    <w:r>
                      <w:rPr>
                        <w:rFonts w:ascii="Calibri"/>
                        <w:color w:val="404040"/>
                        <w:position w:val="-13"/>
                        <w:sz w:val="18"/>
                      </w:rPr>
                      <w:t>0.293  </w:t>
                    </w:r>
                    <w:r>
                      <w:rPr>
                        <w:rFonts w:ascii="Calibri"/>
                        <w:color w:val="404040"/>
                        <w:spacing w:val="1"/>
                        <w:position w:val="-1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0.316</w:t>
                    </w:r>
                  </w:p>
                </w:txbxContent>
              </v:textbox>
              <w10:wrap type="none"/>
            </v:shape>
            <v:shape style="position:absolute;left:8921;top:2918;width:96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0.313  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0.313</w:t>
                    </w:r>
                  </w:p>
                </w:txbxContent>
              </v:textbox>
              <w10:wrap type="none"/>
            </v:shape>
            <v:shape style="position:absolute;left:4118;top:3184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0.268</w:t>
                    </w:r>
                  </w:p>
                </w:txbxContent>
              </v:textbox>
              <w10:wrap type="none"/>
            </v:shape>
            <v:shape style="position:absolute;left:5185;top:3190;width:43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0.267</w:t>
                    </w:r>
                  </w:p>
                </w:txbxContent>
              </v:textbox>
              <w10:wrap type="none"/>
            </v:shape>
            <v:shape style="position:absolute;left:10034;top:3054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0.29</w:t>
                    </w:r>
                  </w:p>
                </w:txbxContent>
              </v:textbox>
              <w10:wrap type="none"/>
            </v:shape>
            <v:shape style="position:absolute;left:7320;top:3337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0.242</w:t>
                    </w:r>
                  </w:p>
                </w:txbxContent>
              </v:textbox>
              <w10:wrap type="none"/>
            </v:shape>
            <v:shape style="position:absolute;left:8387;top:3284;width:43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0.251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297997pt;margin-top:150.264221pt;width:11pt;height:56.15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Gini</w:t>
                  </w:r>
                  <w:r>
                    <w:rPr>
                      <w:rFonts w:ascii="Calibri"/>
                      <w:color w:val="585858"/>
                      <w:spacing w:val="-4"/>
                      <w:sz w:val="18"/>
                    </w:rPr>
                    <w:t> </w:t>
                  </w:r>
                  <w:r>
                    <w:rPr>
                      <w:rFonts w:ascii="Calibri"/>
                      <w:color w:val="585858"/>
                      <w:sz w:val="18"/>
                    </w:rPr>
                    <w:t>Coefficent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6"/>
        </w:rPr>
        <w:t> </w:t>
      </w:r>
      <w:r>
        <w:rPr/>
        <w:t>2.4</w:t>
      </w:r>
      <w:r>
        <w:rPr>
          <w:spacing w:val="-2"/>
        </w:rPr>
        <w:t> </w:t>
      </w:r>
      <w:r>
        <w:rPr/>
        <w:t>depicts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income</w:t>
      </w:r>
      <w:r>
        <w:rPr>
          <w:spacing w:val="-4"/>
        </w:rPr>
        <w:t> </w:t>
      </w:r>
      <w:r>
        <w:rPr/>
        <w:t>inequality-adjusted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SSA</w:t>
      </w:r>
      <w:r>
        <w:rPr>
          <w:spacing w:val="-1"/>
        </w:rPr>
        <w:t> </w:t>
      </w:r>
      <w:r>
        <w:rPr/>
        <w:t>nations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year</w:t>
      </w:r>
      <w:r>
        <w:rPr>
          <w:spacing w:val="-5"/>
        </w:rPr>
        <w:t> </w:t>
      </w:r>
      <w:r>
        <w:rPr/>
        <w:t>2018.</w:t>
      </w:r>
      <w:r>
        <w:rPr>
          <w:spacing w:val="-58"/>
        </w:rPr>
        <w:t> </w:t>
      </w:r>
      <w:r>
        <w:rPr/>
        <w:t>For instance, the IIAH for Zimbabwe was 0.268, the Ghana’s IIAH was 0.37, South Africa with</w:t>
      </w:r>
      <w:r>
        <w:rPr>
          <w:spacing w:val="1"/>
        </w:rPr>
        <w:t> </w:t>
      </w:r>
      <w:r>
        <w:rPr/>
        <w:t>0.316,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Sierra</w:t>
      </w:r>
      <w:r>
        <w:rPr>
          <w:spacing w:val="-3"/>
        </w:rPr>
        <w:t> </w:t>
      </w:r>
      <w:r>
        <w:rPr/>
        <w:t>Leone’s</w:t>
      </w:r>
      <w:r>
        <w:rPr>
          <w:spacing w:val="-3"/>
        </w:rPr>
        <w:t> </w:t>
      </w:r>
      <w:r>
        <w:rPr/>
        <w:t>IIAH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0.33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year</w:t>
      </w:r>
      <w:r>
        <w:rPr>
          <w:spacing w:val="-7"/>
        </w:rPr>
        <w:t> </w:t>
      </w:r>
      <w:r>
        <w:rPr/>
        <w:t>2018.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implies</w:t>
      </w:r>
      <w:r>
        <w:rPr>
          <w:spacing w:val="-6"/>
        </w:rPr>
        <w:t> </w:t>
      </w:r>
      <w:r>
        <w:rPr/>
        <w:t>that,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loss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health-human</w:t>
      </w:r>
      <w:r>
        <w:rPr>
          <w:spacing w:val="-57"/>
        </w:rPr>
        <w:t> </w:t>
      </w:r>
      <w:r>
        <w:rPr/>
        <w:t>capital</w:t>
      </w:r>
      <w:r>
        <w:rPr>
          <w:spacing w:val="-1"/>
        </w:rPr>
        <w:t> </w:t>
      </w:r>
      <w:r>
        <w:rPr/>
        <w:t>is so massive</w:t>
      </w:r>
      <w:r>
        <w:rPr>
          <w:spacing w:val="-1"/>
        </w:rPr>
        <w:t> </w:t>
      </w:r>
      <w:r>
        <w:rPr/>
        <w:t>as income</w:t>
      </w:r>
      <w:r>
        <w:rPr>
          <w:spacing w:val="-1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nation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rising.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Heading4"/>
        <w:spacing w:line="274" w:lineRule="exact" w:before="1"/>
      </w:pPr>
      <w:r>
        <w:rPr/>
        <w:t>Figure</w:t>
      </w:r>
      <w:r>
        <w:rPr>
          <w:spacing w:val="-2"/>
        </w:rPr>
        <w:t> </w:t>
      </w:r>
      <w:r>
        <w:rPr/>
        <w:t>2.4:</w:t>
      </w:r>
      <w:r>
        <w:rPr>
          <w:spacing w:val="-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Inequality-Adjusted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selected SSA</w:t>
      </w:r>
      <w:r>
        <w:rPr>
          <w:spacing w:val="-1"/>
        </w:rPr>
        <w:t> </w:t>
      </w:r>
      <w:r>
        <w:rPr/>
        <w:t>nations for</w:t>
      </w:r>
      <w:r>
        <w:rPr>
          <w:spacing w:val="-2"/>
        </w:rPr>
        <w:t> </w:t>
      </w:r>
      <w:r>
        <w:rPr/>
        <w:t>year</w:t>
      </w:r>
      <w:r>
        <w:rPr>
          <w:spacing w:val="-2"/>
        </w:rPr>
        <w:t> </w:t>
      </w:r>
      <w:r>
        <w:rPr/>
        <w:t>2015</w:t>
      </w:r>
    </w:p>
    <w:p>
      <w:pPr>
        <w:spacing w:line="228" w:lineRule="exact" w:before="0"/>
        <w:ind w:left="16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UNDP (2018a)</w:t>
      </w:r>
    </w:p>
    <w:p>
      <w:pPr>
        <w:spacing w:after="0" w:line="228" w:lineRule="exact"/>
        <w:jc w:val="both"/>
        <w:rPr>
          <w:sz w:val="20"/>
        </w:rPr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3"/>
        <w:jc w:val="both"/>
      </w:pPr>
      <w:r>
        <w:rPr/>
        <w:t>It is worthy of note that the Gini-indexes was 0.383 and 0.481 for Ghana and Nigeria in 2017,</w:t>
      </w:r>
      <w:r>
        <w:rPr>
          <w:spacing w:val="1"/>
        </w:rPr>
        <w:t> </w:t>
      </w:r>
      <w:r>
        <w:rPr/>
        <w:t>respectively (Odusanya andAtanda, 2018; SWIID, 2018). However, with higher annual GDP</w:t>
      </w:r>
      <w:r>
        <w:rPr>
          <w:spacing w:val="1"/>
        </w:rPr>
        <w:t> </w:t>
      </w:r>
      <w:r>
        <w:rPr/>
        <w:t>growth rate in Nigeria of 6.3% in 2015, compared with Ghana’s statistics of 4% (approximately)</w:t>
      </w:r>
      <w:r>
        <w:rPr>
          <w:spacing w:val="1"/>
        </w:rPr>
        <w:t> </w:t>
      </w:r>
      <w:r>
        <w:rPr/>
        <w:t>at the same period, the average life expectancy at birth was merely 54 years for Nigeria, and 64</w:t>
      </w:r>
      <w:r>
        <w:rPr>
          <w:spacing w:val="1"/>
        </w:rPr>
        <w:t> </w:t>
      </w:r>
      <w:r>
        <w:rPr/>
        <w:t>years for Ghana in year 2017 (World Bank, 2019). From the foregoing, the income inequality-</w:t>
      </w:r>
      <w:r>
        <w:rPr>
          <w:spacing w:val="1"/>
        </w:rPr>
        <w:t> </w:t>
      </w:r>
      <w:r>
        <w:rPr/>
        <w:t>adjusted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Nigeria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highest</w:t>
      </w:r>
      <w:r>
        <w:rPr>
          <w:spacing w:val="-6"/>
        </w:rPr>
        <w:t> </w:t>
      </w:r>
      <w:r>
        <w:rPr/>
        <w:t>comparatively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recent</w:t>
      </w:r>
      <w:r>
        <w:rPr>
          <w:spacing w:val="-2"/>
        </w:rPr>
        <w:t> </w:t>
      </w:r>
      <w:r>
        <w:rPr/>
        <w:t>years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depicted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7"/>
        </w:rPr>
        <w:t> </w:t>
      </w:r>
      <w:r>
        <w:rPr/>
        <w:t>2.4.</w:t>
      </w:r>
      <w:r>
        <w:rPr>
          <w:spacing w:val="-58"/>
        </w:rPr>
        <w:t> </w:t>
      </w:r>
      <w:r>
        <w:rPr/>
        <w:t>It further implies that a loss in health-related human capital from income gap between the richest</w:t>
      </w:r>
      <w:r>
        <w:rPr>
          <w:spacing w:val="1"/>
        </w:rPr>
        <w:t> </w:t>
      </w:r>
      <w:r>
        <w:rPr/>
        <w:t>and poorest citizens in Nigeria is high. Perhaps as income inequality rises, the drag on human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also increases (See</w:t>
      </w:r>
      <w:r>
        <w:rPr>
          <w:spacing w:val="-2"/>
        </w:rPr>
        <w:t> </w:t>
      </w:r>
      <w:r>
        <w:rPr/>
        <w:t>UNDP, 2019).</w:t>
      </w:r>
    </w:p>
    <w:p>
      <w:pPr>
        <w:pStyle w:val="Heading4"/>
        <w:numPr>
          <w:ilvl w:val="1"/>
          <w:numId w:val="9"/>
        </w:numPr>
        <w:tabs>
          <w:tab w:pos="881" w:val="left" w:leader="none"/>
        </w:tabs>
        <w:spacing w:line="240" w:lineRule="auto" w:before="190" w:after="0"/>
        <w:ind w:left="880" w:right="0" w:hanging="721"/>
        <w:jc w:val="both"/>
      </w:pPr>
      <w:bookmarkStart w:name="_TOC_250061" w:id="16"/>
      <w:r>
        <w:rPr/>
        <w:t>Causes</w:t>
      </w:r>
      <w:r>
        <w:rPr>
          <w:spacing w:val="-2"/>
        </w:rPr>
        <w:t> </w:t>
      </w:r>
      <w:r>
        <w:rPr/>
        <w:t>of Income</w:t>
      </w:r>
      <w:r>
        <w:rPr>
          <w:spacing w:val="-2"/>
        </w:rPr>
        <w:t> </w:t>
      </w:r>
      <w:r>
        <w:rPr/>
        <w:t>Inequality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16"/>
      <w:r>
        <w:rPr/>
        <w:t>Nigeria</w:t>
      </w:r>
    </w:p>
    <w:p>
      <w:pPr>
        <w:pStyle w:val="ListParagraph"/>
        <w:numPr>
          <w:ilvl w:val="2"/>
          <w:numId w:val="9"/>
        </w:numPr>
        <w:tabs>
          <w:tab w:pos="881" w:val="left" w:leader="none"/>
        </w:tabs>
        <w:spacing w:line="240" w:lineRule="auto" w:before="134" w:after="0"/>
        <w:ind w:left="880" w:right="0" w:hanging="721"/>
        <w:jc w:val="both"/>
        <w:rPr>
          <w:i/>
          <w:sz w:val="24"/>
        </w:rPr>
      </w:pPr>
      <w:r>
        <w:rPr>
          <w:i/>
          <w:sz w:val="24"/>
        </w:rPr>
        <w:t>Regional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States’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Factors</w:t>
      </w:r>
    </w:p>
    <w:p>
      <w:pPr>
        <w:pStyle w:val="BodyText"/>
        <w:spacing w:line="360" w:lineRule="auto" w:before="137"/>
        <w:ind w:left="160" w:right="155"/>
        <w:jc w:val="both"/>
      </w:pPr>
      <w:r>
        <w:rPr/>
        <w:t>The growing rise in wealth gap among households and states in Nigeria is attributed to uneven</w:t>
      </w:r>
      <w:r>
        <w:rPr>
          <w:spacing w:val="1"/>
        </w:rPr>
        <w:t> </w:t>
      </w:r>
      <w:r>
        <w:rPr/>
        <w:t>distribution of natural resources since the late 1970s. Oyeleye (2013) and Raheem </w:t>
      </w:r>
      <w:r>
        <w:rPr>
          <w:i/>
        </w:rPr>
        <w:t>et al. </w:t>
      </w:r>
      <w:r>
        <w:rPr/>
        <w:t>(2014)</w:t>
      </w:r>
      <w:r>
        <w:rPr>
          <w:spacing w:val="1"/>
        </w:rPr>
        <w:t> </w:t>
      </w:r>
      <w:r>
        <w:rPr/>
        <w:t>opine that income inequality arises mainly from disparity in regional endowment of natural</w:t>
      </w:r>
      <w:r>
        <w:rPr>
          <w:spacing w:val="1"/>
        </w:rPr>
        <w:t> </w:t>
      </w:r>
      <w:r>
        <w:rPr/>
        <w:t>resources,</w:t>
      </w:r>
      <w:r>
        <w:rPr>
          <w:spacing w:val="-9"/>
        </w:rPr>
        <w:t> </w:t>
      </w:r>
      <w:r>
        <w:rPr/>
        <w:t>difference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climate,</w:t>
      </w:r>
      <w:r>
        <w:rPr>
          <w:spacing w:val="-9"/>
        </w:rPr>
        <w:t> </w:t>
      </w:r>
      <w:r>
        <w:rPr/>
        <w:t>soil,</w:t>
      </w:r>
      <w:r>
        <w:rPr>
          <w:spacing w:val="-9"/>
        </w:rPr>
        <w:t> </w:t>
      </w:r>
      <w:r>
        <w:rPr/>
        <w:t>vegetation,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topography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states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Nigeria.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instance,</w:t>
      </w:r>
      <w:r>
        <w:rPr>
          <w:spacing w:val="-58"/>
        </w:rPr>
        <w:t> </w:t>
      </w:r>
      <w:r>
        <w:rPr/>
        <w:t>while the Southern part of the country enjoys longer period of rainfall, forest vegetation, and</w:t>
      </w:r>
      <w:r>
        <w:rPr>
          <w:spacing w:val="1"/>
        </w:rPr>
        <w:t> </w:t>
      </w:r>
      <w:r>
        <w:rPr/>
        <w:t>proximity to the continental shelf, the northern zone experiences shorter rainfall, grass vegetation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arid/semi-arid</w:t>
      </w:r>
      <w:r>
        <w:rPr>
          <w:spacing w:val="1"/>
        </w:rPr>
        <w:t> </w:t>
      </w:r>
      <w:r>
        <w:rPr/>
        <w:t>zone.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often,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industries, 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 Nigeria</w:t>
      </w:r>
      <w:r>
        <w:rPr>
          <w:spacing w:val="-1"/>
        </w:rPr>
        <w:t> </w:t>
      </w:r>
      <w:r>
        <w:rPr/>
        <w:t>(Oyeleye,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360" w:lineRule="auto" w:before="185"/>
        <w:ind w:left="160" w:right="155"/>
        <w:jc w:val="both"/>
      </w:pPr>
      <w:r>
        <w:rPr/>
        <w:t>Furthermore, several Southern states have more industrial establishments compared to Northern</w:t>
      </w:r>
      <w:r>
        <w:rPr>
          <w:spacing w:val="1"/>
        </w:rPr>
        <w:t> </w:t>
      </w:r>
      <w:r>
        <w:rPr/>
        <w:t>states such as Yobe, Zamfara, and Katsina (Raheem </w:t>
      </w:r>
      <w:r>
        <w:rPr>
          <w:i/>
        </w:rPr>
        <w:t>et al. </w:t>
      </w:r>
      <w:r>
        <w:rPr/>
        <w:t>2014). It is pertinent to note that the</w:t>
      </w:r>
      <w:r>
        <w:rPr>
          <w:spacing w:val="1"/>
        </w:rPr>
        <w:t> </w:t>
      </w:r>
      <w:r>
        <w:rPr/>
        <w:t>Northern states are also endowed with natural resources but have not been fully discovered or</w:t>
      </w:r>
      <w:r>
        <w:rPr>
          <w:spacing w:val="1"/>
        </w:rPr>
        <w:t> </w:t>
      </w:r>
      <w:r>
        <w:rPr/>
        <w:t>extracted yet to commence. Most often, industries are established in natural resource-endowed</w:t>
      </w:r>
      <w:r>
        <w:rPr>
          <w:spacing w:val="1"/>
        </w:rPr>
        <w:t> </w:t>
      </w:r>
      <w:r>
        <w:rPr/>
        <w:t>states or regions, where production costs can be minimized (Amini, 2018). More so, certain</w:t>
      </w:r>
      <w:r>
        <w:rPr>
          <w:spacing w:val="1"/>
        </w:rPr>
        <w:t> </w:t>
      </w:r>
      <w:r>
        <w:rPr/>
        <w:t>categories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investment are</w:t>
      </w:r>
      <w:r>
        <w:rPr>
          <w:spacing w:val="-2"/>
        </w:rPr>
        <w:t> </w:t>
      </w:r>
      <w:r>
        <w:rPr/>
        <w:t>attracted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Southern</w:t>
      </w:r>
      <w:r>
        <w:rPr>
          <w:spacing w:val="-4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 country</w:t>
      </w:r>
      <w:r>
        <w:rPr>
          <w:spacing w:val="-8"/>
        </w:rPr>
        <w:t> </w:t>
      </w:r>
      <w:r>
        <w:rPr/>
        <w:t>because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proximity</w:t>
      </w:r>
      <w:r>
        <w:rPr>
          <w:spacing w:val="-58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region to the sea</w:t>
      </w:r>
      <w:r>
        <w:rPr>
          <w:spacing w:val="-1"/>
        </w:rPr>
        <w:t> </w:t>
      </w:r>
      <w:r>
        <w:rPr/>
        <w:t>ports.</w:t>
      </w:r>
    </w:p>
    <w:p>
      <w:pPr>
        <w:pStyle w:val="BodyText"/>
      </w:pPr>
    </w:p>
    <w:p>
      <w:pPr>
        <w:pStyle w:val="BodyText"/>
        <w:spacing w:line="360" w:lineRule="auto"/>
        <w:ind w:left="160" w:right="156"/>
        <w:jc w:val="both"/>
      </w:pPr>
      <w:r>
        <w:rPr/>
        <w:t>In addition, the states’ disparity in Nigeria is also striking. While states like Lagos, Abuja, Kano,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Rivers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home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numerous</w:t>
      </w:r>
      <w:r>
        <w:rPr>
          <w:spacing w:val="-5"/>
        </w:rPr>
        <w:t> </w:t>
      </w:r>
      <w:r>
        <w:rPr/>
        <w:t>multi-national</w:t>
      </w:r>
      <w:r>
        <w:rPr>
          <w:spacing w:val="-6"/>
        </w:rPr>
        <w:t> </w:t>
      </w:r>
      <w:r>
        <w:rPr/>
        <w:t>organizations,</w:t>
      </w:r>
      <w:r>
        <w:rPr>
          <w:spacing w:val="-5"/>
        </w:rPr>
        <w:t> </w:t>
      </w:r>
      <w:r>
        <w:rPr/>
        <w:t>industries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large</w:t>
      </w:r>
      <w:r>
        <w:rPr>
          <w:spacing w:val="-7"/>
        </w:rPr>
        <w:t> </w:t>
      </w:r>
      <w:r>
        <w:rPr/>
        <w:t>markets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nation, several other states including Yobe, Zamfara, Jigawa and Gombe are still lacking behind</w:t>
      </w:r>
      <w:r>
        <w:rPr>
          <w:spacing w:val="1"/>
        </w:rPr>
        <w:t> </w:t>
      </w:r>
      <w:r>
        <w:rPr/>
        <w:t>(Isah,</w:t>
      </w:r>
      <w:r>
        <w:rPr>
          <w:spacing w:val="-1"/>
        </w:rPr>
        <w:t> </w:t>
      </w:r>
      <w:r>
        <w:rPr/>
        <w:t>2011; Aigbokhan 2017).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ListParagraph"/>
        <w:numPr>
          <w:ilvl w:val="2"/>
          <w:numId w:val="9"/>
        </w:numPr>
        <w:tabs>
          <w:tab w:pos="881" w:val="left" w:leader="none"/>
        </w:tabs>
        <w:spacing w:line="240" w:lineRule="auto" w:before="72" w:after="0"/>
        <w:ind w:left="880" w:right="0" w:hanging="721"/>
        <w:jc w:val="both"/>
        <w:rPr>
          <w:i/>
          <w:sz w:val="24"/>
        </w:rPr>
      </w:pPr>
      <w:r>
        <w:rPr>
          <w:i/>
          <w:sz w:val="24"/>
        </w:rPr>
        <w:t>Household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Individual’s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Factors</w:t>
      </w:r>
    </w:p>
    <w:p>
      <w:pPr>
        <w:pStyle w:val="BodyText"/>
        <w:spacing w:line="360" w:lineRule="auto" w:before="24"/>
        <w:ind w:left="160" w:right="155"/>
        <w:jc w:val="both"/>
      </w:pPr>
      <w:r>
        <w:rPr/>
        <w:t>In terms of individuals’ income differences, Charles-Coll (2011) and Dabla-Noris </w:t>
      </w:r>
      <w:r>
        <w:rPr>
          <w:i/>
        </w:rPr>
        <w:t>et al. </w:t>
      </w:r>
      <w:r>
        <w:rPr/>
        <w:t>(2015)</w:t>
      </w:r>
      <w:r>
        <w:rPr>
          <w:spacing w:val="1"/>
        </w:rPr>
        <w:t> </w:t>
      </w:r>
      <w:r>
        <w:rPr/>
        <w:t>relate income disparity to individual-specific and exogeneous causes. The former relates to a set</w:t>
      </w:r>
      <w:r>
        <w:rPr>
          <w:spacing w:val="1"/>
        </w:rPr>
        <w:t> </w:t>
      </w:r>
      <w:r>
        <w:rPr/>
        <w:t>of</w:t>
      </w:r>
      <w:r>
        <w:rPr>
          <w:spacing w:val="-12"/>
        </w:rPr>
        <w:t> </w:t>
      </w:r>
      <w:r>
        <w:rPr/>
        <w:t>circumstances</w:t>
      </w:r>
      <w:r>
        <w:rPr>
          <w:spacing w:val="-11"/>
        </w:rPr>
        <w:t> </w:t>
      </w:r>
      <w:r>
        <w:rPr/>
        <w:t>or</w:t>
      </w:r>
      <w:r>
        <w:rPr>
          <w:spacing w:val="-9"/>
        </w:rPr>
        <w:t> </w:t>
      </w:r>
      <w:r>
        <w:rPr/>
        <w:t>characteristics</w:t>
      </w:r>
      <w:r>
        <w:rPr>
          <w:spacing w:val="-10"/>
        </w:rPr>
        <w:t> </w:t>
      </w:r>
      <w:r>
        <w:rPr/>
        <w:t>intrinsic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individuals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potential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determine</w:t>
      </w:r>
      <w:r>
        <w:rPr>
          <w:spacing w:val="-11"/>
        </w:rPr>
        <w:t> </w:t>
      </w:r>
      <w:r>
        <w:rPr/>
        <w:t>their</w:t>
      </w:r>
      <w:r>
        <w:rPr>
          <w:spacing w:val="-58"/>
        </w:rPr>
        <w:t> </w:t>
      </w:r>
      <w:r>
        <w:rPr>
          <w:spacing w:val="-1"/>
        </w:rPr>
        <w:t>current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future</w:t>
      </w:r>
      <w:r>
        <w:rPr>
          <w:spacing w:val="-12"/>
        </w:rPr>
        <w:t> </w:t>
      </w:r>
      <w:r>
        <w:rPr/>
        <w:t>income,</w:t>
      </w:r>
      <w:r>
        <w:rPr>
          <w:spacing w:val="-12"/>
        </w:rPr>
        <w:t> </w:t>
      </w:r>
      <w:r>
        <w:rPr/>
        <w:t>health,</w:t>
      </w:r>
      <w:r>
        <w:rPr>
          <w:spacing w:val="-11"/>
        </w:rPr>
        <w:t> </w:t>
      </w:r>
      <w:r>
        <w:rPr/>
        <w:t>longevity</w:t>
      </w:r>
      <w:r>
        <w:rPr>
          <w:spacing w:val="-15"/>
        </w:rPr>
        <w:t> </w:t>
      </w:r>
      <w:r>
        <w:rPr/>
        <w:t>and</w:t>
      </w:r>
      <w:r>
        <w:rPr>
          <w:spacing w:val="-9"/>
        </w:rPr>
        <w:t> </w:t>
      </w:r>
      <w:r>
        <w:rPr/>
        <w:t>employment</w:t>
      </w:r>
      <w:r>
        <w:rPr>
          <w:spacing w:val="-12"/>
        </w:rPr>
        <w:t> </w:t>
      </w:r>
      <w:r>
        <w:rPr/>
        <w:t>outcomes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well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influencing</w:t>
      </w:r>
      <w:r>
        <w:rPr>
          <w:spacing w:val="-15"/>
        </w:rPr>
        <w:t> </w:t>
      </w:r>
      <w:r>
        <w:rPr/>
        <w:t>their</w:t>
      </w:r>
      <w:r>
        <w:rPr>
          <w:spacing w:val="-57"/>
        </w:rPr>
        <w:t> </w:t>
      </w:r>
      <w:r>
        <w:rPr/>
        <w:t>comparative advantages in the form of higher productivity (Cingano, 2014 and Dabla-Noris et al.</w:t>
      </w:r>
      <w:r>
        <w:rPr>
          <w:spacing w:val="-57"/>
        </w:rPr>
        <w:t> </w:t>
      </w:r>
      <w:r>
        <w:rPr/>
        <w:t>2015).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innate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as,</w:t>
      </w:r>
      <w:r>
        <w:rPr>
          <w:spacing w:val="1"/>
        </w:rPr>
        <w:t> </w:t>
      </w:r>
      <w:r>
        <w:rPr>
          <w:spacing w:val="-1"/>
        </w:rPr>
        <w:t>intelligence,</w:t>
      </w:r>
      <w:r>
        <w:rPr>
          <w:spacing w:val="-13"/>
        </w:rPr>
        <w:t> </w:t>
      </w:r>
      <w:r>
        <w:rPr>
          <w:spacing w:val="-1"/>
        </w:rPr>
        <w:t>talents</w:t>
      </w:r>
      <w:r>
        <w:rPr>
          <w:spacing w:val="-14"/>
        </w:rPr>
        <w:t> </w:t>
      </w:r>
      <w:r>
        <w:rPr>
          <w:spacing w:val="-1"/>
        </w:rPr>
        <w:t>or</w:t>
      </w:r>
      <w:r>
        <w:rPr>
          <w:spacing w:val="-12"/>
        </w:rPr>
        <w:t> </w:t>
      </w:r>
      <w:r>
        <w:rPr>
          <w:spacing w:val="-1"/>
        </w:rPr>
        <w:t>gift,</w:t>
      </w:r>
      <w:r>
        <w:rPr>
          <w:spacing w:val="-15"/>
        </w:rPr>
        <w:t> </w:t>
      </w:r>
      <w:r>
        <w:rPr/>
        <w:t>personality,</w:t>
      </w:r>
      <w:r>
        <w:rPr>
          <w:spacing w:val="-12"/>
        </w:rPr>
        <w:t> </w:t>
      </w:r>
      <w:r>
        <w:rPr/>
        <w:t>charisma,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innovative</w:t>
      </w:r>
      <w:r>
        <w:rPr>
          <w:spacing w:val="-14"/>
        </w:rPr>
        <w:t> </w:t>
      </w:r>
      <w:r>
        <w:rPr/>
        <w:t>minds;</w:t>
      </w:r>
      <w:r>
        <w:rPr>
          <w:spacing w:val="-14"/>
        </w:rPr>
        <w:t> </w:t>
      </w:r>
      <w:r>
        <w:rPr/>
        <w:t>or</w:t>
      </w:r>
      <w:r>
        <w:rPr>
          <w:spacing w:val="-16"/>
        </w:rPr>
        <w:t> </w:t>
      </w:r>
      <w:r>
        <w:rPr/>
        <w:t>even</w:t>
      </w:r>
      <w:r>
        <w:rPr>
          <w:spacing w:val="-14"/>
        </w:rPr>
        <w:t> </w:t>
      </w:r>
      <w:r>
        <w:rPr/>
        <w:t>physical</w:t>
      </w:r>
      <w:r>
        <w:rPr>
          <w:spacing w:val="-14"/>
        </w:rPr>
        <w:t> </w:t>
      </w:r>
      <w:r>
        <w:rPr/>
        <w:t>attributes</w:t>
      </w:r>
      <w:r>
        <w:rPr>
          <w:spacing w:val="-57"/>
        </w:rPr>
        <w:t> </w:t>
      </w:r>
      <w:r>
        <w:rPr/>
        <w:t>such as strength or skills, height, race and gender, which have been proven to have a positive</w:t>
      </w:r>
      <w:r>
        <w:rPr>
          <w:spacing w:val="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with both</w:t>
      </w:r>
      <w:r>
        <w:rPr>
          <w:spacing w:val="-1"/>
        </w:rPr>
        <w:t> </w:t>
      </w:r>
      <w:r>
        <w:rPr/>
        <w:t>current income inequality</w:t>
      </w:r>
      <w:r>
        <w:rPr>
          <w:spacing w:val="-6"/>
        </w:rPr>
        <w:t> </w:t>
      </w:r>
      <w:r>
        <w:rPr/>
        <w:t>as</w:t>
      </w:r>
      <w:r>
        <w:rPr>
          <w:spacing w:val="2"/>
        </w:rPr>
        <w:t> </w:t>
      </w:r>
      <w:r>
        <w:rPr/>
        <w:t>well</w:t>
      </w:r>
      <w:r>
        <w:rPr>
          <w:spacing w:val="-1"/>
        </w:rPr>
        <w:t> </w:t>
      </w:r>
      <w:r>
        <w:rPr/>
        <w:t>as their future</w:t>
      </w:r>
      <w:r>
        <w:rPr>
          <w:spacing w:val="-2"/>
        </w:rPr>
        <w:t> </w:t>
      </w:r>
      <w:r>
        <w:rPr/>
        <w:t>possible income.</w:t>
      </w:r>
    </w:p>
    <w:p>
      <w:pPr>
        <w:pStyle w:val="BodyText"/>
        <w:spacing w:line="360" w:lineRule="auto" w:before="185"/>
        <w:ind w:left="160" w:right="157"/>
        <w:jc w:val="both"/>
      </w:pPr>
      <w:r>
        <w:rPr/>
        <w:t>On the other hand, exogenous causes include infrastructural, educational and regional gaps, legal</w:t>
      </w:r>
      <w:r>
        <w:rPr>
          <w:spacing w:val="-57"/>
        </w:rPr>
        <w:t> </w:t>
      </w:r>
      <w:r>
        <w:rPr/>
        <w:t>restrictions, gender difference, and financial exclusion. Limited access to basic infrastructure and</w:t>
      </w:r>
      <w:r>
        <w:rPr>
          <w:spacing w:val="-57"/>
        </w:rPr>
        <w:t> </w:t>
      </w:r>
      <w:r>
        <w:rPr/>
        <w:t>utilities such as portable water, vaccination, education, healthcare services and electricity could</w:t>
      </w:r>
      <w:r>
        <w:rPr>
          <w:spacing w:val="1"/>
        </w:rPr>
        <w:t> </w:t>
      </w:r>
      <w:r>
        <w:rPr/>
        <w:t>further worsen income differences and limit any productive activities (World Bank, 2012). For</w:t>
      </w:r>
      <w:r>
        <w:rPr>
          <w:spacing w:val="1"/>
        </w:rPr>
        <w:t> </w:t>
      </w:r>
      <w:r>
        <w:rPr/>
        <w:t>example, the financial exclusion which is the percentage of Nigerians without any account at the</w:t>
      </w:r>
      <w:r>
        <w:rPr>
          <w:spacing w:val="1"/>
        </w:rPr>
        <w:t> </w:t>
      </w:r>
      <w:r>
        <w:rPr/>
        <w:t>financial institutions could reduce savings for unforeseen health issues (Fatukasi and Ayeomoni,</w:t>
      </w:r>
      <w:r>
        <w:rPr>
          <w:spacing w:val="1"/>
        </w:rPr>
        <w:t> </w:t>
      </w:r>
      <w:r>
        <w:rPr/>
        <w:t>2015). This is important because low financial inclusion may lead to inefficient allocation of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and low ability</w:t>
      </w:r>
      <w:r>
        <w:rPr>
          <w:spacing w:val="-4"/>
        </w:rPr>
        <w:t> </w:t>
      </w:r>
      <w:r>
        <w:rPr/>
        <w:t>to make</w:t>
      </w:r>
      <w:r>
        <w:rPr>
          <w:spacing w:val="-1"/>
        </w:rPr>
        <w:t> </w:t>
      </w:r>
      <w:r>
        <w:rPr/>
        <w:t>investments</w:t>
      </w:r>
      <w:r>
        <w:rPr>
          <w:spacing w:val="-1"/>
        </w:rPr>
        <w:t> </w:t>
      </w:r>
      <w:r>
        <w:rPr/>
        <w:t>in health-related human</w:t>
      </w:r>
      <w:r>
        <w:rPr>
          <w:spacing w:val="-1"/>
        </w:rPr>
        <w:t> </w:t>
      </w:r>
      <w:r>
        <w:rPr/>
        <w:t>capital (Corak, 2013).</w:t>
      </w:r>
    </w:p>
    <w:p>
      <w:pPr>
        <w:pStyle w:val="BodyText"/>
        <w:spacing w:line="360" w:lineRule="auto" w:before="231"/>
        <w:ind w:left="160" w:right="154"/>
        <w:jc w:val="both"/>
      </w:pPr>
      <w:r>
        <w:rPr/>
        <w:t>The</w:t>
      </w:r>
      <w:r>
        <w:rPr>
          <w:spacing w:val="-11"/>
        </w:rPr>
        <w:t> </w:t>
      </w:r>
      <w:r>
        <w:rPr/>
        <w:t>gender</w:t>
      </w:r>
      <w:r>
        <w:rPr>
          <w:spacing w:val="-7"/>
        </w:rPr>
        <w:t> </w:t>
      </w:r>
      <w:r>
        <w:rPr/>
        <w:t>gap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terms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labour</w:t>
      </w:r>
      <w:r>
        <w:rPr>
          <w:spacing w:val="-10"/>
        </w:rPr>
        <w:t> </w:t>
      </w:r>
      <w:r>
        <w:rPr/>
        <w:t>force</w:t>
      </w:r>
      <w:r>
        <w:rPr>
          <w:spacing w:val="-10"/>
        </w:rPr>
        <w:t> </w:t>
      </w:r>
      <w:r>
        <w:rPr/>
        <w:t>participation</w:t>
      </w:r>
      <w:r>
        <w:rPr>
          <w:spacing w:val="-9"/>
        </w:rPr>
        <w:t> </w:t>
      </w:r>
      <w:r>
        <w:rPr/>
        <w:t>restricts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skill-set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labour</w:t>
      </w:r>
      <w:r>
        <w:rPr>
          <w:spacing w:val="-10"/>
        </w:rPr>
        <w:t> </w:t>
      </w:r>
      <w:r>
        <w:rPr/>
        <w:t>market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participation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females</w:t>
      </w:r>
      <w:r>
        <w:rPr>
          <w:spacing w:val="-4"/>
        </w:rPr>
        <w:t> </w:t>
      </w:r>
      <w:r>
        <w:rPr/>
        <w:t>(Cuberes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Teigner,</w:t>
      </w:r>
      <w:r>
        <w:rPr>
          <w:spacing w:val="-5"/>
        </w:rPr>
        <w:t> </w:t>
      </w:r>
      <w:r>
        <w:rPr/>
        <w:t>2015;</w:t>
      </w:r>
      <w:r>
        <w:rPr>
          <w:spacing w:val="-3"/>
        </w:rPr>
        <w:t> </w:t>
      </w:r>
      <w:r>
        <w:rPr/>
        <w:t>Novignon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</w:r>
      <w:r>
        <w:rPr>
          <w:i/>
          <w:spacing w:val="-3"/>
        </w:rPr>
        <w:t> </w:t>
      </w:r>
      <w:r>
        <w:rPr/>
        <w:t>2015).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could</w:t>
      </w:r>
      <w:r>
        <w:rPr>
          <w:spacing w:val="-58"/>
        </w:rPr>
        <w:t> </w:t>
      </w:r>
      <w:r>
        <w:rPr/>
        <w:t>widen the gender income disparities. Hanushek (2013) demonstrate that education drives both</w:t>
      </w:r>
      <w:r>
        <w:rPr>
          <w:spacing w:val="1"/>
        </w:rPr>
        <w:t> </w:t>
      </w:r>
      <w:r>
        <w:rPr/>
        <w:t>current and future income of households. Thus, educational policies and the variations in access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potentially</w:t>
      </w:r>
      <w:r>
        <w:rPr>
          <w:spacing w:val="-8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levels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income</w:t>
      </w:r>
      <w:r>
        <w:rPr>
          <w:spacing w:val="-3"/>
        </w:rPr>
        <w:t> </w:t>
      </w:r>
      <w:r>
        <w:rPr/>
        <w:t>inequality</w:t>
      </w:r>
      <w:r>
        <w:rPr>
          <w:spacing w:val="-8"/>
        </w:rPr>
        <w:t> </w:t>
      </w:r>
      <w:r>
        <w:rPr/>
        <w:t>(Dabla-Noris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>
          <w:i/>
          <w:spacing w:val="-2"/>
        </w:rPr>
        <w:t> </w:t>
      </w:r>
      <w:r>
        <w:rPr/>
        <w:t>2015;</w:t>
      </w:r>
      <w:r>
        <w:rPr>
          <w:spacing w:val="-2"/>
        </w:rPr>
        <w:t> </w:t>
      </w:r>
      <w:r>
        <w:rPr/>
        <w:t>Rajan,</w:t>
      </w:r>
      <w:r>
        <w:rPr>
          <w:spacing w:val="-57"/>
        </w:rPr>
        <w:t> </w:t>
      </w:r>
      <w:r>
        <w:rPr/>
        <w:t>2015).</w:t>
      </w:r>
      <w:r>
        <w:rPr>
          <w:spacing w:val="1"/>
        </w:rPr>
        <w:t> </w:t>
      </w:r>
      <w:r>
        <w:rPr/>
        <w:t>Bakare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exogenous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regional,</w:t>
      </w:r>
      <w:r>
        <w:rPr>
          <w:spacing w:val="1"/>
        </w:rPr>
        <w:t> </w:t>
      </w:r>
      <w:r>
        <w:rPr/>
        <w:t>ethnic,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expenditure pattern and even political disparities; where these factors produce a similar pattern of</w:t>
      </w:r>
      <w:r>
        <w:rPr>
          <w:spacing w:val="-58"/>
        </w:rPr>
        <w:t> </w:t>
      </w:r>
      <w:r>
        <w:rPr/>
        <w:t>income</w:t>
      </w:r>
      <w:r>
        <w:rPr>
          <w:spacing w:val="-6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also</w:t>
      </w:r>
      <w:r>
        <w:rPr>
          <w:spacing w:val="-3"/>
        </w:rPr>
        <w:t> </w:t>
      </w:r>
      <w:r>
        <w:rPr/>
        <w:t>create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context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rural</w:t>
      </w:r>
      <w:r>
        <w:rPr>
          <w:spacing w:val="-4"/>
        </w:rPr>
        <w:t> </w:t>
      </w:r>
      <w:r>
        <w:rPr/>
        <w:t>infrastructure</w:t>
      </w:r>
      <w:r>
        <w:rPr>
          <w:spacing w:val="-5"/>
        </w:rPr>
        <w:t> </w:t>
      </w:r>
      <w:r>
        <w:rPr/>
        <w:t>through</w:t>
      </w:r>
      <w:r>
        <w:rPr>
          <w:spacing w:val="-1"/>
        </w:rPr>
        <w:t> </w:t>
      </w:r>
      <w:r>
        <w:rPr/>
        <w:t>policies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influence</w:t>
      </w:r>
      <w:r>
        <w:rPr>
          <w:spacing w:val="-58"/>
        </w:rPr>
        <w:t> </w:t>
      </w:r>
      <w:r>
        <w:rPr/>
        <w:t>public</w:t>
      </w:r>
      <w:r>
        <w:rPr>
          <w:spacing w:val="-2"/>
        </w:rPr>
        <w:t> </w:t>
      </w:r>
      <w:r>
        <w:rPr/>
        <w:t>healthcare</w:t>
      </w:r>
      <w:r>
        <w:rPr>
          <w:spacing w:val="-1"/>
        </w:rPr>
        <w:t> </w:t>
      </w:r>
      <w:r>
        <w:rPr/>
        <w:t>services in Nigeria.</w:t>
      </w:r>
    </w:p>
    <w:p>
      <w:pPr>
        <w:pStyle w:val="BodyText"/>
        <w:spacing w:line="360" w:lineRule="auto" w:before="230"/>
        <w:ind w:left="160" w:right="162"/>
        <w:jc w:val="both"/>
      </w:pPr>
      <w:r>
        <w:rPr/>
        <w:t>Finally, the gap between the rich and the poor may be a worldwide problem, but in Nigeria the</w:t>
      </w:r>
      <w:r>
        <w:rPr>
          <w:spacing w:val="1"/>
        </w:rPr>
        <w:t> </w:t>
      </w:r>
      <w:r>
        <w:rPr/>
        <w:t>level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inequality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high.</w:t>
      </w:r>
      <w:r>
        <w:rPr>
          <w:spacing w:val="-10"/>
        </w:rPr>
        <w:t> </w:t>
      </w:r>
      <w:r>
        <w:rPr/>
        <w:t>This</w:t>
      </w:r>
      <w:r>
        <w:rPr>
          <w:spacing w:val="-12"/>
        </w:rPr>
        <w:t> </w:t>
      </w:r>
      <w:r>
        <w:rPr/>
        <w:t>could</w:t>
      </w:r>
      <w:r>
        <w:rPr>
          <w:spacing w:val="-12"/>
        </w:rPr>
        <w:t> </w:t>
      </w:r>
      <w:r>
        <w:rPr/>
        <w:t>pose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serious</w:t>
      </w:r>
      <w:r>
        <w:rPr>
          <w:spacing w:val="-12"/>
        </w:rPr>
        <w:t> </w:t>
      </w:r>
      <w:r>
        <w:rPr/>
        <w:t>threat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her</w:t>
      </w:r>
      <w:r>
        <w:rPr>
          <w:spacing w:val="-11"/>
        </w:rPr>
        <w:t> </w:t>
      </w:r>
      <w:r>
        <w:rPr/>
        <w:t>citizens’</w:t>
      </w:r>
      <w:r>
        <w:rPr>
          <w:spacing w:val="-13"/>
        </w:rPr>
        <w:t> </w:t>
      </w:r>
      <w:r>
        <w:rPr/>
        <w:t>health</w:t>
      </w:r>
      <w:r>
        <w:rPr>
          <w:spacing w:val="-12"/>
        </w:rPr>
        <w:t> </w:t>
      </w:r>
      <w:r>
        <w:rPr/>
        <w:t>outcomes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health-seeking</w:t>
      </w:r>
      <w:r>
        <w:rPr>
          <w:spacing w:val="-3"/>
        </w:rPr>
        <w:t> </w:t>
      </w:r>
      <w:r>
        <w:rPr/>
        <w:t>behaviour.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Heading4"/>
        <w:numPr>
          <w:ilvl w:val="1"/>
          <w:numId w:val="9"/>
        </w:numPr>
        <w:tabs>
          <w:tab w:pos="881" w:val="left" w:leader="none"/>
        </w:tabs>
        <w:spacing w:line="240" w:lineRule="auto" w:before="79" w:after="0"/>
        <w:ind w:left="880" w:right="0" w:hanging="721"/>
        <w:jc w:val="both"/>
      </w:pPr>
      <w:r>
        <w:rPr/>
        <w:t>Health</w:t>
      </w:r>
      <w:r>
        <w:rPr>
          <w:spacing w:val="-2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in Nigeria</w:t>
      </w:r>
    </w:p>
    <w:p>
      <w:pPr>
        <w:pStyle w:val="BodyText"/>
        <w:spacing w:line="360" w:lineRule="auto" w:before="132"/>
        <w:ind w:left="160" w:right="156"/>
        <w:jc w:val="both"/>
      </w:pPr>
      <w:r>
        <w:rPr/>
        <w:t>Illness and deaths are common examples of poor health outcomes. Those that stem from NCDs,</w:t>
      </w:r>
      <w:r>
        <w:rPr>
          <w:spacing w:val="1"/>
        </w:rPr>
        <w:t> </w:t>
      </w:r>
      <w:r>
        <w:rPr/>
        <w:t>namely</w:t>
      </w:r>
      <w:r>
        <w:rPr>
          <w:spacing w:val="-8"/>
        </w:rPr>
        <w:t> </w:t>
      </w:r>
      <w:r>
        <w:rPr/>
        <w:t>strokes,</w:t>
      </w:r>
      <w:r>
        <w:rPr>
          <w:spacing w:val="-3"/>
        </w:rPr>
        <w:t> </w:t>
      </w:r>
      <w:r>
        <w:rPr/>
        <w:t>heart</w:t>
      </w:r>
      <w:r>
        <w:rPr>
          <w:spacing w:val="-3"/>
        </w:rPr>
        <w:t> </w:t>
      </w:r>
      <w:r>
        <w:rPr/>
        <w:t>diseases,</w:t>
      </w:r>
      <w:r>
        <w:rPr>
          <w:spacing w:val="-3"/>
        </w:rPr>
        <w:t> </w:t>
      </w:r>
      <w:r>
        <w:rPr/>
        <w:t>dementia,</w:t>
      </w:r>
      <w:r>
        <w:rPr>
          <w:spacing w:val="-3"/>
        </w:rPr>
        <w:t> </w:t>
      </w:r>
      <w:r>
        <w:rPr/>
        <w:t>high</w:t>
      </w:r>
      <w:r>
        <w:rPr>
          <w:spacing w:val="-3"/>
        </w:rPr>
        <w:t> </w:t>
      </w:r>
      <w:r>
        <w:rPr/>
        <w:t>blood</w:t>
      </w:r>
      <w:r>
        <w:rPr>
          <w:spacing w:val="-3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cancers,</w:t>
      </w:r>
      <w:r>
        <w:rPr>
          <w:spacing w:val="-1"/>
        </w:rPr>
        <w:t> </w:t>
      </w:r>
      <w:r>
        <w:rPr/>
        <w:t>diabetes,</w:t>
      </w:r>
      <w:r>
        <w:rPr>
          <w:spacing w:val="-3"/>
        </w:rPr>
        <w:t> </w:t>
      </w:r>
      <w:r>
        <w:rPr/>
        <w:t>chronic</w:t>
      </w:r>
      <w:r>
        <w:rPr>
          <w:spacing w:val="-4"/>
        </w:rPr>
        <w:t> </w:t>
      </w:r>
      <w:r>
        <w:rPr/>
        <w:t>lung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respiratory</w:t>
      </w:r>
      <w:r>
        <w:rPr>
          <w:spacing w:val="-15"/>
        </w:rPr>
        <w:t> </w:t>
      </w:r>
      <w:r>
        <w:rPr/>
        <w:t>diseases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increase</w:t>
      </w:r>
      <w:r>
        <w:rPr>
          <w:spacing w:val="-10"/>
        </w:rPr>
        <w:t> </w:t>
      </w:r>
      <w:r>
        <w:rPr/>
        <w:t>especially</w:t>
      </w:r>
      <w:r>
        <w:rPr>
          <w:spacing w:val="-15"/>
        </w:rPr>
        <w:t> </w:t>
      </w:r>
      <w:r>
        <w:rPr/>
        <w:t>in</w:t>
      </w:r>
      <w:r>
        <w:rPr>
          <w:spacing w:val="-10"/>
        </w:rPr>
        <w:t> </w:t>
      </w:r>
      <w:r>
        <w:rPr/>
        <w:t>developing</w:t>
      </w:r>
      <w:r>
        <w:rPr>
          <w:spacing w:val="-12"/>
        </w:rPr>
        <w:t> </w:t>
      </w:r>
      <w:r>
        <w:rPr/>
        <w:t>nations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world</w:t>
      </w:r>
      <w:r>
        <w:rPr>
          <w:spacing w:val="-10"/>
        </w:rPr>
        <w:t> </w:t>
      </w:r>
      <w:r>
        <w:rPr/>
        <w:t>(WHO,</w:t>
      </w:r>
      <w:r>
        <w:rPr>
          <w:spacing w:val="-10"/>
        </w:rPr>
        <w:t> </w:t>
      </w:r>
      <w:r>
        <w:rPr/>
        <w:t>2018;</w:t>
      </w:r>
      <w:r>
        <w:rPr>
          <w:spacing w:val="-57"/>
        </w:rPr>
        <w:t> </w:t>
      </w:r>
      <w:r>
        <w:rPr/>
        <w:t>WHO, 2020).</w:t>
      </w:r>
    </w:p>
    <w:p>
      <w:pPr>
        <w:pStyle w:val="BodyText"/>
        <w:spacing w:line="360" w:lineRule="auto" w:before="185"/>
        <w:ind w:left="160" w:right="158"/>
        <w:jc w:val="both"/>
      </w:pPr>
      <w:r>
        <w:rPr/>
        <w:t>Figure</w:t>
      </w:r>
      <w:r>
        <w:rPr>
          <w:spacing w:val="-6"/>
        </w:rPr>
        <w:t> </w:t>
      </w:r>
      <w:r>
        <w:rPr/>
        <w:t>2.5 depicts</w:t>
      </w:r>
      <w:r>
        <w:rPr>
          <w:spacing w:val="-3"/>
        </w:rPr>
        <w:t> </w:t>
      </w:r>
      <w:r>
        <w:rPr/>
        <w:t>that illness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NCDs</w:t>
      </w:r>
      <w:r>
        <w:rPr>
          <w:spacing w:val="-1"/>
        </w:rPr>
        <w:t> </w:t>
      </w:r>
      <w:r>
        <w:rPr/>
        <w:t>alone</w:t>
      </w:r>
      <w:r>
        <w:rPr>
          <w:spacing w:val="-1"/>
        </w:rPr>
        <w:t> </w:t>
      </w:r>
      <w:r>
        <w:rPr/>
        <w:t>responsible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over</w:t>
      </w:r>
      <w:r>
        <w:rPr>
          <w:spacing w:val="-4"/>
        </w:rPr>
        <w:t> </w:t>
      </w:r>
      <w:r>
        <w:rPr/>
        <w:t>36</w:t>
      </w:r>
      <w:r>
        <w:rPr>
          <w:spacing w:val="-4"/>
        </w:rPr>
        <w:t> </w:t>
      </w:r>
      <w:r>
        <w:rPr/>
        <w:t>million</w:t>
      </w:r>
      <w:r>
        <w:rPr>
          <w:spacing w:val="-3"/>
        </w:rPr>
        <w:t> </w:t>
      </w:r>
      <w:r>
        <w:rPr/>
        <w:t>deaths globally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2017.</w:t>
      </w:r>
      <w:r>
        <w:rPr>
          <w:spacing w:val="-6"/>
        </w:rPr>
        <w:t> </w:t>
      </w:r>
      <w:r>
        <w:rPr/>
        <w:t>Nearly</w:t>
      </w:r>
      <w:r>
        <w:rPr>
          <w:spacing w:val="-10"/>
        </w:rPr>
        <w:t> </w:t>
      </w:r>
      <w:r>
        <w:rPr/>
        <w:t>half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deaths</w:t>
      </w:r>
      <w:r>
        <w:rPr>
          <w:spacing w:val="-4"/>
        </w:rPr>
        <w:t> </w:t>
      </w:r>
      <w:r>
        <w:rPr/>
        <w:t>(appropriately</w:t>
      </w:r>
      <w:r>
        <w:rPr>
          <w:spacing w:val="-8"/>
        </w:rPr>
        <w:t> </w:t>
      </w:r>
      <w:r>
        <w:rPr/>
        <w:t>18</w:t>
      </w:r>
      <w:r>
        <w:rPr>
          <w:spacing w:val="-5"/>
        </w:rPr>
        <w:t> </w:t>
      </w:r>
      <w:r>
        <w:rPr/>
        <w:t>million)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cardiovascular</w:t>
      </w:r>
      <w:r>
        <w:rPr>
          <w:spacing w:val="-4"/>
        </w:rPr>
        <w:t> </w:t>
      </w:r>
      <w:r>
        <w:rPr/>
        <w:t>diseases</w:t>
      </w:r>
      <w:r>
        <w:rPr>
          <w:spacing w:val="-3"/>
        </w:rPr>
        <w:t> </w:t>
      </w:r>
      <w:r>
        <w:rPr/>
        <w:t>such</w:t>
      </w:r>
      <w:r>
        <w:rPr>
          <w:spacing w:val="-57"/>
        </w:rPr>
        <w:t> </w:t>
      </w:r>
      <w:r>
        <w:rPr/>
        <w:t>as</w:t>
      </w:r>
      <w:r>
        <w:rPr>
          <w:spacing w:val="-4"/>
        </w:rPr>
        <w:t> </w:t>
      </w:r>
      <w:r>
        <w:rPr/>
        <w:t>stroke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heart</w:t>
      </w:r>
      <w:r>
        <w:rPr>
          <w:spacing w:val="-4"/>
        </w:rPr>
        <w:t> </w:t>
      </w:r>
      <w:r>
        <w:rPr/>
        <w:t>diseases.</w:t>
      </w:r>
      <w:r>
        <w:rPr>
          <w:spacing w:val="-3"/>
        </w:rPr>
        <w:t> </w:t>
      </w:r>
      <w:r>
        <w:rPr/>
        <w:t>Worse</w:t>
      </w:r>
      <w:r>
        <w:rPr>
          <w:spacing w:val="-5"/>
        </w:rPr>
        <w:t> </w:t>
      </w:r>
      <w:r>
        <w:rPr/>
        <w:t>still,</w:t>
      </w:r>
      <w:r>
        <w:rPr>
          <w:spacing w:val="-2"/>
        </w:rPr>
        <w:t> </w:t>
      </w:r>
      <w:r>
        <w:rPr/>
        <w:t>while</w:t>
      </w:r>
      <w:r>
        <w:rPr>
          <w:spacing w:val="-4"/>
        </w:rPr>
        <w:t> </w:t>
      </w:r>
      <w:r>
        <w:rPr/>
        <w:t>9</w:t>
      </w:r>
      <w:r>
        <w:rPr>
          <w:spacing w:val="-6"/>
        </w:rPr>
        <w:t> </w:t>
      </w:r>
      <w:r>
        <w:rPr/>
        <w:t>million</w:t>
      </w:r>
      <w:r>
        <w:rPr>
          <w:spacing w:val="-3"/>
        </w:rPr>
        <w:t> </w:t>
      </w:r>
      <w:r>
        <w:rPr/>
        <w:t>people</w:t>
      </w:r>
      <w:r>
        <w:rPr>
          <w:spacing w:val="-4"/>
        </w:rPr>
        <w:t> </w:t>
      </w:r>
      <w:r>
        <w:rPr/>
        <w:t>die</w:t>
      </w:r>
      <w:r>
        <w:rPr>
          <w:spacing w:val="-4"/>
        </w:rPr>
        <w:t> </w:t>
      </w:r>
      <w:r>
        <w:rPr/>
        <w:t>prematurely</w:t>
      </w:r>
      <w:r>
        <w:rPr>
          <w:spacing w:val="-6"/>
        </w:rPr>
        <w:t> </w:t>
      </w:r>
      <w:r>
        <w:rPr/>
        <w:t>every</w:t>
      </w:r>
      <w:r>
        <w:rPr>
          <w:spacing w:val="-4"/>
        </w:rPr>
        <w:t> </w:t>
      </w:r>
      <w:r>
        <w:rPr/>
        <w:t>year</w:t>
      </w:r>
      <w:r>
        <w:rPr>
          <w:spacing w:val="-4"/>
        </w:rPr>
        <w:t> </w:t>
      </w:r>
      <w:r>
        <w:rPr/>
        <w:t>before</w:t>
      </w:r>
      <w:r>
        <w:rPr>
          <w:spacing w:val="-58"/>
        </w:rPr>
        <w:t> </w:t>
      </w:r>
      <w:r>
        <w:rPr/>
        <w:t>the</w:t>
      </w:r>
      <w:r>
        <w:rPr>
          <w:spacing w:val="-12"/>
        </w:rPr>
        <w:t> </w:t>
      </w:r>
      <w:r>
        <w:rPr/>
        <w:t>age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60</w:t>
      </w:r>
      <w:r>
        <w:rPr>
          <w:spacing w:val="-8"/>
        </w:rPr>
        <w:t> </w:t>
      </w:r>
      <w:r>
        <w:rPr/>
        <w:t>from</w:t>
      </w:r>
      <w:r>
        <w:rPr>
          <w:spacing w:val="-10"/>
        </w:rPr>
        <w:t> </w:t>
      </w:r>
      <w:r>
        <w:rPr/>
        <w:t>brief</w:t>
      </w:r>
      <w:r>
        <w:rPr>
          <w:spacing w:val="-11"/>
        </w:rPr>
        <w:t> </w:t>
      </w:r>
      <w:r>
        <w:rPr/>
        <w:t>illness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associated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these</w:t>
      </w:r>
      <w:r>
        <w:rPr>
          <w:spacing w:val="-11"/>
        </w:rPr>
        <w:t> </w:t>
      </w:r>
      <w:r>
        <w:rPr/>
        <w:t>diseases;</w:t>
      </w:r>
      <w:r>
        <w:rPr>
          <w:spacing w:val="-8"/>
        </w:rPr>
        <w:t> </w:t>
      </w:r>
      <w:r>
        <w:rPr/>
        <w:t>8</w:t>
      </w:r>
      <w:r>
        <w:rPr>
          <w:spacing w:val="-10"/>
        </w:rPr>
        <w:t> </w:t>
      </w:r>
      <w:r>
        <w:rPr/>
        <w:t>million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these</w:t>
      </w:r>
      <w:r>
        <w:rPr>
          <w:spacing w:val="-11"/>
        </w:rPr>
        <w:t> </w:t>
      </w:r>
      <w:r>
        <w:rPr/>
        <w:t>premature</w:t>
      </w:r>
      <w:r>
        <w:rPr>
          <w:spacing w:val="-57"/>
        </w:rPr>
        <w:t> </w:t>
      </w:r>
      <w:r>
        <w:rPr/>
        <w:t>deaths</w:t>
      </w:r>
      <w:r>
        <w:rPr>
          <w:spacing w:val="-1"/>
        </w:rPr>
        <w:t> </w:t>
      </w:r>
      <w:r>
        <w:rPr/>
        <w:t>occurred in Africa (WHO</w:t>
      </w:r>
      <w:r>
        <w:rPr>
          <w:spacing w:val="-1"/>
        </w:rPr>
        <w:t> </w:t>
      </w:r>
      <w:r>
        <w:rPr/>
        <w:t>2018a; WHO, 2019).</w:t>
      </w: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1.639999pt;margin-top:9.116992pt;width:463.45pt;height:208.45pt;mso-position-horizontal-relative:page;mso-position-vertical-relative:paragraph;z-index:-15723520;mso-wrap-distance-left:0;mso-wrap-distance-right:0" coordorigin="1433,182" coordsize="9269,4169">
            <v:shape style="position:absolute;left:2047;top:842;width:4937;height:2168" coordorigin="2047,842" coordsize="4937,2168" path="m2047,3010l2772,3010m3432,3010l4877,3010m2047,2575l2772,2575m3432,2575l4877,2575m2047,2143l2772,2143m3432,2143l4877,2143m2047,1709l2772,1709m3432,1709l4877,1709m2047,1277l2772,1277m3432,1277l4877,1277m2047,842l2772,842m3432,842l6984,842e" filled="false" stroked="true" strokeweight=".72pt" strokecolor="#d9d9d9">
              <v:path arrowok="t"/>
              <v:stroke dashstyle="solid"/>
            </v:shape>
            <v:rect style="position:absolute;left:2772;top:755;width:660;height:2686" filled="true" fillcolor="#404040" stroked="false">
              <v:fill type="solid"/>
            </v:rect>
            <v:shape style="position:absolute;left:5539;top:1276;width:1445;height:1733" coordorigin="5539,1277" coordsize="1445,1733" path="m5539,3010l6984,3010m5539,2575l6984,2575m5539,2143l6984,2143m5539,1709l6984,1709m5539,1277l6984,1277e" filled="false" stroked="true" strokeweight=".72pt" strokecolor="#d9d9d9">
              <v:path arrowok="t"/>
              <v:stroke dashstyle="solid"/>
            </v:shape>
            <v:rect style="position:absolute;left:4876;top:1103;width:663;height:2338" filled="true" fillcolor="#404040" stroked="false">
              <v:fill type="solid"/>
            </v:rect>
            <v:shape style="position:absolute;left:7644;top:842;width:2832;height:2168" coordorigin="7644,842" coordsize="2832,2168" path="m7644,3010l9091,3010m7644,2575l10476,2575m7644,2143l10476,2143m7644,1709l10476,1709m7644,1277l10476,1277m7644,842l10476,842e" filled="false" stroked="true" strokeweight=".72pt" strokecolor="#d9d9d9">
              <v:path arrowok="t"/>
              <v:stroke dashstyle="solid"/>
            </v:shape>
            <v:rect style="position:absolute;left:6984;top:583;width:660;height:2859" filled="true" fillcolor="#404040" stroked="false">
              <v:fill type="solid"/>
            </v:rect>
            <v:line style="position:absolute" from="9751,3010" to="10476,3010" stroked="true" strokeweight=".72pt" strokecolor="#d9d9d9">
              <v:stroke dashstyle="solid"/>
            </v:line>
            <v:rect style="position:absolute;left:9091;top:2661;width:660;height:780" filled="true" fillcolor="#404040" stroked="false">
              <v:fill type="solid"/>
            </v:rect>
            <v:shape style="position:absolute;left:2047;top:410;width:8429;height:3032" coordorigin="2047,410" coordsize="8429,3032" path="m2047,3442l10476,3442m2047,410l10476,410e" filled="false" stroked="true" strokeweight=".72pt" strokecolor="#d9d9d9">
              <v:path arrowok="t"/>
              <v:stroke dashstyle="solid"/>
            </v:shape>
            <v:rect style="position:absolute;left:1440;top:189;width:9255;height:4155" filled="false" stroked="true" strokeweight=".72pt" strokecolor="#d9d9d9">
              <v:stroke dashstyle="solid"/>
            </v:rect>
            <v:shape style="position:absolute;left:1570;top:326;width:333;height:321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35%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30%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25%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20%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15%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10%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5%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16" w:lineRule="exact"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230;top:3592;width:6069;height:180" type="#_x0000_t202" filled="false" stroked="false">
              <v:textbox inset="0,0,0,0">
                <w:txbxContent>
                  <w:p>
                    <w:pPr>
                      <w:tabs>
                        <w:tab w:pos="203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Cardiovascular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Diseases</w:t>
                      <w:tab/>
                      <w:t>Communicable,</w:t>
                    </w:r>
                    <w:r>
                      <w:rPr>
                        <w:rFonts w:ascii="Calibri"/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maternal,   </w:t>
                    </w:r>
                    <w:r>
                      <w:rPr>
                        <w:rFonts w:ascii="Calibri"/>
                        <w:color w:val="585858"/>
                        <w:spacing w:val="3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Other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Non-Communicable</w:t>
                    </w:r>
                  </w:p>
                </w:txbxContent>
              </v:textbox>
              <w10:wrap type="none"/>
            </v:shape>
            <v:shape style="position:absolute;left:9152;top:3592;width:56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Injuries</w:t>
                    </w:r>
                  </w:p>
                </w:txbxContent>
              </v:textbox>
              <w10:wrap type="none"/>
            </v:shape>
            <v:shape style="position:absolute;left:4316;top:3812;width:3335;height:400" type="#_x0000_t202" filled="false" stroked="false">
              <v:textbox inset="0,0,0,0">
                <w:txbxContent>
                  <w:p>
                    <w:pPr>
                      <w:tabs>
                        <w:tab w:pos="2685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perinatal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nutritional</w:t>
                      <w:tab/>
                      <w:t>Diseases</w:t>
                    </w:r>
                  </w:p>
                  <w:p>
                    <w:pPr>
                      <w:spacing w:line="216" w:lineRule="exact" w:before="0"/>
                      <w:ind w:left="51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conditions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4"/>
        <w:spacing w:line="251" w:lineRule="exact"/>
      </w:pPr>
      <w:r>
        <w:rPr/>
        <w:t>Figure</w:t>
      </w:r>
      <w:r>
        <w:rPr>
          <w:spacing w:val="-2"/>
        </w:rPr>
        <w:t> </w:t>
      </w:r>
      <w:r>
        <w:rPr/>
        <w:t>2.5: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Deaths from</w:t>
      </w:r>
      <w:r>
        <w:rPr>
          <w:spacing w:val="-5"/>
        </w:rPr>
        <w:t> </w:t>
      </w:r>
      <w:r>
        <w:rPr/>
        <w:t>Ill-Health causes -</w:t>
      </w:r>
      <w:r>
        <w:rPr>
          <w:spacing w:val="-1"/>
        </w:rPr>
        <w:t> </w:t>
      </w:r>
      <w:r>
        <w:rPr/>
        <w:t>2017</w:t>
      </w:r>
    </w:p>
    <w:p>
      <w:pPr>
        <w:spacing w:line="228" w:lineRule="exact" w:before="0"/>
        <w:ind w:left="160" w:right="0" w:firstLine="0"/>
        <w:jc w:val="both"/>
        <w:rPr>
          <w:sz w:val="20"/>
        </w:rPr>
      </w:pPr>
      <w:r>
        <w:rPr>
          <w:i/>
          <w:sz w:val="20"/>
        </w:rPr>
        <w:t>Source: </w:t>
      </w:r>
      <w:r>
        <w:rPr>
          <w:sz w:val="20"/>
        </w:rPr>
        <w:t>WHO,</w:t>
      </w:r>
      <w:r>
        <w:rPr>
          <w:spacing w:val="-3"/>
          <w:sz w:val="20"/>
        </w:rPr>
        <w:t> </w:t>
      </w:r>
      <w:r>
        <w:rPr>
          <w:sz w:val="20"/>
        </w:rPr>
        <w:t>2018;</w:t>
      </w:r>
      <w:r>
        <w:rPr>
          <w:spacing w:val="-2"/>
          <w:sz w:val="20"/>
        </w:rPr>
        <w:t> </w:t>
      </w:r>
      <w:r>
        <w:rPr>
          <w:sz w:val="20"/>
        </w:rPr>
        <w:t>2019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160" w:right="159"/>
        <w:jc w:val="both"/>
      </w:pPr>
      <w:r>
        <w:rPr/>
        <w:t>African</w:t>
      </w:r>
      <w:r>
        <w:rPr>
          <w:spacing w:val="-12"/>
        </w:rPr>
        <w:t> </w:t>
      </w:r>
      <w:r>
        <w:rPr/>
        <w:t>continent</w:t>
      </w:r>
      <w:r>
        <w:rPr>
          <w:spacing w:val="-13"/>
        </w:rPr>
        <w:t> </w:t>
      </w:r>
      <w:r>
        <w:rPr/>
        <w:t>also</w:t>
      </w:r>
      <w:r>
        <w:rPr>
          <w:spacing w:val="-14"/>
        </w:rPr>
        <w:t> </w:t>
      </w:r>
      <w:r>
        <w:rPr/>
        <w:t>has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highest</w:t>
      </w:r>
      <w:r>
        <w:rPr>
          <w:spacing w:val="-14"/>
        </w:rPr>
        <w:t> </w:t>
      </w:r>
      <w:r>
        <w:rPr/>
        <w:t>prevalence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hypertension</w:t>
      </w:r>
      <w:r>
        <w:rPr>
          <w:spacing w:val="-14"/>
        </w:rPr>
        <w:t> </w:t>
      </w:r>
      <w:r>
        <w:rPr/>
        <w:t>which</w:t>
      </w:r>
      <w:r>
        <w:rPr>
          <w:spacing w:val="-11"/>
        </w:rPr>
        <w:t> </w:t>
      </w:r>
      <w:r>
        <w:rPr/>
        <w:t>affects</w:t>
      </w:r>
      <w:r>
        <w:rPr>
          <w:spacing w:val="-13"/>
        </w:rPr>
        <w:t> </w:t>
      </w:r>
      <w:r>
        <w:rPr/>
        <w:t>46%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adults</w:t>
      </w:r>
      <w:r>
        <w:rPr>
          <w:spacing w:val="-13"/>
        </w:rPr>
        <w:t> </w:t>
      </w:r>
      <w:r>
        <w:rPr/>
        <w:t>aged</w:t>
      </w:r>
      <w:r>
        <w:rPr>
          <w:spacing w:val="-58"/>
        </w:rPr>
        <w:t> </w:t>
      </w:r>
      <w:r>
        <w:rPr/>
        <w:t>over</w:t>
      </w:r>
      <w:r>
        <w:rPr>
          <w:spacing w:val="-12"/>
        </w:rPr>
        <w:t> </w:t>
      </w:r>
      <w:r>
        <w:rPr/>
        <w:t>25</w:t>
      </w:r>
      <w:r>
        <w:rPr>
          <w:spacing w:val="-6"/>
        </w:rPr>
        <w:t> </w:t>
      </w:r>
      <w:r>
        <w:rPr/>
        <w:t>years</w:t>
      </w:r>
      <w:r>
        <w:rPr>
          <w:spacing w:val="-12"/>
        </w:rPr>
        <w:t> </w:t>
      </w:r>
      <w:r>
        <w:rPr/>
        <w:t>(WHO,</w:t>
      </w:r>
      <w:r>
        <w:rPr>
          <w:spacing w:val="-10"/>
        </w:rPr>
        <w:t> </w:t>
      </w:r>
      <w:r>
        <w:rPr/>
        <w:t>2018).</w:t>
      </w:r>
      <w:r>
        <w:rPr>
          <w:spacing w:val="-12"/>
        </w:rPr>
        <w:t> </w:t>
      </w:r>
      <w:r>
        <w:rPr/>
        <w:t>Furthermore,</w:t>
      </w:r>
      <w:r>
        <w:rPr>
          <w:spacing w:val="-11"/>
        </w:rPr>
        <w:t> </w:t>
      </w:r>
      <w:r>
        <w:rPr/>
        <w:t>heart</w:t>
      </w:r>
      <w:r>
        <w:rPr>
          <w:spacing w:val="-10"/>
        </w:rPr>
        <w:t> </w:t>
      </w:r>
      <w:r>
        <w:rPr/>
        <w:t>disease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stroke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leading</w:t>
      </w:r>
      <w:r>
        <w:rPr>
          <w:spacing w:val="-10"/>
        </w:rPr>
        <w:t> </w:t>
      </w:r>
      <w:r>
        <w:rPr/>
        <w:t>causes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deaths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chronic</w:t>
      </w:r>
      <w:r>
        <w:rPr>
          <w:spacing w:val="-2"/>
        </w:rPr>
        <w:t> </w:t>
      </w:r>
      <w:r>
        <w:rPr/>
        <w:t>illnesses in</w:t>
      </w:r>
      <w:r>
        <w:rPr>
          <w:spacing w:val="2"/>
        </w:rPr>
        <w:t> </w:t>
      </w:r>
      <w:r>
        <w:rPr/>
        <w:t>Africa (World Heart</w:t>
      </w:r>
      <w:r>
        <w:rPr>
          <w:spacing w:val="1"/>
        </w:rPr>
        <w:t> </w:t>
      </w:r>
      <w:r>
        <w:rPr/>
        <w:t>Federation, 2017).</w:t>
      </w:r>
    </w:p>
    <w:p>
      <w:pPr>
        <w:pStyle w:val="BodyText"/>
        <w:spacing w:line="360" w:lineRule="auto" w:before="184"/>
        <w:ind w:left="160" w:right="155"/>
        <w:jc w:val="both"/>
      </w:pPr>
      <w:r>
        <w:rPr/>
        <w:t>Table</w:t>
      </w:r>
      <w:r>
        <w:rPr>
          <w:spacing w:val="-9"/>
        </w:rPr>
        <w:t> </w:t>
      </w:r>
      <w:r>
        <w:rPr/>
        <w:t>2.2</w:t>
      </w:r>
      <w:r>
        <w:rPr>
          <w:spacing w:val="-6"/>
        </w:rPr>
        <w:t> </w:t>
      </w:r>
      <w:r>
        <w:rPr/>
        <w:t>further</w:t>
      </w:r>
      <w:r>
        <w:rPr>
          <w:spacing w:val="-8"/>
        </w:rPr>
        <w:t> </w:t>
      </w:r>
      <w:r>
        <w:rPr/>
        <w:t>depicts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comparative</w:t>
      </w:r>
      <w:r>
        <w:rPr>
          <w:spacing w:val="-7"/>
        </w:rPr>
        <w:t> </w:t>
      </w:r>
      <w:r>
        <w:rPr/>
        <w:t>statistic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people</w:t>
      </w:r>
      <w:r>
        <w:rPr>
          <w:spacing w:val="-8"/>
        </w:rPr>
        <w:t> </w:t>
      </w:r>
      <w:r>
        <w:rPr/>
        <w:t>living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heart</w:t>
      </w:r>
      <w:r>
        <w:rPr>
          <w:spacing w:val="-7"/>
        </w:rPr>
        <w:t> </w:t>
      </w:r>
      <w:r>
        <w:rPr/>
        <w:t>diseases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South Africa in 2015. Both nations are seen as Africa’s largest economy and one of the fastest-</w:t>
      </w:r>
      <w:r>
        <w:rPr>
          <w:spacing w:val="1"/>
        </w:rPr>
        <w:t> </w:t>
      </w:r>
      <w:r>
        <w:rPr/>
        <w:t>growing in the world (World Bank, 2019). Yet about 360 people in every 10,000 are reported to</w:t>
      </w:r>
      <w:r>
        <w:rPr>
          <w:spacing w:val="1"/>
        </w:rPr>
        <w:t> </w:t>
      </w:r>
      <w:r>
        <w:rPr/>
        <w:t>be living with heart diseases in Nigeria. For South Africa, the numbers of people with heart</w:t>
      </w:r>
      <w:r>
        <w:rPr>
          <w:spacing w:val="1"/>
        </w:rPr>
        <w:t> </w:t>
      </w:r>
      <w:r>
        <w:rPr/>
        <w:t>dieseases</w:t>
      </w:r>
      <w:r>
        <w:rPr>
          <w:spacing w:val="-1"/>
        </w:rPr>
        <w:t> </w:t>
      </w:r>
      <w:r>
        <w:rPr/>
        <w:t>was 220 per 10,000.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Heading4"/>
        <w:spacing w:before="72" w:after="4"/>
        <w:jc w:val="left"/>
      </w:pPr>
      <w:r>
        <w:rPr/>
        <w:t>Table</w:t>
      </w:r>
      <w:r>
        <w:rPr>
          <w:spacing w:val="-1"/>
        </w:rPr>
        <w:t> </w:t>
      </w:r>
      <w:r>
        <w:rPr/>
        <w:t>2.2: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living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Heart</w:t>
      </w:r>
      <w:r>
        <w:rPr>
          <w:spacing w:val="-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(as at</w:t>
      </w:r>
      <w:r>
        <w:rPr>
          <w:spacing w:val="-1"/>
        </w:rPr>
        <w:t> </w:t>
      </w:r>
      <w:r>
        <w:rPr/>
        <w:t>2015)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7"/>
        <w:gridCol w:w="5401"/>
      </w:tblGrid>
      <w:tr>
        <w:trPr>
          <w:trHeight w:val="414" w:hRule="atLeast"/>
        </w:trPr>
        <w:tc>
          <w:tcPr>
            <w:tcW w:w="3867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Country</w:t>
            </w:r>
          </w:p>
        </w:tc>
        <w:tc>
          <w:tcPr>
            <w:tcW w:w="5401" w:type="dxa"/>
          </w:tcPr>
          <w:p>
            <w:pPr>
              <w:pStyle w:val="TableParagraph"/>
              <w:spacing w:line="275" w:lineRule="exact"/>
              <w:ind w:left="1780" w:right="177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10,000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people</w:t>
            </w:r>
          </w:p>
        </w:tc>
      </w:tr>
      <w:tr>
        <w:trPr>
          <w:trHeight w:val="412" w:hRule="atLeast"/>
        </w:trPr>
        <w:tc>
          <w:tcPr>
            <w:tcW w:w="386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Nigeria</w:t>
            </w:r>
          </w:p>
        </w:tc>
        <w:tc>
          <w:tcPr>
            <w:tcW w:w="5401" w:type="dxa"/>
          </w:tcPr>
          <w:p>
            <w:pPr>
              <w:pStyle w:val="TableParagraph"/>
              <w:spacing w:line="270" w:lineRule="exact"/>
              <w:ind w:left="1780" w:right="17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360</w:t>
            </w:r>
          </w:p>
        </w:tc>
      </w:tr>
      <w:tr>
        <w:trPr>
          <w:trHeight w:val="414" w:hRule="atLeast"/>
        </w:trPr>
        <w:tc>
          <w:tcPr>
            <w:tcW w:w="386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South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Africa</w:t>
            </w:r>
          </w:p>
        </w:tc>
        <w:tc>
          <w:tcPr>
            <w:tcW w:w="5401" w:type="dxa"/>
          </w:tcPr>
          <w:p>
            <w:pPr>
              <w:pStyle w:val="TableParagraph"/>
              <w:spacing w:line="270" w:lineRule="exact"/>
              <w:ind w:left="1780" w:right="177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220</w:t>
            </w:r>
          </w:p>
        </w:tc>
      </w:tr>
    </w:tbl>
    <w:p>
      <w:pPr>
        <w:spacing w:before="0"/>
        <w:ind w:left="160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Federation,</w:t>
      </w:r>
      <w:r>
        <w:rPr>
          <w:spacing w:val="-1"/>
          <w:sz w:val="24"/>
        </w:rPr>
        <w:t> </w:t>
      </w:r>
      <w:r>
        <w:rPr>
          <w:sz w:val="24"/>
        </w:rPr>
        <w:t>2017</w:t>
      </w:r>
    </w:p>
    <w:p>
      <w:pPr>
        <w:pStyle w:val="BodyText"/>
        <w:rPr>
          <w:sz w:val="27"/>
        </w:rPr>
      </w:pPr>
    </w:p>
    <w:p>
      <w:pPr>
        <w:pStyle w:val="BodyText"/>
        <w:spacing w:line="360" w:lineRule="auto"/>
        <w:ind w:left="160" w:right="156"/>
        <w:jc w:val="both"/>
      </w:pPr>
      <w:r>
        <w:rPr/>
        <w:pict>
          <v:group style="position:absolute;margin-left:71.639999pt;margin-top:144.863159pt;width:464.2pt;height:214.45pt;mso-position-horizontal-relative:page;mso-position-vertical-relative:paragraph;z-index:15734272" coordorigin="1433,2897" coordsize="9284,4289">
            <v:shape style="position:absolute;left:1440;top:2904;width:9269;height:4275" type="#_x0000_t75" stroked="false">
              <v:imagedata r:id="rId50" o:title=""/>
            </v:shape>
            <v:line style="position:absolute" from="1940,6714" to="10489,6714" stroked="true" strokeweight="1.56pt" strokecolor="#404040">
              <v:stroke dashstyle="solid"/>
            </v:line>
            <v:shape style="position:absolute;left:3008;top:3637;width:6413;height:1846" coordorigin="3008,3638" coordsize="6413,1846" path="m3008,5483l5147,4559,7283,4048,9421,3638e" filled="false" stroked="true" strokeweight="2.52pt" strokecolor="#4471c4">
              <v:path arrowok="t"/>
              <v:stroke dashstyle="solid"/>
            </v:shape>
            <v:shape style="position:absolute;left:2839;top:5313;width:341;height:341" type="#_x0000_t75" stroked="false">
              <v:imagedata r:id="rId51" o:title=""/>
            </v:shape>
            <v:shape style="position:absolute;left:4975;top:4389;width:341;height:341" type="#_x0000_t75" stroked="false">
              <v:imagedata r:id="rId52" o:title=""/>
            </v:shape>
            <v:shape style="position:absolute;left:7113;top:3875;width:341;height:341" type="#_x0000_t75" stroked="false">
              <v:imagedata r:id="rId53" o:title=""/>
            </v:shape>
            <v:shape style="position:absolute;left:9252;top:3465;width:341;height:341" type="#_x0000_t75" stroked="false">
              <v:imagedata r:id="rId54" o:title=""/>
            </v:shape>
            <v:rect style="position:absolute;left:1440;top:2904;width:9269;height:4275" filled="false" stroked="true" strokeweight=".72pt" strokecolor="#bebebe">
              <v:stroke dashstyle="solid"/>
            </v:rect>
            <v:shape style="position:absolute;left:9307;top:3527;width:251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1.9</w:t>
                    </w:r>
                  </w:p>
                </w:txbxContent>
              </v:textbox>
              <w10:wrap type="none"/>
            </v:shape>
            <v:shape style="position:absolute;left:7123;top:3937;width:34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1.86</w:t>
                    </w:r>
                  </w:p>
                </w:txbxContent>
              </v:textbox>
              <w10:wrap type="none"/>
            </v:shape>
            <v:shape style="position:absolute;left:4985;top:4450;width:34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1.81</w:t>
                    </w:r>
                  </w:p>
                </w:txbxContent>
              </v:textbox>
              <w10:wrap type="none"/>
            </v:shape>
            <v:shape style="position:absolute;left:2847;top:5374;width:342;height:22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1.72</w:t>
                    </w:r>
                  </w:p>
                </w:txbxContent>
              </v:textbox>
              <w10:wrap type="none"/>
            </v:shape>
            <v:shape style="position:absolute;left:2739;top:6865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853;top:6865;width:6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991;top:6865;width:6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129;top:6865;width:6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3.478661pt;margin-top:184.755508pt;width:13pt;height:122.6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Average</w:t>
                  </w:r>
                  <w:r>
                    <w:rPr>
                      <w:rFonts w:ascii="Calibri"/>
                      <w:b/>
                      <w:color w:val="404040"/>
                      <w:spacing w:val="-4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404040"/>
                      <w:sz w:val="18"/>
                    </w:rPr>
                    <w:t>Responds</w:t>
                  </w:r>
                  <w:r>
                    <w:rPr>
                      <w:rFonts w:ascii="Calibri"/>
                      <w:b/>
                      <w:color w:val="404040"/>
                      <w:spacing w:val="-4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404040"/>
                      <w:sz w:val="18"/>
                    </w:rPr>
                    <w:t>of</w:t>
                  </w:r>
                  <w:r>
                    <w:rPr>
                      <w:rFonts w:ascii="Calibri"/>
                      <w:b/>
                      <w:color w:val="404040"/>
                      <w:spacing w:val="-2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color w:val="404040"/>
                      <w:sz w:val="18"/>
                    </w:rPr>
                    <w:t>Household</w:t>
                  </w:r>
                </w:p>
              </w:txbxContent>
            </v:textbox>
            <w10:wrap type="none"/>
          </v:shape>
        </w:pict>
      </w:r>
      <w:r>
        <w:rPr/>
        <w:t>Figure 2.6 reflects that the trend of poor health outcomes (self-reported illness) of respondents’</w:t>
      </w:r>
      <w:r>
        <w:rPr>
          <w:spacing w:val="1"/>
        </w:rPr>
        <w:t> </w:t>
      </w:r>
      <w:r>
        <w:rPr/>
        <w:t>health status in the four weeks prior to the household visit. These was collected from the Nigeria</w:t>
      </w:r>
      <w:r>
        <w:rPr>
          <w:spacing w:val="1"/>
        </w:rPr>
        <w:t> </w:t>
      </w:r>
      <w:r>
        <w:rPr/>
        <w:t>General</w:t>
      </w:r>
      <w:r>
        <w:rPr>
          <w:spacing w:val="-11"/>
        </w:rPr>
        <w:t> </w:t>
      </w:r>
      <w:r>
        <w:rPr/>
        <w:t>Households</w:t>
      </w:r>
      <w:r>
        <w:rPr>
          <w:spacing w:val="-8"/>
        </w:rPr>
        <w:t> </w:t>
      </w:r>
      <w:r>
        <w:rPr/>
        <w:t>Panel</w:t>
      </w:r>
      <w:r>
        <w:rPr>
          <w:spacing w:val="-10"/>
        </w:rPr>
        <w:t> </w:t>
      </w:r>
      <w:r>
        <w:rPr/>
        <w:t>Survey</w:t>
      </w:r>
      <w:r>
        <w:rPr>
          <w:spacing w:val="-13"/>
        </w:rPr>
        <w:t> </w:t>
      </w:r>
      <w:r>
        <w:rPr/>
        <w:t>(NGHPS)</w:t>
      </w:r>
      <w:r>
        <w:rPr>
          <w:spacing w:val="-9"/>
        </w:rPr>
        <w:t> </w:t>
      </w:r>
      <w:r>
        <w:rPr/>
        <w:t>wave</w:t>
      </w:r>
      <w:r>
        <w:rPr>
          <w:spacing w:val="-11"/>
        </w:rPr>
        <w:t> </w:t>
      </w:r>
      <w:r>
        <w:rPr/>
        <w:t>1</w:t>
      </w:r>
      <w:r>
        <w:rPr>
          <w:spacing w:val="-11"/>
        </w:rPr>
        <w:t> </w:t>
      </w:r>
      <w:r>
        <w:rPr/>
        <w:t>2010/2011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wave</w:t>
      </w:r>
      <w:r>
        <w:rPr>
          <w:spacing w:val="-12"/>
        </w:rPr>
        <w:t> </w:t>
      </w:r>
      <w:r>
        <w:rPr/>
        <w:t>4</w:t>
      </w:r>
      <w:r>
        <w:rPr>
          <w:spacing w:val="-9"/>
        </w:rPr>
        <w:t> </w:t>
      </w:r>
      <w:r>
        <w:rPr/>
        <w:t>2018/2019</w:t>
      </w:r>
      <w:r>
        <w:rPr>
          <w:spacing w:val="-10"/>
        </w:rPr>
        <w:t> </w:t>
      </w:r>
      <w:r>
        <w:rPr/>
        <w:t>(NBS,</w:t>
      </w:r>
      <w:r>
        <w:rPr>
          <w:spacing w:val="-11"/>
        </w:rPr>
        <w:t> </w:t>
      </w:r>
      <w:r>
        <w:rPr/>
        <w:t>2013,</w:t>
      </w:r>
      <w:r>
        <w:rPr>
          <w:spacing w:val="-57"/>
        </w:rPr>
        <w:t> </w:t>
      </w:r>
      <w:r>
        <w:rPr/>
        <w:t>2019). Visibly, while average responds of self-reported illness was 1.72 in wave 1 (2010), this</w:t>
      </w:r>
      <w:r>
        <w:rPr>
          <w:spacing w:val="1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steadily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1.9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wave</w:t>
      </w:r>
      <w:r>
        <w:rPr>
          <w:spacing w:val="-4"/>
        </w:rPr>
        <w:t> </w:t>
      </w:r>
      <w:r>
        <w:rPr/>
        <w:t>4</w:t>
      </w:r>
      <w:r>
        <w:rPr>
          <w:spacing w:val="-5"/>
        </w:rPr>
        <w:t> </w:t>
      </w:r>
      <w:r>
        <w:rPr/>
        <w:t>(2019).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trend</w:t>
      </w:r>
      <w:r>
        <w:rPr>
          <w:spacing w:val="-5"/>
        </w:rPr>
        <w:t> </w:t>
      </w:r>
      <w:r>
        <w:rPr/>
        <w:t>revealed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poor</w:t>
      </w:r>
      <w:r>
        <w:rPr>
          <w:spacing w:val="-6"/>
        </w:rPr>
        <w:t> </w:t>
      </w:r>
      <w:r>
        <w:rPr/>
        <w:t>health</w:t>
      </w:r>
      <w:r>
        <w:rPr>
          <w:spacing w:val="-5"/>
        </w:rPr>
        <w:t> </w:t>
      </w:r>
      <w:r>
        <w:rPr/>
        <w:t>outcomes is</w:t>
      </w:r>
      <w:r>
        <w:rPr>
          <w:spacing w:val="-5"/>
        </w:rPr>
        <w:t> </w:t>
      </w:r>
      <w:r>
        <w:rPr/>
        <w:t>rising</w:t>
      </w:r>
      <w:r>
        <w:rPr>
          <w:spacing w:val="-8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spacing w:line="274" w:lineRule="exact" w:before="223"/>
      </w:pPr>
      <w:r>
        <w:rPr/>
        <w:t>Figure</w:t>
      </w:r>
      <w:r>
        <w:rPr>
          <w:spacing w:val="-2"/>
        </w:rPr>
        <w:t> </w:t>
      </w:r>
      <w:r>
        <w:rPr/>
        <w:t>2.6:</w:t>
      </w:r>
      <w:r>
        <w:rPr>
          <w:spacing w:val="-1"/>
        </w:rPr>
        <w:t> </w:t>
      </w:r>
      <w:r>
        <w:rPr/>
        <w:t>Trend</w:t>
      </w:r>
      <w:r>
        <w:rPr>
          <w:spacing w:val="-1"/>
        </w:rPr>
        <w:t> </w:t>
      </w:r>
      <w:r>
        <w:rPr/>
        <w:t>of Poor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(Self-Reported</w:t>
      </w:r>
      <w:r>
        <w:rPr>
          <w:spacing w:val="-1"/>
        </w:rPr>
        <w:t> </w:t>
      </w:r>
      <w:r>
        <w:rPr/>
        <w:t>Illness)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2010-2019</w:t>
      </w:r>
    </w:p>
    <w:p>
      <w:pPr>
        <w:spacing w:line="274" w:lineRule="exact" w:before="0"/>
        <w:ind w:left="160" w:right="0" w:firstLine="0"/>
        <w:jc w:val="both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3"/>
          <w:sz w:val="24"/>
        </w:rPr>
        <w:t> </w:t>
      </w:r>
      <w:r>
        <w:rPr>
          <w:sz w:val="24"/>
        </w:rPr>
        <w:t>NBS (various years)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6"/>
        <w:jc w:val="both"/>
      </w:pPr>
      <w:r>
        <w:rPr/>
        <w:t>A higher percentage of households indicated having health problems (in the past four weeks</w:t>
      </w:r>
      <w:r>
        <w:rPr>
          <w:spacing w:val="1"/>
        </w:rPr>
        <w:t> </w:t>
      </w:r>
      <w:r>
        <w:rPr/>
        <w:t>preceeding the NGHPS) in Wave 4 of 2019 compared to Wave 3 of 2016. This is presented in</w:t>
      </w:r>
      <w:r>
        <w:rPr>
          <w:spacing w:val="1"/>
        </w:rPr>
        <w:t> </w:t>
      </w:r>
      <w:r>
        <w:rPr/>
        <w:t>Figure</w:t>
      </w:r>
      <w:r>
        <w:rPr>
          <w:spacing w:val="-8"/>
        </w:rPr>
        <w:t> </w:t>
      </w:r>
      <w:r>
        <w:rPr/>
        <w:t>2.7.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percentage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males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more</w:t>
      </w:r>
      <w:r>
        <w:rPr>
          <w:spacing w:val="-7"/>
        </w:rPr>
        <w:t> </w:t>
      </w:r>
      <w:r>
        <w:rPr/>
        <w:t>sick-days</w:t>
      </w:r>
      <w:r>
        <w:rPr>
          <w:spacing w:val="-6"/>
        </w:rPr>
        <w:t> </w:t>
      </w:r>
      <w:r>
        <w:rPr/>
        <w:t>increased</w:t>
      </w:r>
      <w:r>
        <w:rPr>
          <w:spacing w:val="-3"/>
        </w:rPr>
        <w:t> </w:t>
      </w:r>
      <w:r>
        <w:rPr/>
        <w:t>from</w:t>
      </w:r>
      <w:r>
        <w:rPr>
          <w:spacing w:val="-6"/>
        </w:rPr>
        <w:t> </w:t>
      </w:r>
      <w:r>
        <w:rPr/>
        <w:t>13.7%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23.6%</w:t>
      </w:r>
      <w:r>
        <w:rPr>
          <w:spacing w:val="-7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2016 and 2019, respectively (NBS, 2017, 2019). Similar trend was found for females which also</w:t>
      </w:r>
      <w:r>
        <w:rPr>
          <w:spacing w:val="1"/>
        </w:rPr>
        <w:t> </w:t>
      </w:r>
      <w:r>
        <w:rPr/>
        <w:t>increase from 15.2% in 2016 to 24.5% in 2019. This further implies that both males and females</w:t>
      </w:r>
      <w:r>
        <w:rPr>
          <w:spacing w:val="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health problems during</w:t>
      </w:r>
      <w:r>
        <w:rPr>
          <w:spacing w:val="-3"/>
        </w:rPr>
        <w:t> </w:t>
      </w:r>
      <w:r>
        <w:rPr/>
        <w:t>the reference</w:t>
      </w:r>
      <w:r>
        <w:rPr>
          <w:spacing w:val="-2"/>
        </w:rPr>
        <w:t> </w:t>
      </w:r>
      <w:r>
        <w:rPr/>
        <w:t>periods in Nigeria.</w:t>
      </w:r>
    </w:p>
    <w:p>
      <w:pPr>
        <w:spacing w:after="0" w:line="360" w:lineRule="auto"/>
        <w:jc w:val="both"/>
        <w:sectPr>
          <w:pgSz w:w="12240" w:h="15840"/>
          <w:pgMar w:header="0" w:footer="1015" w:top="1480" w:bottom="1200" w:left="1280" w:right="12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3.478661pt;margin-top:157.502029pt;width:13pt;height:47.7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4536A"/>
                      <w:sz w:val="18"/>
                    </w:rPr>
                    <w:t>Percentages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4"/>
        <w:spacing w:line="272" w:lineRule="exact"/>
        <w:jc w:val="left"/>
      </w:pPr>
      <w:r>
        <w:rPr/>
        <w:pict>
          <v:group style="position:absolute;margin-left:71.639999pt;margin-top:-253.80687pt;width:450pt;height:254.2pt;mso-position-horizontal-relative:page;mso-position-vertical-relative:paragraph;z-index:15735296" coordorigin="1433,-5076" coordsize="9000,5084">
            <v:shape style="position:absolute;left:2676;top:-2230;width:7529;height:656" coordorigin="2676,-2230" coordsize="7529,656" path="m2676,-1575l10205,-1575m2676,-2230l10205,-2230e" filled="false" stroked="true" strokeweight=".72pt" strokecolor="#dfe4eb">
              <v:path arrowok="t"/>
              <v:stroke dashstyle="solid"/>
            </v:shape>
            <v:shape style="position:absolute;left:3189;top:-2746;width:1296;height:1839" type="#_x0000_t75" stroked="false">
              <v:imagedata r:id="rId55" o:title=""/>
            </v:shape>
            <v:line style="position:absolute" from="2676,-2885" to="10205,-2885" stroked="true" strokeweight=".72pt" strokecolor="#dfe4eb">
              <v:stroke dashstyle="solid"/>
            </v:line>
            <v:shape style="position:absolute;left:6955;top:-2943;width:1296;height:2036" type="#_x0000_t75" stroked="false">
              <v:imagedata r:id="rId56" o:title=""/>
            </v:shape>
            <v:line style="position:absolute" from="2676,-3540" to="10205,-3540" stroked="true" strokeweight=".72pt" strokecolor="#dfe4eb">
              <v:stroke dashstyle="solid"/>
            </v:line>
            <v:shape style="position:absolute;left:4629;top:-3913;width:1296;height:3005" type="#_x0000_t75" stroked="false">
              <v:imagedata r:id="rId57" o:title=""/>
            </v:shape>
            <v:line style="position:absolute" from="2676,-4195" to="10205,-4195" stroked="true" strokeweight=".72pt" strokecolor="#dfe4eb">
              <v:stroke dashstyle="solid"/>
            </v:line>
            <v:shape style="position:absolute;left:8395;top:-4160;width:1296;height:3252" type="#_x0000_t75" stroked="false">
              <v:imagedata r:id="rId58" o:title=""/>
            </v:shape>
            <v:shape style="position:absolute;left:3256;top:-2715;width:1162;height:1796" type="#_x0000_t75" stroked="false">
              <v:imagedata r:id="rId59" o:title=""/>
            </v:shape>
            <v:shape style="position:absolute;left:7022;top:-2912;width:1162;height:1992" type="#_x0000_t75" stroked="false">
              <v:imagedata r:id="rId60" o:title=""/>
            </v:shape>
            <v:shape style="position:absolute;left:4696;top:-3881;width:1162;height:2962" type="#_x0000_t75" stroked="false">
              <v:imagedata r:id="rId61" o:title=""/>
            </v:shape>
            <v:shape style="position:absolute;left:8462;top:-4129;width:1162;height:3209" type="#_x0000_t75" stroked="false">
              <v:imagedata r:id="rId62" o:title=""/>
            </v:shape>
            <v:shape style="position:absolute;left:2676;top:-4849;width:7529;height:3929" coordorigin="2676,-4848" coordsize="7529,3929" path="m2676,-919l10205,-919m2676,-4848l10205,-4848e" filled="false" stroked="true" strokeweight=".72pt" strokecolor="#dfe4eb">
              <v:path arrowok="t"/>
              <v:stroke dashstyle="solid"/>
            </v:shape>
            <v:shape style="position:absolute;left:4188;top:-337;width:99;height:99" type="#_x0000_t75" stroked="false">
              <v:imagedata r:id="rId63" o:title=""/>
            </v:shape>
            <v:shape style="position:absolute;left:6110;top:-337;width:99;height:99" type="#_x0000_t75" stroked="false">
              <v:imagedata r:id="rId64" o:title=""/>
            </v:shape>
            <v:rect style="position:absolute;left:1440;top:-5069;width:8986;height:5069" filled="false" stroked="true" strokeweight=".72pt" strokecolor="#dfe4eb">
              <v:stroke dashstyle="solid"/>
            </v:rect>
            <v:shape style="position:absolute;left:1969;top:-4934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30.00%</w:t>
                    </w:r>
                  </w:p>
                </w:txbxContent>
              </v:textbox>
              <w10:wrap type="none"/>
            </v:shape>
            <v:shape style="position:absolute;left:1969;top:-4278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25.00%</w:t>
                    </w:r>
                  </w:p>
                </w:txbxContent>
              </v:textbox>
              <w10:wrap type="none"/>
            </v:shape>
            <v:shape style="position:absolute;left:1969;top:-3624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20.00%</w:t>
                    </w:r>
                  </w:p>
                </w:txbxContent>
              </v:textbox>
              <w10:wrap type="none"/>
            </v:shape>
            <v:shape style="position:absolute;left:1969;top:-2969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15.00%</w:t>
                    </w:r>
                  </w:p>
                </w:txbxContent>
              </v:textbox>
              <w10:wrap type="none"/>
            </v:shape>
            <v:shape style="position:absolute;left:7334;top:-2785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15.20%</w:t>
                    </w:r>
                  </w:p>
                </w:txbxContent>
              </v:textbox>
              <w10:wrap type="none"/>
            </v:shape>
            <v:shape style="position:absolute;left:1969;top:-2314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10.00%</w:t>
                    </w:r>
                  </w:p>
                </w:txbxContent>
              </v:textbox>
              <w10:wrap type="none"/>
            </v:shape>
            <v:shape style="position:absolute;left:2061;top:-1659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5.00%</w:t>
                    </w:r>
                  </w:p>
                </w:txbxContent>
              </v:textbox>
              <w10:wrap type="none"/>
            </v:shape>
            <v:shape style="position:absolute;left:2061;top:-1004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0.00%</w:t>
                    </w:r>
                  </w:p>
                </w:txbxContent>
              </v:textbox>
              <w10:wrap type="none"/>
            </v:shape>
            <v:shape style="position:absolute;left:4373;top:-770;width:3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8057;top:-770;width:55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4329;top:-372;width:15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(2015/2016)</w:t>
                    </w:r>
                  </w:p>
                </w:txbxContent>
              </v:textbox>
              <w10:wrap type="none"/>
            </v:shape>
            <v:shape style="position:absolute;left:6252;top:-372;width:15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(2018/2019)</w:t>
                    </w:r>
                  </w:p>
                </w:txbxContent>
              </v:textbox>
              <w10:wrap type="none"/>
            </v:shape>
            <v:shape style="position:absolute;left:4696;top:-3881;width:1162;height:2962" type="#_x0000_t202" filled="false" stroked="false">
              <v:textbox inset="0,0,0,0">
                <w:txbxContent>
                  <w:p>
                    <w:pPr>
                      <w:spacing w:before="90"/>
                      <w:ind w:left="31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22.60%</w:t>
                    </w:r>
                  </w:p>
                </w:txbxContent>
              </v:textbox>
              <w10:wrap type="none"/>
            </v:shape>
            <v:shape style="position:absolute;left:8462;top:-4129;width:1162;height:3209" type="#_x0000_t202" filled="false" stroked="false">
              <v:textbox inset="0,0,0,0">
                <w:txbxContent>
                  <w:p>
                    <w:pPr>
                      <w:spacing w:before="89"/>
                      <w:ind w:left="31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24.50%</w:t>
                    </w:r>
                  </w:p>
                </w:txbxContent>
              </v:textbox>
              <w10:wrap type="none"/>
            </v:shape>
            <v:shape style="position:absolute;left:3256;top:-2715;width:1162;height:1796" type="#_x0000_t202" filled="false" stroked="false">
              <v:textbox inset="0,0,0,0">
                <w:txbxContent>
                  <w:p>
                    <w:pPr>
                      <w:spacing w:before="90"/>
                      <w:ind w:left="31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13.70%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2.7:</w:t>
      </w:r>
      <w:r>
        <w:rPr>
          <w:spacing w:val="-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Problem</w:t>
      </w:r>
      <w:r>
        <w:rPr>
          <w:spacing w:val="-4"/>
        </w:rPr>
        <w:t> </w:t>
      </w:r>
      <w:r>
        <w:rPr/>
        <w:t>Experiences</w:t>
      </w:r>
      <w:r>
        <w:rPr>
          <w:spacing w:val="-1"/>
        </w:rPr>
        <w:t> </w:t>
      </w:r>
      <w:r>
        <w:rPr/>
        <w:t>in Nigeria (2016-2019)</w:t>
      </w:r>
    </w:p>
    <w:p>
      <w:pPr>
        <w:spacing w:line="272" w:lineRule="exact" w:before="0"/>
        <w:ind w:left="160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3"/>
          <w:sz w:val="24"/>
        </w:rPr>
        <w:t> </w:t>
      </w:r>
      <w:r>
        <w:rPr>
          <w:sz w:val="24"/>
        </w:rPr>
        <w:t>NBS</w:t>
      </w:r>
      <w:r>
        <w:rPr>
          <w:spacing w:val="-1"/>
          <w:sz w:val="24"/>
        </w:rPr>
        <w:t> </w:t>
      </w:r>
      <w:r>
        <w:rPr>
          <w:sz w:val="24"/>
        </w:rPr>
        <w:t>(various years)</w:t>
      </w: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160" w:right="159"/>
        <w:jc w:val="both"/>
      </w:pPr>
      <w:r>
        <w:rPr/>
        <w:t>The</w:t>
      </w:r>
      <w:r>
        <w:rPr>
          <w:spacing w:val="-5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Figures</w:t>
      </w:r>
      <w:r>
        <w:rPr>
          <w:spacing w:val="-4"/>
        </w:rPr>
        <w:t> </w:t>
      </w:r>
      <w:r>
        <w:rPr/>
        <w:t>2.6 and</w:t>
      </w:r>
      <w:r>
        <w:rPr>
          <w:spacing w:val="-3"/>
        </w:rPr>
        <w:t> </w:t>
      </w:r>
      <w:r>
        <w:rPr/>
        <w:t>2.7</w:t>
      </w:r>
      <w:r>
        <w:rPr>
          <w:spacing w:val="-4"/>
        </w:rPr>
        <w:t> </w:t>
      </w:r>
      <w:r>
        <w:rPr/>
        <w:t>clearly</w:t>
      </w:r>
      <w:r>
        <w:rPr>
          <w:spacing w:val="-8"/>
        </w:rPr>
        <w:t> </w:t>
      </w:r>
      <w:r>
        <w:rPr/>
        <w:t>shows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performing</w:t>
      </w:r>
      <w:r>
        <w:rPr>
          <w:spacing w:val="-57"/>
        </w:rPr>
        <w:t> </w:t>
      </w:r>
      <w:r>
        <w:rPr>
          <w:spacing w:val="-1"/>
        </w:rPr>
        <w:t>very</w:t>
      </w:r>
      <w:r>
        <w:rPr>
          <w:spacing w:val="-17"/>
        </w:rPr>
        <w:t> </w:t>
      </w:r>
      <w:r>
        <w:rPr>
          <w:spacing w:val="-1"/>
        </w:rPr>
        <w:t>poorer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/>
        <w:t>Nigeria.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surprising</w:t>
      </w:r>
      <w:r>
        <w:rPr>
          <w:spacing w:val="-15"/>
        </w:rPr>
        <w:t> </w:t>
      </w:r>
      <w:r>
        <w:rPr/>
        <w:t>as</w:t>
      </w:r>
      <w:r>
        <w:rPr>
          <w:spacing w:val="-12"/>
        </w:rPr>
        <w:t> </w:t>
      </w:r>
      <w:r>
        <w:rPr/>
        <w:t>its</w:t>
      </w:r>
      <w:r>
        <w:rPr>
          <w:spacing w:val="-14"/>
        </w:rPr>
        <w:t> </w:t>
      </w:r>
      <w:r>
        <w:rPr/>
        <w:t>corresponding</w:t>
      </w:r>
      <w:r>
        <w:rPr>
          <w:spacing w:val="-15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facts</w:t>
      </w:r>
      <w:r>
        <w:rPr>
          <w:spacing w:val="-12"/>
        </w:rPr>
        <w:t> </w:t>
      </w:r>
      <w:r>
        <w:rPr/>
        <w:t>that,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percentage</w:t>
      </w:r>
      <w:r>
        <w:rPr>
          <w:spacing w:val="-57"/>
        </w:rPr>
        <w:t> </w:t>
      </w:r>
      <w:r>
        <w:rPr/>
        <w:t>of deaths in Nigeria from NCDs alone such as, dementia, stroke, heart disease, and high blood</w:t>
      </w:r>
      <w:r>
        <w:rPr>
          <w:spacing w:val="1"/>
        </w:rPr>
        <w:t> </w:t>
      </w:r>
      <w:r>
        <w:rPr/>
        <w:t>pressure</w:t>
      </w:r>
      <w:r>
        <w:rPr>
          <w:spacing w:val="-12"/>
        </w:rPr>
        <w:t> </w:t>
      </w:r>
      <w:r>
        <w:rPr/>
        <w:t>increased</w:t>
      </w:r>
      <w:r>
        <w:rPr>
          <w:spacing w:val="-8"/>
        </w:rPr>
        <w:t> </w:t>
      </w:r>
      <w:r>
        <w:rPr/>
        <w:t>from</w:t>
      </w:r>
      <w:r>
        <w:rPr>
          <w:spacing w:val="-10"/>
        </w:rPr>
        <w:t> </w:t>
      </w:r>
      <w:r>
        <w:rPr/>
        <w:t>21.9%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2000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more</w:t>
      </w:r>
      <w:r>
        <w:rPr>
          <w:spacing w:val="-9"/>
        </w:rPr>
        <w:t> </w:t>
      </w:r>
      <w:r>
        <w:rPr/>
        <w:t>than</w:t>
      </w:r>
      <w:r>
        <w:rPr>
          <w:spacing w:val="-10"/>
        </w:rPr>
        <w:t> </w:t>
      </w:r>
      <w:r>
        <w:rPr/>
        <w:t>29%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2016</w:t>
      </w:r>
      <w:r>
        <w:rPr>
          <w:spacing w:val="-10"/>
        </w:rPr>
        <w:t> </w:t>
      </w:r>
      <w:r>
        <w:rPr/>
        <w:t>(WHO,</w:t>
      </w:r>
      <w:r>
        <w:rPr>
          <w:spacing w:val="-10"/>
        </w:rPr>
        <w:t> </w:t>
      </w:r>
      <w:r>
        <w:rPr/>
        <w:t>2019).</w:t>
      </w:r>
      <w:r>
        <w:rPr>
          <w:spacing w:val="-11"/>
        </w:rPr>
        <w:t> </w:t>
      </w:r>
      <w:r>
        <w:rPr/>
        <w:t>Again,</w:t>
      </w:r>
      <w:r>
        <w:rPr>
          <w:spacing w:val="-10"/>
        </w:rPr>
        <w:t> </w:t>
      </w:r>
      <w:r>
        <w:rPr/>
        <w:t>more</w:t>
      </w:r>
      <w:r>
        <w:rPr>
          <w:spacing w:val="-12"/>
        </w:rPr>
        <w:t> </w:t>
      </w:r>
      <w:r>
        <w:rPr/>
        <w:t>than</w:t>
      </w:r>
      <w:r>
        <w:rPr>
          <w:spacing w:val="-57"/>
        </w:rPr>
        <w:t> </w:t>
      </w:r>
      <w:r>
        <w:rPr/>
        <w:t>31%</w:t>
      </w:r>
      <w:r>
        <w:rPr>
          <w:spacing w:val="-2"/>
        </w:rPr>
        <w:t> </w:t>
      </w:r>
      <w:r>
        <w:rPr/>
        <w:t>of Nigerian</w:t>
      </w:r>
      <w:r>
        <w:rPr>
          <w:spacing w:val="-1"/>
        </w:rPr>
        <w:t> </w:t>
      </w:r>
      <w:r>
        <w:rPr/>
        <w:t>adults older than</w:t>
      </w:r>
      <w:r>
        <w:rPr>
          <w:spacing w:val="-1"/>
        </w:rPr>
        <w:t> </w:t>
      </w:r>
      <w:r>
        <w:rPr/>
        <w:t>25</w:t>
      </w:r>
      <w:r>
        <w:rPr>
          <w:spacing w:val="4"/>
        </w:rPr>
        <w:t> </w:t>
      </w:r>
      <w:r>
        <w:rPr/>
        <w:t>years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hypertensive (WHO,</w:t>
      </w:r>
      <w:r>
        <w:rPr>
          <w:spacing w:val="-1"/>
        </w:rPr>
        <w:t> </w:t>
      </w:r>
      <w:r>
        <w:rPr/>
        <w:t>2020).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9"/>
        </w:numPr>
        <w:tabs>
          <w:tab w:pos="1001" w:val="left" w:leader="none"/>
        </w:tabs>
        <w:spacing w:line="240" w:lineRule="auto" w:before="0" w:after="0"/>
        <w:ind w:left="1000" w:right="0" w:hanging="841"/>
        <w:jc w:val="both"/>
        <w:rPr>
          <w:i/>
          <w:sz w:val="24"/>
        </w:rPr>
      </w:pPr>
      <w:r>
        <w:rPr>
          <w:i/>
          <w:sz w:val="24"/>
        </w:rPr>
        <w:t>Infectious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Communicable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Diseases</w:t>
      </w:r>
    </w:p>
    <w:p>
      <w:pPr>
        <w:pStyle w:val="BodyText"/>
        <w:spacing w:line="360" w:lineRule="auto" w:before="137"/>
        <w:ind w:left="160" w:right="159"/>
        <w:jc w:val="both"/>
      </w:pPr>
      <w:r>
        <w:rPr/>
        <w:t>Another health outcomes issues are from infectious diseases. Table 2.3 shows the percentages of</w:t>
      </w:r>
      <w:r>
        <w:rPr>
          <w:spacing w:val="1"/>
        </w:rPr>
        <w:t> </w:t>
      </w:r>
      <w:r>
        <w:rPr/>
        <w:t>infectious diseases reported by sex in Nigeria from 2010 to 2015. In the table, the most reported</w:t>
      </w:r>
      <w:r>
        <w:rPr>
          <w:spacing w:val="1"/>
        </w:rPr>
        <w:t> </w:t>
      </w:r>
      <w:r>
        <w:rPr/>
        <w:t>infectious diseases or causes of ill-health issues in 2010 and 2015 is malaria. The males reported</w:t>
      </w:r>
      <w:r>
        <w:rPr>
          <w:spacing w:val="1"/>
        </w:rPr>
        <w:t> </w:t>
      </w:r>
      <w:r>
        <w:rPr/>
        <w:t>66.9% and females 55.9 of the disease in 2010 while in 2015, the percentage reduced slightly to</w:t>
      </w:r>
      <w:r>
        <w:rPr>
          <w:spacing w:val="1"/>
        </w:rPr>
        <w:t> </w:t>
      </w:r>
      <w:r>
        <w:rPr/>
        <w:t>56.8%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males, but rose</w:t>
      </w:r>
      <w:r>
        <w:rPr>
          <w:spacing w:val="-1"/>
        </w:rPr>
        <w:t> </w:t>
      </w:r>
      <w:r>
        <w:rPr/>
        <w:t>to 70% for female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same period.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60" w:right="155"/>
        <w:jc w:val="both"/>
      </w:pPr>
      <w:r>
        <w:rPr/>
        <w:t>The</w:t>
      </w:r>
      <w:r>
        <w:rPr>
          <w:spacing w:val="-5"/>
        </w:rPr>
        <w:t> </w:t>
      </w:r>
      <w:r>
        <w:rPr/>
        <w:t>next</w:t>
      </w:r>
      <w:r>
        <w:rPr>
          <w:spacing w:val="-3"/>
        </w:rPr>
        <w:t> </w:t>
      </w:r>
      <w:r>
        <w:rPr/>
        <w:t>ailment</w:t>
      </w:r>
      <w:r>
        <w:rPr>
          <w:spacing w:val="-3"/>
        </w:rPr>
        <w:t> </w:t>
      </w:r>
      <w:r>
        <w:rPr/>
        <w:t>after</w:t>
      </w:r>
      <w:r>
        <w:rPr>
          <w:spacing w:val="-5"/>
        </w:rPr>
        <w:t> </w:t>
      </w:r>
      <w:r>
        <w:rPr/>
        <w:t>malaria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HIV/AIDs,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13.7%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males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24.4%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females 24.4% in 2010, respectively. However, this reduced to 10.2% by males and 12.3% by</w:t>
      </w:r>
      <w:r>
        <w:rPr>
          <w:spacing w:val="1"/>
        </w:rPr>
        <w:t> </w:t>
      </w:r>
      <w:r>
        <w:rPr/>
        <w:t>females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2015.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causes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ill-health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nation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descending</w:t>
      </w:r>
      <w:r>
        <w:rPr>
          <w:spacing w:val="-7"/>
        </w:rPr>
        <w:t> </w:t>
      </w:r>
      <w:r>
        <w:rPr/>
        <w:t>order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cases</w:t>
      </w:r>
      <w:r>
        <w:rPr>
          <w:spacing w:val="-4"/>
        </w:rPr>
        <w:t> </w:t>
      </w:r>
      <w:r>
        <w:rPr/>
        <w:t>also</w:t>
      </w:r>
      <w:r>
        <w:rPr>
          <w:spacing w:val="-58"/>
        </w:rPr>
        <w:t> </w:t>
      </w:r>
      <w:r>
        <w:rPr/>
        <w:t>includes diarrhea, pneumonia, measles, meningitis, all forms of hepatitis, tuberculosis, yellow</w:t>
      </w:r>
      <w:r>
        <w:rPr>
          <w:spacing w:val="1"/>
        </w:rPr>
        <w:t> </w:t>
      </w:r>
      <w:r>
        <w:rPr/>
        <w:t>fever, cholera</w:t>
      </w:r>
      <w:r>
        <w:rPr>
          <w:spacing w:val="-1"/>
        </w:rPr>
        <w:t> </w:t>
      </w:r>
      <w:r>
        <w:rPr/>
        <w:t>and STDs.</w:t>
      </w:r>
    </w:p>
    <w:p>
      <w:pPr>
        <w:spacing w:after="0" w:line="360" w:lineRule="auto"/>
        <w:jc w:val="both"/>
        <w:sectPr>
          <w:pgSz w:w="12240" w:h="15840"/>
          <w:pgMar w:header="0" w:footer="1015" w:top="1440" w:bottom="1200" w:left="1280" w:right="1280"/>
        </w:sectPr>
      </w:pPr>
    </w:p>
    <w:p>
      <w:pPr>
        <w:pStyle w:val="Heading4"/>
        <w:spacing w:before="77" w:after="3"/>
        <w:jc w:val="left"/>
      </w:pPr>
      <w:r>
        <w:rPr/>
        <w:t>Table</w:t>
      </w:r>
      <w:r>
        <w:rPr>
          <w:spacing w:val="-2"/>
        </w:rPr>
        <w:t> </w:t>
      </w:r>
      <w:r>
        <w:rPr/>
        <w:t>2.3:</w:t>
      </w:r>
      <w:r>
        <w:rPr>
          <w:spacing w:val="-1"/>
        </w:rPr>
        <w:t> </w:t>
      </w:r>
      <w:r>
        <w:rPr/>
        <w:t>Percentages</w:t>
      </w:r>
      <w:r>
        <w:rPr>
          <w:spacing w:val="2"/>
        </w:rPr>
        <w:t> </w:t>
      </w:r>
      <w:r>
        <w:rPr/>
        <w:t>of Reported</w:t>
      </w:r>
      <w:r>
        <w:rPr>
          <w:spacing w:val="-2"/>
        </w:rPr>
        <w:t> </w:t>
      </w:r>
      <w:r>
        <w:rPr/>
        <w:t>Infectious</w:t>
      </w:r>
      <w:r>
        <w:rPr>
          <w:spacing w:val="-4"/>
        </w:rPr>
        <w:t> </w:t>
      </w:r>
      <w:r>
        <w:rPr/>
        <w:t>Diseases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Sex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(2010-2015)*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8"/>
        <w:gridCol w:w="655"/>
        <w:gridCol w:w="658"/>
        <w:gridCol w:w="655"/>
        <w:gridCol w:w="655"/>
        <w:gridCol w:w="657"/>
        <w:gridCol w:w="655"/>
        <w:gridCol w:w="635"/>
        <w:gridCol w:w="635"/>
        <w:gridCol w:w="635"/>
        <w:gridCol w:w="636"/>
        <w:gridCol w:w="635"/>
        <w:gridCol w:w="635"/>
      </w:tblGrid>
      <w:tr>
        <w:trPr>
          <w:trHeight w:val="316" w:hRule="atLeast"/>
        </w:trPr>
        <w:tc>
          <w:tcPr>
            <w:tcW w:w="159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gridSpan w:val="2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310" w:type="dxa"/>
            <w:gridSpan w:val="2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2011</w:t>
            </w:r>
          </w:p>
        </w:tc>
        <w:tc>
          <w:tcPr>
            <w:tcW w:w="1312" w:type="dxa"/>
            <w:gridSpan w:val="2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1270" w:type="dxa"/>
            <w:gridSpan w:val="2"/>
          </w:tcPr>
          <w:p>
            <w:pPr>
              <w:pStyle w:val="TableParagraph"/>
              <w:spacing w:line="275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  <w:tc>
          <w:tcPr>
            <w:tcW w:w="1271" w:type="dxa"/>
            <w:gridSpan w:val="2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270" w:type="dxa"/>
            <w:gridSpan w:val="2"/>
          </w:tcPr>
          <w:p>
            <w:pPr>
              <w:pStyle w:val="TableParagraph"/>
              <w:spacing w:line="275" w:lineRule="exact"/>
              <w:ind w:left="11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  <w:tr>
        <w:trPr>
          <w:trHeight w:val="318" w:hRule="atLeast"/>
        </w:trPr>
        <w:tc>
          <w:tcPr>
            <w:tcW w:w="159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1"/>
              <w:ind w:left="108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w w:val="100"/>
                <w:sz w:val="22"/>
              </w:rPr>
              <w:t>M</w:t>
            </w:r>
          </w:p>
        </w:tc>
        <w:tc>
          <w:tcPr>
            <w:tcW w:w="658" w:type="dxa"/>
          </w:tcPr>
          <w:p>
            <w:pPr>
              <w:pStyle w:val="TableParagraph"/>
              <w:spacing w:before="1"/>
              <w:ind w:left="108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w w:val="100"/>
                <w:sz w:val="22"/>
              </w:rPr>
              <w:t>F</w:t>
            </w:r>
          </w:p>
        </w:tc>
        <w:tc>
          <w:tcPr>
            <w:tcW w:w="655" w:type="dxa"/>
          </w:tcPr>
          <w:p>
            <w:pPr>
              <w:pStyle w:val="TableParagraph"/>
              <w:spacing w:before="1"/>
              <w:ind w:left="108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w w:val="100"/>
                <w:sz w:val="22"/>
              </w:rPr>
              <w:t>M</w:t>
            </w:r>
          </w:p>
        </w:tc>
        <w:tc>
          <w:tcPr>
            <w:tcW w:w="655" w:type="dxa"/>
          </w:tcPr>
          <w:p>
            <w:pPr>
              <w:pStyle w:val="TableParagraph"/>
              <w:spacing w:before="1"/>
              <w:ind w:left="108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w w:val="100"/>
                <w:sz w:val="22"/>
              </w:rPr>
              <w:t>F</w:t>
            </w:r>
          </w:p>
        </w:tc>
        <w:tc>
          <w:tcPr>
            <w:tcW w:w="657" w:type="dxa"/>
          </w:tcPr>
          <w:p>
            <w:pPr>
              <w:pStyle w:val="TableParagraph"/>
              <w:spacing w:before="1"/>
              <w:ind w:left="108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w w:val="100"/>
                <w:sz w:val="22"/>
              </w:rPr>
              <w:t>M</w:t>
            </w:r>
          </w:p>
        </w:tc>
        <w:tc>
          <w:tcPr>
            <w:tcW w:w="655" w:type="dxa"/>
          </w:tcPr>
          <w:p>
            <w:pPr>
              <w:pStyle w:val="TableParagraph"/>
              <w:spacing w:before="1"/>
              <w:ind w:left="109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w w:val="100"/>
                <w:sz w:val="22"/>
              </w:rPr>
              <w:t>F</w:t>
            </w:r>
          </w:p>
        </w:tc>
        <w:tc>
          <w:tcPr>
            <w:tcW w:w="635" w:type="dxa"/>
          </w:tcPr>
          <w:p>
            <w:pPr>
              <w:pStyle w:val="TableParagraph"/>
              <w:spacing w:before="1"/>
              <w:ind w:left="110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w w:val="100"/>
                <w:sz w:val="22"/>
              </w:rPr>
              <w:t>M</w:t>
            </w:r>
          </w:p>
        </w:tc>
        <w:tc>
          <w:tcPr>
            <w:tcW w:w="635" w:type="dxa"/>
          </w:tcPr>
          <w:p>
            <w:pPr>
              <w:pStyle w:val="TableParagraph"/>
              <w:spacing w:before="1"/>
              <w:ind w:left="111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w w:val="100"/>
                <w:sz w:val="22"/>
              </w:rPr>
              <w:t>F</w:t>
            </w:r>
          </w:p>
        </w:tc>
        <w:tc>
          <w:tcPr>
            <w:tcW w:w="635" w:type="dxa"/>
          </w:tcPr>
          <w:p>
            <w:pPr>
              <w:pStyle w:val="TableParagraph"/>
              <w:spacing w:before="1"/>
              <w:ind w:left="112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w w:val="100"/>
                <w:sz w:val="22"/>
              </w:rPr>
              <w:t>M</w:t>
            </w:r>
          </w:p>
        </w:tc>
        <w:tc>
          <w:tcPr>
            <w:tcW w:w="636" w:type="dxa"/>
          </w:tcPr>
          <w:p>
            <w:pPr>
              <w:pStyle w:val="TableParagraph"/>
              <w:spacing w:before="1"/>
              <w:ind w:left="113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w w:val="100"/>
                <w:sz w:val="22"/>
              </w:rPr>
              <w:t>F</w:t>
            </w:r>
          </w:p>
        </w:tc>
        <w:tc>
          <w:tcPr>
            <w:tcW w:w="635" w:type="dxa"/>
          </w:tcPr>
          <w:p>
            <w:pPr>
              <w:pStyle w:val="TableParagraph"/>
              <w:spacing w:before="1"/>
              <w:ind w:left="113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w w:val="100"/>
                <w:sz w:val="22"/>
              </w:rPr>
              <w:t>M</w:t>
            </w:r>
          </w:p>
        </w:tc>
        <w:tc>
          <w:tcPr>
            <w:tcW w:w="635" w:type="dxa"/>
          </w:tcPr>
          <w:p>
            <w:pPr>
              <w:pStyle w:val="TableParagraph"/>
              <w:spacing w:before="1"/>
              <w:ind w:left="114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w w:val="100"/>
                <w:sz w:val="22"/>
              </w:rPr>
              <w:t>F</w:t>
            </w:r>
          </w:p>
        </w:tc>
      </w:tr>
      <w:tr>
        <w:trPr>
          <w:trHeight w:val="378" w:hRule="atLeast"/>
        </w:trPr>
        <w:tc>
          <w:tcPr>
            <w:tcW w:w="1598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HIV/AIDs</w:t>
            </w:r>
          </w:p>
        </w:tc>
        <w:tc>
          <w:tcPr>
            <w:tcW w:w="655" w:type="dxa"/>
          </w:tcPr>
          <w:p>
            <w:pPr>
              <w:pStyle w:val="TableParagraph"/>
              <w:spacing w:line="247" w:lineRule="exact"/>
              <w:ind w:left="108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13.7</w:t>
            </w:r>
          </w:p>
        </w:tc>
        <w:tc>
          <w:tcPr>
            <w:tcW w:w="658" w:type="dxa"/>
          </w:tcPr>
          <w:p>
            <w:pPr>
              <w:pStyle w:val="TableParagraph"/>
              <w:spacing w:line="247" w:lineRule="exact"/>
              <w:ind w:left="108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24.4</w:t>
            </w:r>
          </w:p>
        </w:tc>
        <w:tc>
          <w:tcPr>
            <w:tcW w:w="655" w:type="dxa"/>
          </w:tcPr>
          <w:p>
            <w:pPr>
              <w:pStyle w:val="TableParagraph"/>
              <w:spacing w:line="247" w:lineRule="exact"/>
              <w:ind w:left="108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12.3</w:t>
            </w:r>
          </w:p>
        </w:tc>
        <w:tc>
          <w:tcPr>
            <w:tcW w:w="655" w:type="dxa"/>
          </w:tcPr>
          <w:p>
            <w:pPr>
              <w:pStyle w:val="TableParagraph"/>
              <w:spacing w:line="247" w:lineRule="exact"/>
              <w:ind w:left="108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23.4</w:t>
            </w:r>
          </w:p>
        </w:tc>
        <w:tc>
          <w:tcPr>
            <w:tcW w:w="657" w:type="dxa"/>
          </w:tcPr>
          <w:p>
            <w:pPr>
              <w:pStyle w:val="TableParagraph"/>
              <w:spacing w:line="247" w:lineRule="exact"/>
              <w:ind w:left="108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5.9</w:t>
            </w:r>
          </w:p>
        </w:tc>
        <w:tc>
          <w:tcPr>
            <w:tcW w:w="655" w:type="dxa"/>
          </w:tcPr>
          <w:p>
            <w:pPr>
              <w:pStyle w:val="TableParagraph"/>
              <w:spacing w:line="247" w:lineRule="exact"/>
              <w:ind w:left="10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10.2</w:t>
            </w:r>
          </w:p>
        </w:tc>
        <w:tc>
          <w:tcPr>
            <w:tcW w:w="635" w:type="dxa"/>
          </w:tcPr>
          <w:p>
            <w:pPr>
              <w:pStyle w:val="TableParagraph"/>
              <w:spacing w:line="247" w:lineRule="exact"/>
              <w:ind w:left="11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</w:t>
            </w:r>
          </w:p>
        </w:tc>
        <w:tc>
          <w:tcPr>
            <w:tcW w:w="635" w:type="dxa"/>
          </w:tcPr>
          <w:p>
            <w:pPr>
              <w:pStyle w:val="TableParagraph"/>
              <w:spacing w:line="247" w:lineRule="exact"/>
              <w:ind w:left="11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</w:t>
            </w:r>
          </w:p>
        </w:tc>
        <w:tc>
          <w:tcPr>
            <w:tcW w:w="635" w:type="dxa"/>
          </w:tcPr>
          <w:p>
            <w:pPr>
              <w:pStyle w:val="TableParagraph"/>
              <w:spacing w:line="247" w:lineRule="exact"/>
              <w:ind w:left="112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23.4</w:t>
            </w:r>
          </w:p>
        </w:tc>
        <w:tc>
          <w:tcPr>
            <w:tcW w:w="636" w:type="dxa"/>
          </w:tcPr>
          <w:p>
            <w:pPr>
              <w:pStyle w:val="TableParagraph"/>
              <w:spacing w:line="247" w:lineRule="exact"/>
              <w:ind w:left="11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24.4</w:t>
            </w:r>
          </w:p>
        </w:tc>
        <w:tc>
          <w:tcPr>
            <w:tcW w:w="635" w:type="dxa"/>
          </w:tcPr>
          <w:p>
            <w:pPr>
              <w:pStyle w:val="TableParagraph"/>
              <w:spacing w:line="247" w:lineRule="exact"/>
              <w:ind w:left="11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10.2</w:t>
            </w:r>
          </w:p>
        </w:tc>
        <w:tc>
          <w:tcPr>
            <w:tcW w:w="635" w:type="dxa"/>
          </w:tcPr>
          <w:p>
            <w:pPr>
              <w:pStyle w:val="TableParagraph"/>
              <w:spacing w:line="247" w:lineRule="exact"/>
              <w:ind w:left="114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12.3</w:t>
            </w:r>
          </w:p>
        </w:tc>
      </w:tr>
      <w:tr>
        <w:trPr>
          <w:trHeight w:val="414" w:hRule="atLeast"/>
        </w:trPr>
        <w:tc>
          <w:tcPr>
            <w:tcW w:w="159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Pneumonia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4.9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3.5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4.3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3.9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2.9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4.3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3.5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2.9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5.1</w:t>
            </w:r>
          </w:p>
        </w:tc>
      </w:tr>
      <w:tr>
        <w:trPr>
          <w:trHeight w:val="412" w:hRule="atLeast"/>
        </w:trPr>
        <w:tc>
          <w:tcPr>
            <w:tcW w:w="159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Malaria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66.9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59.9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70.3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62.1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68.6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56.8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56.8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56.8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62.1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59.9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56.8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70.3</w:t>
            </w:r>
          </w:p>
        </w:tc>
      </w:tr>
      <w:tr>
        <w:trPr>
          <w:trHeight w:val="414" w:hRule="atLeast"/>
        </w:trPr>
        <w:tc>
          <w:tcPr>
            <w:tcW w:w="1598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Hepatitis</w:t>
            </w:r>
          </w:p>
        </w:tc>
        <w:tc>
          <w:tcPr>
            <w:tcW w:w="655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8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5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</w:t>
            </w:r>
          </w:p>
        </w:tc>
        <w:tc>
          <w:tcPr>
            <w:tcW w:w="655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</w:t>
            </w:r>
          </w:p>
        </w:tc>
        <w:tc>
          <w:tcPr>
            <w:tcW w:w="657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</w:t>
            </w:r>
          </w:p>
        </w:tc>
        <w:tc>
          <w:tcPr>
            <w:tcW w:w="655" w:type="dxa"/>
          </w:tcPr>
          <w:p>
            <w:pPr>
              <w:pStyle w:val="TableParagraph"/>
              <w:spacing w:line="273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</w:t>
            </w:r>
          </w:p>
        </w:tc>
        <w:tc>
          <w:tcPr>
            <w:tcW w:w="635" w:type="dxa"/>
          </w:tcPr>
          <w:p>
            <w:pPr>
              <w:pStyle w:val="TableParagraph"/>
              <w:spacing w:line="27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</w:t>
            </w:r>
          </w:p>
        </w:tc>
        <w:tc>
          <w:tcPr>
            <w:tcW w:w="635" w:type="dxa"/>
          </w:tcPr>
          <w:p>
            <w:pPr>
              <w:pStyle w:val="TableParagraph"/>
              <w:spacing w:line="273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</w:t>
            </w:r>
          </w:p>
        </w:tc>
        <w:tc>
          <w:tcPr>
            <w:tcW w:w="635" w:type="dxa"/>
          </w:tcPr>
          <w:p>
            <w:pPr>
              <w:pStyle w:val="TableParagraph"/>
              <w:spacing w:line="273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</w:t>
            </w:r>
          </w:p>
        </w:tc>
        <w:tc>
          <w:tcPr>
            <w:tcW w:w="636" w:type="dxa"/>
          </w:tcPr>
          <w:p>
            <w:pPr>
              <w:pStyle w:val="TableParagraph"/>
              <w:spacing w:line="273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35" w:type="dxa"/>
          </w:tcPr>
          <w:p>
            <w:pPr>
              <w:pStyle w:val="TableParagraph"/>
              <w:spacing w:line="273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</w:t>
            </w:r>
          </w:p>
        </w:tc>
        <w:tc>
          <w:tcPr>
            <w:tcW w:w="635" w:type="dxa"/>
          </w:tcPr>
          <w:p>
            <w:pPr>
              <w:pStyle w:val="TableParagraph"/>
              <w:spacing w:line="273" w:lineRule="exact"/>
              <w:ind w:left="1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</w:t>
            </w:r>
          </w:p>
        </w:tc>
      </w:tr>
      <w:tr>
        <w:trPr>
          <w:trHeight w:val="414" w:hRule="atLeast"/>
        </w:trPr>
        <w:tc>
          <w:tcPr>
            <w:tcW w:w="159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Tuberculosis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</w:tr>
      <w:tr>
        <w:trPr>
          <w:trHeight w:val="412" w:hRule="atLeast"/>
        </w:trPr>
        <w:tc>
          <w:tcPr>
            <w:tcW w:w="159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Yellow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Fever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3.8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415" w:hRule="atLeast"/>
        </w:trPr>
        <w:tc>
          <w:tcPr>
            <w:tcW w:w="1598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Measles</w:t>
            </w:r>
          </w:p>
        </w:tc>
        <w:tc>
          <w:tcPr>
            <w:tcW w:w="655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</w:t>
            </w:r>
          </w:p>
        </w:tc>
        <w:tc>
          <w:tcPr>
            <w:tcW w:w="658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</w:t>
            </w:r>
          </w:p>
        </w:tc>
        <w:tc>
          <w:tcPr>
            <w:tcW w:w="655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</w:t>
            </w:r>
          </w:p>
        </w:tc>
        <w:tc>
          <w:tcPr>
            <w:tcW w:w="655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</w:t>
            </w:r>
          </w:p>
        </w:tc>
        <w:tc>
          <w:tcPr>
            <w:tcW w:w="657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5.6</w:t>
            </w:r>
          </w:p>
        </w:tc>
        <w:tc>
          <w:tcPr>
            <w:tcW w:w="655" w:type="dxa"/>
          </w:tcPr>
          <w:p>
            <w:pPr>
              <w:pStyle w:val="TableParagraph"/>
              <w:spacing w:line="273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</w:t>
            </w:r>
          </w:p>
        </w:tc>
        <w:tc>
          <w:tcPr>
            <w:tcW w:w="635" w:type="dxa"/>
          </w:tcPr>
          <w:p>
            <w:pPr>
              <w:pStyle w:val="TableParagraph"/>
              <w:spacing w:line="27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</w:t>
            </w:r>
          </w:p>
        </w:tc>
        <w:tc>
          <w:tcPr>
            <w:tcW w:w="635" w:type="dxa"/>
          </w:tcPr>
          <w:p>
            <w:pPr>
              <w:pStyle w:val="TableParagraph"/>
              <w:spacing w:line="273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</w:t>
            </w:r>
          </w:p>
        </w:tc>
        <w:tc>
          <w:tcPr>
            <w:tcW w:w="635" w:type="dxa"/>
          </w:tcPr>
          <w:p>
            <w:pPr>
              <w:pStyle w:val="TableParagraph"/>
              <w:spacing w:line="273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</w:t>
            </w:r>
          </w:p>
        </w:tc>
        <w:tc>
          <w:tcPr>
            <w:tcW w:w="636" w:type="dxa"/>
          </w:tcPr>
          <w:p>
            <w:pPr>
              <w:pStyle w:val="TableParagraph"/>
              <w:spacing w:line="273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</w:t>
            </w:r>
          </w:p>
        </w:tc>
        <w:tc>
          <w:tcPr>
            <w:tcW w:w="635" w:type="dxa"/>
          </w:tcPr>
          <w:p>
            <w:pPr>
              <w:pStyle w:val="TableParagraph"/>
              <w:spacing w:line="273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</w:t>
            </w:r>
          </w:p>
        </w:tc>
        <w:tc>
          <w:tcPr>
            <w:tcW w:w="635" w:type="dxa"/>
          </w:tcPr>
          <w:p>
            <w:pPr>
              <w:pStyle w:val="TableParagraph"/>
              <w:spacing w:line="273" w:lineRule="exact"/>
              <w:ind w:left="1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</w:t>
            </w:r>
          </w:p>
        </w:tc>
      </w:tr>
      <w:tr>
        <w:trPr>
          <w:trHeight w:val="414" w:hRule="atLeast"/>
        </w:trPr>
        <w:tc>
          <w:tcPr>
            <w:tcW w:w="159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Diarrhea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9.3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7.2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22.3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19.5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19.5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7.2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22.3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9.3</w:t>
            </w:r>
          </w:p>
        </w:tc>
      </w:tr>
      <w:tr>
        <w:trPr>
          <w:trHeight w:val="412" w:hRule="atLeast"/>
        </w:trPr>
        <w:tc>
          <w:tcPr>
            <w:tcW w:w="159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Meningitis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</w:t>
            </w:r>
          </w:p>
        </w:tc>
      </w:tr>
      <w:tr>
        <w:trPr>
          <w:trHeight w:val="414" w:hRule="atLeast"/>
        </w:trPr>
        <w:tc>
          <w:tcPr>
            <w:tcW w:w="159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Cholera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</w:tr>
      <w:tr>
        <w:trPr>
          <w:trHeight w:val="414" w:hRule="atLeast"/>
        </w:trPr>
        <w:tc>
          <w:tcPr>
            <w:tcW w:w="159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STDs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</w:t>
            </w:r>
          </w:p>
        </w:tc>
      </w:tr>
      <w:tr>
        <w:trPr>
          <w:trHeight w:val="412" w:hRule="atLeast"/>
        </w:trPr>
        <w:tc>
          <w:tcPr>
            <w:tcW w:w="159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Pertussis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</w:tr>
      <w:tr>
        <w:trPr>
          <w:trHeight w:val="414" w:hRule="atLeast"/>
        </w:trPr>
        <w:tc>
          <w:tcPr>
            <w:tcW w:w="159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Others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0.6</w:t>
            </w:r>
          </w:p>
        </w:tc>
        <w:tc>
          <w:tcPr>
            <w:tcW w:w="655" w:type="dxa"/>
          </w:tcPr>
          <w:p>
            <w:pPr>
              <w:pStyle w:val="TableParagraph"/>
              <w:spacing w:line="270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left="1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</w:t>
            </w:r>
          </w:p>
        </w:tc>
      </w:tr>
      <w:tr>
        <w:trPr>
          <w:trHeight w:val="415" w:hRule="atLeast"/>
        </w:trPr>
        <w:tc>
          <w:tcPr>
            <w:tcW w:w="1598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Total</w:t>
            </w:r>
          </w:p>
        </w:tc>
        <w:tc>
          <w:tcPr>
            <w:tcW w:w="655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100</w:t>
            </w:r>
          </w:p>
        </w:tc>
        <w:tc>
          <w:tcPr>
            <w:tcW w:w="658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100</w:t>
            </w:r>
          </w:p>
        </w:tc>
        <w:tc>
          <w:tcPr>
            <w:tcW w:w="655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100</w:t>
            </w:r>
          </w:p>
        </w:tc>
        <w:tc>
          <w:tcPr>
            <w:tcW w:w="655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100</w:t>
            </w:r>
          </w:p>
        </w:tc>
        <w:tc>
          <w:tcPr>
            <w:tcW w:w="657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100</w:t>
            </w:r>
          </w:p>
        </w:tc>
        <w:tc>
          <w:tcPr>
            <w:tcW w:w="655" w:type="dxa"/>
          </w:tcPr>
          <w:p>
            <w:pPr>
              <w:pStyle w:val="TableParagraph"/>
              <w:spacing w:line="275" w:lineRule="exact"/>
              <w:ind w:left="109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100</w:t>
            </w:r>
          </w:p>
        </w:tc>
        <w:tc>
          <w:tcPr>
            <w:tcW w:w="635" w:type="dxa"/>
          </w:tcPr>
          <w:p>
            <w:pPr>
              <w:pStyle w:val="TableParagraph"/>
              <w:spacing w:line="275" w:lineRule="exact"/>
              <w:ind w:left="110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100</w:t>
            </w:r>
          </w:p>
        </w:tc>
        <w:tc>
          <w:tcPr>
            <w:tcW w:w="635" w:type="dxa"/>
          </w:tcPr>
          <w:p>
            <w:pPr>
              <w:pStyle w:val="TableParagraph"/>
              <w:spacing w:line="275" w:lineRule="exact"/>
              <w:ind w:left="111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100</w:t>
            </w:r>
          </w:p>
        </w:tc>
        <w:tc>
          <w:tcPr>
            <w:tcW w:w="635" w:type="dxa"/>
          </w:tcPr>
          <w:p>
            <w:pPr>
              <w:pStyle w:val="TableParagraph"/>
              <w:spacing w:line="275" w:lineRule="exact"/>
              <w:ind w:left="112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100</w:t>
            </w:r>
          </w:p>
        </w:tc>
        <w:tc>
          <w:tcPr>
            <w:tcW w:w="636" w:type="dxa"/>
          </w:tcPr>
          <w:p>
            <w:pPr>
              <w:pStyle w:val="TableParagraph"/>
              <w:spacing w:line="275" w:lineRule="exact"/>
              <w:ind w:left="113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100</w:t>
            </w:r>
          </w:p>
        </w:tc>
        <w:tc>
          <w:tcPr>
            <w:tcW w:w="635" w:type="dxa"/>
          </w:tcPr>
          <w:p>
            <w:pPr>
              <w:pStyle w:val="TableParagraph"/>
              <w:spacing w:line="275" w:lineRule="exact"/>
              <w:ind w:left="113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100</w:t>
            </w:r>
          </w:p>
        </w:tc>
        <w:tc>
          <w:tcPr>
            <w:tcW w:w="635" w:type="dxa"/>
          </w:tcPr>
          <w:p>
            <w:pPr>
              <w:pStyle w:val="TableParagraph"/>
              <w:spacing w:line="275" w:lineRule="exact"/>
              <w:ind w:left="114"/>
              <w:jc w:val="left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100</w:t>
            </w:r>
          </w:p>
        </w:tc>
      </w:tr>
    </w:tbl>
    <w:p>
      <w:pPr>
        <w:spacing w:before="0"/>
        <w:ind w:left="160" w:right="0" w:firstLine="0"/>
        <w:jc w:val="left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NBS</w:t>
      </w:r>
      <w:r>
        <w:rPr>
          <w:spacing w:val="-2"/>
          <w:sz w:val="20"/>
        </w:rPr>
        <w:t> </w:t>
      </w:r>
      <w:r>
        <w:rPr>
          <w:sz w:val="20"/>
        </w:rPr>
        <w:t>(2015);</w:t>
      </w:r>
      <w:r>
        <w:rPr>
          <w:spacing w:val="-2"/>
          <w:sz w:val="20"/>
        </w:rPr>
        <w:t> </w:t>
      </w:r>
      <w:r>
        <w:rPr>
          <w:sz w:val="20"/>
        </w:rPr>
        <w:t>Federal</w:t>
      </w:r>
      <w:r>
        <w:rPr>
          <w:spacing w:val="-4"/>
          <w:sz w:val="20"/>
        </w:rPr>
        <w:t> </w:t>
      </w:r>
      <w:r>
        <w:rPr>
          <w:sz w:val="20"/>
        </w:rPr>
        <w:t>Ministry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Health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various</w:t>
      </w:r>
      <w:r>
        <w:rPr>
          <w:spacing w:val="3"/>
          <w:sz w:val="20"/>
        </w:rPr>
        <w:t> </w:t>
      </w:r>
      <w:r>
        <w:rPr>
          <w:sz w:val="20"/>
        </w:rPr>
        <w:t>years</w:t>
      </w:r>
      <w:r>
        <w:rPr>
          <w:spacing w:val="-3"/>
          <w:sz w:val="20"/>
        </w:rPr>
        <w:t> </w:t>
      </w:r>
      <w:r>
        <w:rPr>
          <w:sz w:val="20"/>
        </w:rPr>
        <w:t>(Male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M,</w:t>
      </w:r>
      <w:r>
        <w:rPr>
          <w:spacing w:val="-1"/>
          <w:sz w:val="20"/>
        </w:rPr>
        <w:t> </w:t>
      </w:r>
      <w:r>
        <w:rPr>
          <w:sz w:val="20"/>
        </w:rPr>
        <w:t>Female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F)</w:t>
      </w:r>
    </w:p>
    <w:p>
      <w:pPr>
        <w:spacing w:before="0"/>
        <w:ind w:left="160" w:right="0" w:firstLine="0"/>
        <w:jc w:val="left"/>
        <w:rPr>
          <w:sz w:val="18"/>
        </w:rPr>
      </w:pPr>
      <w:r>
        <w:rPr/>
        <w:pict>
          <v:group style="position:absolute;margin-left:71.639999pt;margin-top:32.065945pt;width:468pt;height:227.2pt;mso-position-horizontal-relative:page;mso-position-vertical-relative:paragraph;z-index:-43100672" coordorigin="1433,641" coordsize="9360,4544">
            <v:shape style="position:absolute;left:3147;top:1477;width:6432;height:3012" coordorigin="3148,1478" coordsize="6432,3012" path="m3148,1478l7168,3112,9176,4233,9580,4490e" filled="false" stroked="true" strokeweight="1.56pt" strokecolor="#4471c4">
              <v:path arrowok="t"/>
              <v:stroke dashstyle="solid"/>
            </v:shape>
            <v:shape style="position:absolute;left:3088;top:1418;width:116;height:116" type="#_x0000_t75" stroked="false">
              <v:imagedata r:id="rId65" o:title=""/>
            </v:shape>
            <v:shape style="position:absolute;left:7108;top:3052;width:116;height:116" type="#_x0000_t75" stroked="false">
              <v:imagedata r:id="rId65" o:title=""/>
            </v:shape>
            <v:shape style="position:absolute;left:9520;top:4432;width:116;height:116" type="#_x0000_t75" stroked="false">
              <v:imagedata r:id="rId66" o:title=""/>
            </v:shape>
            <v:rect style="position:absolute;left:1440;top:648;width:9346;height:4529" filled="false" stroked="true" strokeweight=".72pt" strokecolor="#d9d9d9">
              <v:stroke dashstyle="solid"/>
            </v:rect>
            <v:shape style="position:absolute;left:1994;top:78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74</w:t>
                    </w:r>
                  </w:p>
                </w:txbxContent>
              </v:textbox>
              <w10:wrap type="none"/>
            </v:shape>
            <v:shape style="position:absolute;left:1994;top:142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72</w:t>
                    </w:r>
                  </w:p>
                </w:txbxContent>
              </v:textbox>
              <w10:wrap type="none"/>
            </v:shape>
            <v:shape style="position:absolute;left:1994;top:206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1994;top:270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68</w:t>
                    </w:r>
                  </w:p>
                </w:txbxContent>
              </v:textbox>
              <w10:wrap type="none"/>
            </v:shape>
            <v:shape style="position:absolute;left:1994;top:334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66</w:t>
                    </w:r>
                  </w:p>
                </w:txbxContent>
              </v:textbox>
              <w10:wrap type="none"/>
            </v:shape>
            <v:shape style="position:absolute;left:1994;top:399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1994;top:4631;width:552;height:41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62</w:t>
                    </w:r>
                  </w:p>
                  <w:p>
                    <w:pPr>
                      <w:spacing w:line="216" w:lineRule="exact" w:before="14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1998</w:t>
                    </w:r>
                  </w:p>
                </w:txbxContent>
              </v:textbox>
              <w10:wrap type="none"/>
            </v:shape>
            <v:shape style="position:absolute;left:2965;top:486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3769;top:486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2002</w:t>
                    </w:r>
                  </w:p>
                </w:txbxContent>
              </v:textbox>
              <w10:wrap type="none"/>
            </v:shape>
            <v:shape style="position:absolute;left:4574;top:486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2004</w:t>
                    </w:r>
                  </w:p>
                </w:txbxContent>
              </v:textbox>
              <w10:wrap type="none"/>
            </v:shape>
            <v:shape style="position:absolute;left:5378;top:486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2006</w:t>
                    </w:r>
                  </w:p>
                </w:txbxContent>
              </v:textbox>
              <w10:wrap type="none"/>
            </v:shape>
            <v:shape style="position:absolute;left:6182;top:486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2008</w:t>
                    </w:r>
                  </w:p>
                </w:txbxContent>
              </v:textbox>
              <w10:wrap type="none"/>
            </v:shape>
            <v:shape style="position:absolute;left:6986;top:486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7790;top:486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8594;top:486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9398;top:486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10202;top:486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106.127777pt;width:12pt;height:67.150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Percentages</w:t>
                  </w:r>
                  <w:r>
                    <w:rPr>
                      <w:rFonts w:ascii="Calibri"/>
                      <w:color w:val="585858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*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case</w:t>
      </w:r>
      <w:r>
        <w:rPr>
          <w:spacing w:val="-2"/>
          <w:sz w:val="18"/>
        </w:rPr>
        <w:t> </w:t>
      </w:r>
      <w:r>
        <w:rPr>
          <w:sz w:val="18"/>
        </w:rPr>
        <w:t>rate</w:t>
      </w:r>
      <w:r>
        <w:rPr>
          <w:spacing w:val="-1"/>
          <w:sz w:val="18"/>
        </w:rPr>
        <w:t> </w:t>
      </w:r>
      <w:r>
        <w:rPr>
          <w:sz w:val="18"/>
        </w:rPr>
        <w:t>is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numbers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reported cases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specific</w:t>
      </w:r>
      <w:r>
        <w:rPr>
          <w:spacing w:val="-1"/>
          <w:sz w:val="18"/>
        </w:rPr>
        <w:t> </w:t>
      </w:r>
      <w:r>
        <w:rPr>
          <w:sz w:val="18"/>
        </w:rPr>
        <w:t>disease or</w:t>
      </w:r>
      <w:r>
        <w:rPr>
          <w:spacing w:val="-1"/>
          <w:sz w:val="18"/>
        </w:rPr>
        <w:t> </w:t>
      </w:r>
      <w:r>
        <w:rPr>
          <w:sz w:val="18"/>
        </w:rPr>
        <w:t>illness</w:t>
      </w:r>
      <w:r>
        <w:rPr>
          <w:spacing w:val="-2"/>
          <w:sz w:val="18"/>
        </w:rPr>
        <w:t> </w:t>
      </w:r>
      <w:r>
        <w:rPr>
          <w:sz w:val="18"/>
        </w:rPr>
        <w:t>per</w:t>
      </w:r>
      <w:r>
        <w:rPr>
          <w:spacing w:val="-3"/>
          <w:sz w:val="18"/>
        </w:rPr>
        <w:t> </w:t>
      </w:r>
      <w:r>
        <w:rPr>
          <w:sz w:val="18"/>
        </w:rPr>
        <w:t>100,000</w:t>
      </w:r>
      <w:r>
        <w:rPr>
          <w:spacing w:val="-2"/>
          <w:sz w:val="18"/>
        </w:rPr>
        <w:t> </w:t>
      </w:r>
      <w:r>
        <w:rPr>
          <w:sz w:val="18"/>
        </w:rPr>
        <w:t>population</w:t>
      </w:r>
      <w:r>
        <w:rPr>
          <w:spacing w:val="-2"/>
          <w:sz w:val="18"/>
        </w:rPr>
        <w:t> </w:t>
      </w:r>
      <w:r>
        <w:rPr>
          <w:sz w:val="18"/>
        </w:rPr>
        <w:t>during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given year.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4"/>
        </w:rPr>
      </w:pPr>
    </w:p>
    <w:tbl>
      <w:tblPr>
        <w:tblW w:w="0" w:type="auto"/>
        <w:jc w:val="left"/>
        <w:tblInd w:w="107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"/>
        <w:gridCol w:w="804"/>
        <w:gridCol w:w="804"/>
        <w:gridCol w:w="804"/>
        <w:gridCol w:w="804"/>
        <w:gridCol w:w="804"/>
        <w:gridCol w:w="804"/>
        <w:gridCol w:w="804"/>
        <w:gridCol w:w="804"/>
        <w:gridCol w:w="804"/>
      </w:tblGrid>
      <w:tr>
        <w:trPr>
          <w:trHeight w:val="625" w:hRule="atLeast"/>
        </w:trPr>
        <w:tc>
          <w:tcPr>
            <w:tcW w:w="804" w:type="dxa"/>
            <w:tcBorders>
              <w:left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25" w:hRule="atLeast"/>
        </w:trPr>
        <w:tc>
          <w:tcPr>
            <w:tcW w:w="804" w:type="dxa"/>
            <w:tcBorders>
              <w:left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25" w:hRule="atLeast"/>
        </w:trPr>
        <w:tc>
          <w:tcPr>
            <w:tcW w:w="804" w:type="dxa"/>
            <w:tcBorders>
              <w:left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25" w:hRule="atLeast"/>
        </w:trPr>
        <w:tc>
          <w:tcPr>
            <w:tcW w:w="804" w:type="dxa"/>
            <w:tcBorders>
              <w:left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25" w:hRule="atLeast"/>
        </w:trPr>
        <w:tc>
          <w:tcPr>
            <w:tcW w:w="804" w:type="dxa"/>
            <w:tcBorders>
              <w:left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25" w:hRule="atLeast"/>
        </w:trPr>
        <w:tc>
          <w:tcPr>
            <w:tcW w:w="804" w:type="dxa"/>
            <w:tcBorders>
              <w:left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4" w:type="dxa"/>
            <w:tcBorders>
              <w:bottom w:val="single" w:sz="6" w:space="0" w:color="BEBEBE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115" w:lineRule="exact"/>
              <w:ind w:left="345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73151" cy="73151"/>
                  <wp:effectExtent l="0" t="0" r="0" b="0"/>
                  <wp:docPr id="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59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804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4"/>
        <w:spacing w:line="274" w:lineRule="exact"/>
        <w:jc w:val="left"/>
      </w:pPr>
      <w:r>
        <w:rPr/>
        <w:t>Figure</w:t>
      </w:r>
      <w:r>
        <w:rPr>
          <w:spacing w:val="-3"/>
        </w:rPr>
        <w:t> </w:t>
      </w:r>
      <w:r>
        <w:rPr/>
        <w:t>2.8:</w:t>
      </w:r>
      <w:r>
        <w:rPr>
          <w:spacing w:val="-2"/>
        </w:rPr>
        <w:t> </w:t>
      </w:r>
      <w:r>
        <w:rPr/>
        <w:t>%</w:t>
      </w:r>
      <w:r>
        <w:rPr>
          <w:spacing w:val="1"/>
        </w:rPr>
        <w:t> </w:t>
      </w:r>
      <w:r>
        <w:rPr/>
        <w:t>of Infectious</w:t>
      </w:r>
      <w:r>
        <w:rPr>
          <w:spacing w:val="-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</w:t>
      </w:r>
    </w:p>
    <w:p>
      <w:pPr>
        <w:spacing w:line="274" w:lineRule="exact" w:before="0"/>
        <w:ind w:left="160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3"/>
          <w:sz w:val="24"/>
        </w:rPr>
        <w:t> </w:t>
      </w:r>
      <w:r>
        <w:rPr>
          <w:sz w:val="24"/>
        </w:rPr>
        <w:t>NBS</w:t>
      </w:r>
      <w:r>
        <w:rPr>
          <w:spacing w:val="-1"/>
          <w:sz w:val="24"/>
        </w:rPr>
        <w:t> </w:t>
      </w:r>
      <w:r>
        <w:rPr>
          <w:sz w:val="24"/>
        </w:rPr>
        <w:t>(various years)</w:t>
      </w:r>
    </w:p>
    <w:p>
      <w:pPr>
        <w:spacing w:after="0" w:line="274" w:lineRule="exact"/>
        <w:jc w:val="left"/>
        <w:rPr>
          <w:sz w:val="24"/>
        </w:rPr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7"/>
        <w:jc w:val="both"/>
      </w:pPr>
      <w:r>
        <w:rPr/>
        <w:t>Figure 2.8 shows the percetanges of infectious diseases (malaria, polio, measles, and so on) in</w:t>
      </w:r>
      <w:r>
        <w:rPr>
          <w:spacing w:val="1"/>
        </w:rPr>
        <w:t> </w:t>
      </w:r>
      <w:r>
        <w:rPr/>
        <w:t>Nigeria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decrease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72.1%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2000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62.7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2016</w:t>
      </w:r>
      <w:r>
        <w:rPr>
          <w:spacing w:val="-4"/>
        </w:rPr>
        <w:t> </w:t>
      </w:r>
      <w:r>
        <w:rPr/>
        <w:t>(WHO,</w:t>
      </w:r>
      <w:r>
        <w:rPr>
          <w:spacing w:val="-3"/>
        </w:rPr>
        <w:t> </w:t>
      </w:r>
      <w:r>
        <w:rPr/>
        <w:t>2018). This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line</w:t>
      </w:r>
      <w:r>
        <w:rPr>
          <w:spacing w:val="-5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 Table 2.4. The table shows that the causes of malaria further reduced to 63.67% in 2017. This</w:t>
      </w:r>
      <w:r>
        <w:rPr>
          <w:spacing w:val="-57"/>
        </w:rPr>
        <w:t> </w:t>
      </w:r>
      <w:r>
        <w:rPr/>
        <w:t>issue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followed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common</w:t>
      </w:r>
      <w:r>
        <w:rPr>
          <w:spacing w:val="-4"/>
        </w:rPr>
        <w:t> </w:t>
      </w:r>
      <w:r>
        <w:rPr/>
        <w:t>cold</w:t>
      </w:r>
      <w:r>
        <w:rPr>
          <w:spacing w:val="-3"/>
        </w:rPr>
        <w:t> </w:t>
      </w:r>
      <w:r>
        <w:rPr/>
        <w:t>(that</w:t>
      </w:r>
      <w:r>
        <w:rPr>
          <w:spacing w:val="-3"/>
        </w:rPr>
        <w:t> </w:t>
      </w:r>
      <w:r>
        <w:rPr/>
        <w:t>stands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6.92).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illnesses</w:t>
      </w:r>
      <w:r>
        <w:rPr>
          <w:spacing w:val="-4"/>
        </w:rPr>
        <w:t> </w:t>
      </w:r>
      <w:r>
        <w:rPr/>
        <w:t>respondents</w:t>
      </w:r>
      <w:r>
        <w:rPr>
          <w:spacing w:val="-58"/>
        </w:rPr>
        <w:t> </w:t>
      </w:r>
      <w:r>
        <w:rPr/>
        <w:t>suffered from in Nigeria includes; typhoid, diarrhea, yellow fever, cholera, tuberculosis, common</w:t>
      </w:r>
      <w:r>
        <w:rPr>
          <w:spacing w:val="-57"/>
        </w:rPr>
        <w:t> </w:t>
      </w:r>
      <w:r>
        <w:rPr/>
        <w:t>cold,</w:t>
      </w:r>
      <w:r>
        <w:rPr>
          <w:spacing w:val="-1"/>
        </w:rPr>
        <w:t> </w:t>
      </w:r>
      <w:r>
        <w:rPr/>
        <w:t>meningitis, and</w:t>
      </w:r>
      <w:r>
        <w:rPr>
          <w:spacing w:val="-1"/>
        </w:rPr>
        <w:t> </w:t>
      </w:r>
      <w:r>
        <w:rPr/>
        <w:t>pneumonia (NBS, 2017).</w:t>
      </w:r>
    </w:p>
    <w:p>
      <w:pPr>
        <w:pStyle w:val="Heading4"/>
        <w:spacing w:before="188" w:after="3"/>
        <w:ind w:left="1259"/>
      </w:pPr>
      <w:r>
        <w:rPr/>
        <w:t>Table</w:t>
      </w:r>
      <w:r>
        <w:rPr>
          <w:spacing w:val="-2"/>
        </w:rPr>
        <w:t> </w:t>
      </w:r>
      <w:r>
        <w:rPr/>
        <w:t>2.4:</w:t>
      </w:r>
      <w:r>
        <w:rPr>
          <w:spacing w:val="-2"/>
        </w:rPr>
        <w:t> </w:t>
      </w:r>
      <w:r>
        <w:rPr/>
        <w:t>Percentages of Infectious</w:t>
      </w:r>
      <w:r>
        <w:rPr>
          <w:spacing w:val="-2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causing</w:t>
      </w:r>
      <w:r>
        <w:rPr>
          <w:spacing w:val="-1"/>
        </w:rPr>
        <w:t> </w:t>
      </w:r>
      <w:r>
        <w:rPr/>
        <w:t>illness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tbl>
      <w:tblPr>
        <w:tblW w:w="0" w:type="auto"/>
        <w:jc w:val="left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0"/>
        <w:gridCol w:w="2521"/>
      </w:tblGrid>
      <w:tr>
        <w:trPr>
          <w:trHeight w:val="316" w:hRule="atLeast"/>
        </w:trPr>
        <w:tc>
          <w:tcPr>
            <w:tcW w:w="4410" w:type="dxa"/>
          </w:tcPr>
          <w:p>
            <w:pPr>
              <w:pStyle w:val="TableParagraph"/>
              <w:spacing w:line="275" w:lineRule="exact"/>
              <w:ind w:left="10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Communicable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Diseases</w:t>
            </w:r>
          </w:p>
        </w:tc>
        <w:tc>
          <w:tcPr>
            <w:tcW w:w="2521" w:type="dxa"/>
          </w:tcPr>
          <w:p>
            <w:pPr>
              <w:pStyle w:val="TableParagraph"/>
              <w:spacing w:line="275" w:lineRule="exact"/>
              <w:ind w:right="9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Percentage</w:t>
            </w:r>
          </w:p>
        </w:tc>
      </w:tr>
      <w:tr>
        <w:trPr>
          <w:trHeight w:val="317" w:hRule="atLeast"/>
        </w:trPr>
        <w:tc>
          <w:tcPr>
            <w:tcW w:w="4410" w:type="dxa"/>
          </w:tcPr>
          <w:p>
            <w:pPr>
              <w:pStyle w:val="TableParagraph"/>
              <w:spacing w:line="271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Malaria</w:t>
            </w:r>
          </w:p>
        </w:tc>
        <w:tc>
          <w:tcPr>
            <w:tcW w:w="2521" w:type="dxa"/>
          </w:tcPr>
          <w:p>
            <w:pPr>
              <w:pStyle w:val="TableParagraph"/>
              <w:spacing w:line="271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63.67</w:t>
            </w:r>
          </w:p>
        </w:tc>
      </w:tr>
      <w:tr>
        <w:trPr>
          <w:trHeight w:val="318" w:hRule="atLeast"/>
        </w:trPr>
        <w:tc>
          <w:tcPr>
            <w:tcW w:w="4410" w:type="dxa"/>
          </w:tcPr>
          <w:p>
            <w:pPr>
              <w:pStyle w:val="TableParagraph"/>
              <w:spacing w:line="273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Tuberculosis</w:t>
            </w:r>
          </w:p>
        </w:tc>
        <w:tc>
          <w:tcPr>
            <w:tcW w:w="2521" w:type="dxa"/>
          </w:tcPr>
          <w:p>
            <w:pPr>
              <w:pStyle w:val="TableParagraph"/>
              <w:spacing w:line="273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0.61</w:t>
            </w:r>
          </w:p>
        </w:tc>
      </w:tr>
      <w:tr>
        <w:trPr>
          <w:trHeight w:val="316" w:hRule="atLeast"/>
        </w:trPr>
        <w:tc>
          <w:tcPr>
            <w:tcW w:w="4410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Yellow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Fever</w:t>
            </w:r>
          </w:p>
        </w:tc>
        <w:tc>
          <w:tcPr>
            <w:tcW w:w="2521" w:type="dxa"/>
          </w:tcPr>
          <w:p>
            <w:pPr>
              <w:pStyle w:val="TableParagraph"/>
              <w:spacing w:line="270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1.86</w:t>
            </w:r>
          </w:p>
        </w:tc>
      </w:tr>
      <w:tr>
        <w:trPr>
          <w:trHeight w:val="318" w:hRule="atLeast"/>
        </w:trPr>
        <w:tc>
          <w:tcPr>
            <w:tcW w:w="4410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Typhoid</w:t>
            </w:r>
          </w:p>
        </w:tc>
        <w:tc>
          <w:tcPr>
            <w:tcW w:w="2521" w:type="dxa"/>
          </w:tcPr>
          <w:p>
            <w:pPr>
              <w:pStyle w:val="TableParagraph"/>
              <w:spacing w:line="270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6.31</w:t>
            </w:r>
          </w:p>
        </w:tc>
      </w:tr>
      <w:tr>
        <w:trPr>
          <w:trHeight w:val="316" w:hRule="atLeast"/>
        </w:trPr>
        <w:tc>
          <w:tcPr>
            <w:tcW w:w="4410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Cholera</w:t>
            </w:r>
          </w:p>
        </w:tc>
        <w:tc>
          <w:tcPr>
            <w:tcW w:w="2521" w:type="dxa"/>
          </w:tcPr>
          <w:p>
            <w:pPr>
              <w:pStyle w:val="TableParagraph"/>
              <w:spacing w:line="270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0.61</w:t>
            </w:r>
          </w:p>
        </w:tc>
      </w:tr>
      <w:tr>
        <w:trPr>
          <w:trHeight w:val="316" w:hRule="atLeast"/>
        </w:trPr>
        <w:tc>
          <w:tcPr>
            <w:tcW w:w="4410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Diarrhea</w:t>
            </w:r>
          </w:p>
        </w:tc>
        <w:tc>
          <w:tcPr>
            <w:tcW w:w="2521" w:type="dxa"/>
          </w:tcPr>
          <w:p>
            <w:pPr>
              <w:pStyle w:val="TableParagraph"/>
              <w:spacing w:line="270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2.48</w:t>
            </w:r>
          </w:p>
        </w:tc>
      </w:tr>
      <w:tr>
        <w:trPr>
          <w:trHeight w:val="318" w:hRule="atLeast"/>
        </w:trPr>
        <w:tc>
          <w:tcPr>
            <w:tcW w:w="4410" w:type="dxa"/>
          </w:tcPr>
          <w:p>
            <w:pPr>
              <w:pStyle w:val="TableParagraph"/>
              <w:spacing w:line="273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Meningitis</w:t>
            </w:r>
          </w:p>
        </w:tc>
        <w:tc>
          <w:tcPr>
            <w:tcW w:w="2521" w:type="dxa"/>
          </w:tcPr>
          <w:p>
            <w:pPr>
              <w:pStyle w:val="TableParagraph"/>
              <w:spacing w:line="273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0.11</w:t>
            </w:r>
          </w:p>
        </w:tc>
      </w:tr>
      <w:tr>
        <w:trPr>
          <w:trHeight w:val="316" w:hRule="atLeast"/>
        </w:trPr>
        <w:tc>
          <w:tcPr>
            <w:tcW w:w="4410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Chicken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pox</w:t>
            </w:r>
          </w:p>
        </w:tc>
        <w:tc>
          <w:tcPr>
            <w:tcW w:w="2521" w:type="dxa"/>
          </w:tcPr>
          <w:p>
            <w:pPr>
              <w:pStyle w:val="TableParagraph"/>
              <w:spacing w:line="270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1.71</w:t>
            </w:r>
          </w:p>
        </w:tc>
      </w:tr>
      <w:tr>
        <w:trPr>
          <w:trHeight w:val="318" w:hRule="atLeast"/>
        </w:trPr>
        <w:tc>
          <w:tcPr>
            <w:tcW w:w="4410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Pneumonia</w:t>
            </w:r>
          </w:p>
        </w:tc>
        <w:tc>
          <w:tcPr>
            <w:tcW w:w="2521" w:type="dxa"/>
          </w:tcPr>
          <w:p>
            <w:pPr>
              <w:pStyle w:val="TableParagraph"/>
              <w:spacing w:line="270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10.64</w:t>
            </w:r>
          </w:p>
        </w:tc>
      </w:tr>
      <w:tr>
        <w:trPr>
          <w:trHeight w:val="316" w:hRule="atLeast"/>
        </w:trPr>
        <w:tc>
          <w:tcPr>
            <w:tcW w:w="4410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Common Cold</w:t>
            </w:r>
          </w:p>
        </w:tc>
        <w:tc>
          <w:tcPr>
            <w:tcW w:w="2521" w:type="dxa"/>
          </w:tcPr>
          <w:p>
            <w:pPr>
              <w:pStyle w:val="TableParagraph"/>
              <w:spacing w:line="270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6.92</w:t>
            </w:r>
          </w:p>
        </w:tc>
      </w:tr>
      <w:tr>
        <w:trPr>
          <w:trHeight w:val="316" w:hRule="atLeast"/>
        </w:trPr>
        <w:tc>
          <w:tcPr>
            <w:tcW w:w="4410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Injury</w:t>
            </w:r>
          </w:p>
        </w:tc>
        <w:tc>
          <w:tcPr>
            <w:tcW w:w="2521" w:type="dxa"/>
          </w:tcPr>
          <w:p>
            <w:pPr>
              <w:pStyle w:val="TableParagraph"/>
              <w:spacing w:line="270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5.08</w:t>
            </w:r>
          </w:p>
        </w:tc>
      </w:tr>
      <w:tr>
        <w:trPr>
          <w:trHeight w:val="318" w:hRule="atLeast"/>
        </w:trPr>
        <w:tc>
          <w:tcPr>
            <w:tcW w:w="4410" w:type="dxa"/>
          </w:tcPr>
          <w:p>
            <w:pPr>
              <w:pStyle w:val="TableParagraph"/>
              <w:spacing w:before="1"/>
              <w:ind w:right="99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Total</w:t>
            </w:r>
          </w:p>
        </w:tc>
        <w:tc>
          <w:tcPr>
            <w:tcW w:w="2521" w:type="dxa"/>
          </w:tcPr>
          <w:p>
            <w:pPr>
              <w:pStyle w:val="TableParagraph"/>
              <w:spacing w:line="273" w:lineRule="exact"/>
              <w:ind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100.00</w:t>
            </w:r>
          </w:p>
        </w:tc>
      </w:tr>
    </w:tbl>
    <w:p>
      <w:pPr>
        <w:spacing w:before="0"/>
        <w:ind w:left="1600" w:right="0" w:firstLine="0"/>
        <w:jc w:val="left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National</w:t>
      </w:r>
      <w:r>
        <w:rPr>
          <w:spacing w:val="-1"/>
          <w:sz w:val="20"/>
        </w:rPr>
        <w:t> </w:t>
      </w:r>
      <w:r>
        <w:rPr>
          <w:sz w:val="20"/>
        </w:rPr>
        <w:t>Bureau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Statistics</w:t>
      </w:r>
      <w:r>
        <w:rPr>
          <w:spacing w:val="-2"/>
          <w:sz w:val="20"/>
        </w:rPr>
        <w:t> </w:t>
      </w:r>
      <w:r>
        <w:rPr>
          <w:sz w:val="20"/>
        </w:rPr>
        <w:t>(2017).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2"/>
          <w:numId w:val="9"/>
        </w:numPr>
        <w:tabs>
          <w:tab w:pos="1001" w:val="left" w:leader="none"/>
        </w:tabs>
        <w:spacing w:line="240" w:lineRule="auto" w:before="0" w:after="0"/>
        <w:ind w:left="1000" w:right="0" w:hanging="841"/>
        <w:jc w:val="both"/>
        <w:rPr>
          <w:i/>
          <w:sz w:val="24"/>
        </w:rPr>
      </w:pPr>
      <w:r>
        <w:rPr>
          <w:i/>
          <w:sz w:val="24"/>
        </w:rPr>
        <w:t>Non-Communicable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Diseases (NCDs)</w:t>
      </w:r>
    </w:p>
    <w:p>
      <w:pPr>
        <w:pStyle w:val="BodyText"/>
        <w:spacing w:line="360" w:lineRule="auto" w:before="139"/>
        <w:ind w:left="160" w:right="156"/>
        <w:jc w:val="both"/>
      </w:pPr>
      <w:r>
        <w:rPr/>
        <w:t>The major causes of poor health outcomes are NCDs. This is presented in Figure 2.9, where the</w:t>
      </w:r>
      <w:r>
        <w:rPr>
          <w:spacing w:val="1"/>
        </w:rPr>
        <w:t> </w:t>
      </w:r>
      <w:r>
        <w:rPr>
          <w:spacing w:val="-1"/>
        </w:rPr>
        <w:t>percentage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NCDs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</w:t>
      </w:r>
      <w:r>
        <w:rPr>
          <w:spacing w:val="-12"/>
        </w:rPr>
        <w:t> </w:t>
      </w:r>
      <w:r>
        <w:rPr/>
        <w:t>increase</w:t>
      </w:r>
      <w:r>
        <w:rPr>
          <w:spacing w:val="-11"/>
        </w:rPr>
        <w:t> </w:t>
      </w:r>
      <w:r>
        <w:rPr/>
        <w:t>rapidly</w:t>
      </w:r>
      <w:r>
        <w:rPr>
          <w:spacing w:val="-17"/>
        </w:rPr>
        <w:t> </w:t>
      </w:r>
      <w:r>
        <w:rPr/>
        <w:t>from</w:t>
      </w:r>
      <w:r>
        <w:rPr>
          <w:spacing w:val="-12"/>
        </w:rPr>
        <w:t> </w:t>
      </w:r>
      <w:r>
        <w:rPr/>
        <w:t>21.9%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2000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29%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2016</w:t>
      </w:r>
      <w:r>
        <w:rPr>
          <w:spacing w:val="-12"/>
        </w:rPr>
        <w:t> </w:t>
      </w:r>
      <w:r>
        <w:rPr/>
        <w:t>(WHO,</w:t>
      </w:r>
      <w:r>
        <w:rPr>
          <w:spacing w:val="-12"/>
        </w:rPr>
        <w:t> </w:t>
      </w:r>
      <w:r>
        <w:rPr/>
        <w:t>2018).</w:t>
      </w:r>
      <w:r>
        <w:rPr>
          <w:spacing w:val="-57"/>
        </w:rPr>
        <w:t> </w:t>
      </w:r>
      <w:r>
        <w:rPr/>
        <w:t>These</w:t>
      </w:r>
      <w:r>
        <w:rPr>
          <w:spacing w:val="-3"/>
        </w:rPr>
        <w:t> </w:t>
      </w:r>
      <w:r>
        <w:rPr/>
        <w:t>includes,</w:t>
      </w:r>
      <w:r>
        <w:rPr>
          <w:spacing w:val="-1"/>
        </w:rPr>
        <w:t> </w:t>
      </w:r>
      <w:r>
        <w:rPr/>
        <w:t>stroke,</w:t>
      </w:r>
      <w:r>
        <w:rPr>
          <w:spacing w:val="-1"/>
        </w:rPr>
        <w:t> </w:t>
      </w:r>
      <w:r>
        <w:rPr/>
        <w:t>heart</w:t>
      </w:r>
      <w:r>
        <w:rPr>
          <w:spacing w:val="-1"/>
        </w:rPr>
        <w:t> </w:t>
      </w:r>
      <w:r>
        <w:rPr/>
        <w:t>diseases,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blood</w:t>
      </w:r>
      <w:r>
        <w:rPr>
          <w:spacing w:val="-2"/>
        </w:rPr>
        <w:t> </w:t>
      </w:r>
      <w:r>
        <w:rPr/>
        <w:t>pressure,</w:t>
      </w:r>
      <w:r>
        <w:rPr>
          <w:spacing w:val="-1"/>
        </w:rPr>
        <w:t> </w:t>
      </w:r>
      <w:r>
        <w:rPr/>
        <w:t>cancers,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on.</w:t>
      </w:r>
      <w:r>
        <w:rPr>
          <w:spacing w:val="-1"/>
        </w:rPr>
        <w:t> </w:t>
      </w:r>
      <w:r>
        <w:rPr/>
        <w:t>These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diseases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duration and slow progression.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60" w:right="151"/>
        <w:jc w:val="both"/>
      </w:pPr>
      <w:r>
        <w:rPr/>
        <w:t>Generally,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main</w:t>
      </w:r>
      <w:r>
        <w:rPr>
          <w:spacing w:val="-11"/>
        </w:rPr>
        <w:t> </w:t>
      </w:r>
      <w:r>
        <w:rPr/>
        <w:t>types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NCDs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cardiovascular</w:t>
      </w:r>
      <w:r>
        <w:rPr>
          <w:spacing w:val="-13"/>
        </w:rPr>
        <w:t> </w:t>
      </w:r>
      <w:r>
        <w:rPr/>
        <w:t>diseases</w:t>
      </w:r>
      <w:r>
        <w:rPr>
          <w:spacing w:val="-11"/>
        </w:rPr>
        <w:t> </w:t>
      </w:r>
      <w:r>
        <w:rPr/>
        <w:t>(such</w:t>
      </w:r>
      <w:r>
        <w:rPr>
          <w:spacing w:val="-9"/>
        </w:rPr>
        <w:t> </w:t>
      </w:r>
      <w:r>
        <w:rPr/>
        <w:t>as,</w:t>
      </w:r>
      <w:r>
        <w:rPr>
          <w:spacing w:val="-7"/>
        </w:rPr>
        <w:t> </w:t>
      </w:r>
      <w:r>
        <w:rPr/>
        <w:t>hypertension,</w:t>
      </w:r>
      <w:r>
        <w:rPr>
          <w:spacing w:val="-10"/>
        </w:rPr>
        <w:t> </w:t>
      </w:r>
      <w:r>
        <w:rPr/>
        <w:t>heart</w:t>
      </w:r>
      <w:r>
        <w:rPr>
          <w:spacing w:val="-11"/>
        </w:rPr>
        <w:t> </w:t>
      </w:r>
      <w:r>
        <w:rPr/>
        <w:t>attack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stroke),</w:t>
      </w:r>
      <w:r>
        <w:rPr>
          <w:spacing w:val="-13"/>
        </w:rPr>
        <w:t> </w:t>
      </w:r>
      <w:r>
        <w:rPr/>
        <w:t>cancer,</w:t>
      </w:r>
      <w:r>
        <w:rPr>
          <w:spacing w:val="-12"/>
        </w:rPr>
        <w:t> </w:t>
      </w:r>
      <w:r>
        <w:rPr/>
        <w:t>chronic</w:t>
      </w:r>
      <w:r>
        <w:rPr>
          <w:spacing w:val="-15"/>
        </w:rPr>
        <w:t> </w:t>
      </w:r>
      <w:r>
        <w:rPr/>
        <w:t>respiratory</w:t>
      </w:r>
      <w:r>
        <w:rPr>
          <w:spacing w:val="-16"/>
        </w:rPr>
        <w:t> </w:t>
      </w:r>
      <w:r>
        <w:rPr/>
        <w:t>diseases</w:t>
      </w:r>
      <w:r>
        <w:rPr>
          <w:spacing w:val="-12"/>
        </w:rPr>
        <w:t> </w:t>
      </w:r>
      <w:r>
        <w:rPr/>
        <w:t>(such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asthma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chronic</w:t>
      </w:r>
      <w:r>
        <w:rPr>
          <w:spacing w:val="-12"/>
        </w:rPr>
        <w:t> </w:t>
      </w:r>
      <w:r>
        <w:rPr/>
        <w:t>obstructed</w:t>
      </w:r>
      <w:r>
        <w:rPr>
          <w:spacing w:val="-15"/>
        </w:rPr>
        <w:t> </w:t>
      </w:r>
      <w:r>
        <w:rPr/>
        <w:t>pulmonary</w:t>
      </w:r>
      <w:r>
        <w:rPr>
          <w:spacing w:val="-57"/>
        </w:rPr>
        <w:t> </w:t>
      </w:r>
      <w:r>
        <w:rPr/>
        <w:t>disease) and diabetes. These diseases were very rare among Nigerians in 1980s. But in recent</w:t>
      </w:r>
      <w:r>
        <w:rPr>
          <w:spacing w:val="1"/>
        </w:rPr>
        <w:t> </w:t>
      </w:r>
      <w:r>
        <w:rPr/>
        <w:t>years, they has become prevalent (WHO, 2018). For instance, more than 31% of Nigerian adults</w:t>
      </w:r>
      <w:r>
        <w:rPr>
          <w:spacing w:val="1"/>
        </w:rPr>
        <w:t> </w:t>
      </w:r>
      <w:r>
        <w:rPr/>
        <w:t>older</w:t>
      </w:r>
      <w:r>
        <w:rPr>
          <w:spacing w:val="-10"/>
        </w:rPr>
        <w:t> </w:t>
      </w:r>
      <w:r>
        <w:rPr/>
        <w:t>than</w:t>
      </w:r>
      <w:r>
        <w:rPr>
          <w:spacing w:val="-9"/>
        </w:rPr>
        <w:t> </w:t>
      </w:r>
      <w:r>
        <w:rPr/>
        <w:t>25</w:t>
      </w:r>
      <w:r>
        <w:rPr>
          <w:spacing w:val="-4"/>
        </w:rPr>
        <w:t> </w:t>
      </w:r>
      <w:r>
        <w:rPr/>
        <w:t>years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hypertensive</w:t>
      </w:r>
      <w:r>
        <w:rPr>
          <w:spacing w:val="-9"/>
        </w:rPr>
        <w:t> </w:t>
      </w:r>
      <w:r>
        <w:rPr/>
        <w:t>(WHO,</w:t>
      </w:r>
      <w:r>
        <w:rPr>
          <w:spacing w:val="-9"/>
        </w:rPr>
        <w:t> </w:t>
      </w:r>
      <w:r>
        <w:rPr/>
        <w:t>2020).</w:t>
      </w:r>
      <w:r>
        <w:rPr>
          <w:spacing w:val="-5"/>
        </w:rPr>
        <w:t> </w:t>
      </w:r>
      <w:r>
        <w:rPr/>
        <w:t>Again,</w:t>
      </w:r>
      <w:r>
        <w:rPr>
          <w:spacing w:val="-9"/>
        </w:rPr>
        <w:t> </w:t>
      </w:r>
      <w:r>
        <w:rPr/>
        <w:t>one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every</w:t>
      </w:r>
      <w:r>
        <w:rPr>
          <w:spacing w:val="-11"/>
        </w:rPr>
        <w:t> </w:t>
      </w:r>
      <w:r>
        <w:rPr/>
        <w:t>five</w:t>
      </w:r>
      <w:r>
        <w:rPr>
          <w:spacing w:val="-7"/>
        </w:rPr>
        <w:t> </w:t>
      </w:r>
      <w:r>
        <w:rPr/>
        <w:t>Nigerians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30</w:t>
      </w:r>
      <w:r>
        <w:rPr>
          <w:spacing w:val="-58"/>
        </w:rPr>
        <w:t> </w:t>
      </w:r>
      <w:r>
        <w:rPr/>
        <w:t>and</w:t>
      </w:r>
      <w:r>
        <w:rPr>
          <w:spacing w:val="-6"/>
        </w:rPr>
        <w:t> </w:t>
      </w:r>
      <w:r>
        <w:rPr/>
        <w:t>70</w:t>
      </w:r>
      <w:r>
        <w:rPr>
          <w:spacing w:val="-4"/>
        </w:rPr>
        <w:t> </w:t>
      </w:r>
      <w:r>
        <w:rPr/>
        <w:t>years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brief</w:t>
      </w:r>
      <w:r>
        <w:rPr>
          <w:spacing w:val="-7"/>
        </w:rPr>
        <w:t> </w:t>
      </w:r>
      <w:r>
        <w:rPr/>
        <w:t>illnesses</w:t>
      </w:r>
      <w:r>
        <w:rPr>
          <w:spacing w:val="-5"/>
        </w:rPr>
        <w:t> </w:t>
      </w:r>
      <w:r>
        <w:rPr/>
        <w:t>associated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hypertension,</w:t>
      </w:r>
      <w:r>
        <w:rPr>
          <w:spacing w:val="-6"/>
        </w:rPr>
        <w:t> </w:t>
      </w:r>
      <w:r>
        <w:rPr/>
        <w:t>stroke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heart</w:t>
      </w:r>
      <w:r>
        <w:rPr>
          <w:spacing w:val="-7"/>
        </w:rPr>
        <w:t> </w:t>
      </w:r>
      <w:r>
        <w:rPr/>
        <w:t>failure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2017</w:t>
      </w:r>
      <w:r>
        <w:rPr>
          <w:spacing w:val="-58"/>
        </w:rPr>
        <w:t> </w:t>
      </w:r>
      <w:r>
        <w:rPr/>
        <w:t>(WHO,</w:t>
      </w:r>
      <w:r>
        <w:rPr>
          <w:spacing w:val="-1"/>
        </w:rPr>
        <w:t> </w:t>
      </w:r>
      <w:r>
        <w:rPr/>
        <w:t>2018).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07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"/>
        <w:gridCol w:w="797"/>
        <w:gridCol w:w="799"/>
        <w:gridCol w:w="797"/>
        <w:gridCol w:w="799"/>
        <w:gridCol w:w="797"/>
        <w:gridCol w:w="799"/>
        <w:gridCol w:w="797"/>
        <w:gridCol w:w="799"/>
        <w:gridCol w:w="797"/>
      </w:tblGrid>
      <w:tr>
        <w:trPr>
          <w:trHeight w:val="472" w:hRule="atLeast"/>
        </w:trPr>
        <w:tc>
          <w:tcPr>
            <w:tcW w:w="799" w:type="dxa"/>
            <w:tcBorders>
              <w:left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72" w:hRule="atLeast"/>
        </w:trPr>
        <w:tc>
          <w:tcPr>
            <w:tcW w:w="799" w:type="dxa"/>
            <w:tcBorders>
              <w:left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14" w:lineRule="exact"/>
              <w:ind w:left="340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3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6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72" w:hRule="atLeast"/>
        </w:trPr>
        <w:tc>
          <w:tcPr>
            <w:tcW w:w="799" w:type="dxa"/>
            <w:tcBorders>
              <w:left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72" w:hRule="atLeast"/>
        </w:trPr>
        <w:tc>
          <w:tcPr>
            <w:tcW w:w="799" w:type="dxa"/>
            <w:tcBorders>
              <w:left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72" w:hRule="atLeast"/>
        </w:trPr>
        <w:tc>
          <w:tcPr>
            <w:tcW w:w="799" w:type="dxa"/>
            <w:tcBorders>
              <w:left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72" w:hRule="atLeast"/>
        </w:trPr>
        <w:tc>
          <w:tcPr>
            <w:tcW w:w="799" w:type="dxa"/>
            <w:tcBorders>
              <w:left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72" w:hRule="atLeast"/>
        </w:trPr>
        <w:tc>
          <w:tcPr>
            <w:tcW w:w="799" w:type="dxa"/>
            <w:tcBorders>
              <w:left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  <w:tcBorders>
              <w:bottom w:val="single" w:sz="6" w:space="0" w:color="BEBEBE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Heading4"/>
        <w:spacing w:line="274" w:lineRule="exact" w:before="90"/>
        <w:jc w:val="left"/>
      </w:pPr>
      <w:r>
        <w:rPr/>
        <w:pict>
          <v:group style="position:absolute;margin-left:71.639999pt;margin-top:-207.906876pt;width:465pt;height:205.45pt;mso-position-horizontal-relative:page;mso-position-vertical-relative:paragraph;z-index:-43099648" coordorigin="1433,-4158" coordsize="9300,4109">
            <v:shape style="position:absolute;left:3141;top:-3347;width:6384;height:694" coordorigin="3142,-3347" coordsize="6384,694" path="m3142,-2653l7130,-3016,9125,-3268,9526,-3347e" filled="false" stroked="true" strokeweight="1.44pt" strokecolor="#4471c4">
              <v:path arrowok="t"/>
              <v:stroke dashstyle="solid"/>
            </v:shape>
            <v:shape style="position:absolute;left:3084;top:-2711;width:116;height:116" type="#_x0000_t75" stroked="false">
              <v:imagedata r:id="rId68" o:title=""/>
            </v:shape>
            <v:shape style="position:absolute;left:7072;top:-3074;width:116;height:116" type="#_x0000_t75" stroked="false">
              <v:imagedata r:id="rId67" o:title=""/>
            </v:shape>
            <v:shape style="position:absolute;left:9468;top:-3405;width:116;height:116" type="#_x0000_t75" stroked="false">
              <v:imagedata r:id="rId68" o:title=""/>
            </v:shape>
            <v:rect style="position:absolute;left:1440;top:-4151;width:9286;height:4095" filled="false" stroked="true" strokeweight=".72pt" strokecolor="#d9d9d9">
              <v:stroke dashstyle="solid"/>
            </v:rect>
            <v:shape style="position:absolute;left:1994;top:-4016;width:552;height:382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line="216" w:lineRule="exact" w:before="14"/>
                      <w:ind w:left="1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1998</w:t>
                    </w:r>
                  </w:p>
                </w:txbxContent>
              </v:textbox>
              <w10:wrap type="none"/>
            </v:shape>
            <v:shape style="position:absolute;left:2959;top:-37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3757;top:-37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2002</w:t>
                    </w:r>
                  </w:p>
                </w:txbxContent>
              </v:textbox>
              <w10:wrap type="none"/>
            </v:shape>
            <v:shape style="position:absolute;left:4555;top:-37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2004</w:t>
                    </w:r>
                  </w:p>
                </w:txbxContent>
              </v:textbox>
              <w10:wrap type="none"/>
            </v:shape>
            <v:shape style="position:absolute;left:5354;top:-37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2006</w:t>
                    </w:r>
                  </w:p>
                </w:txbxContent>
              </v:textbox>
              <w10:wrap type="none"/>
            </v:shape>
            <v:shape style="position:absolute;left:6151;top:-37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2008</w:t>
                    </w:r>
                  </w:p>
                </w:txbxContent>
              </v:textbox>
              <w10:wrap type="none"/>
            </v:shape>
            <v:shape style="position:absolute;left:6950;top:-37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7748;top:-37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8546;top:-37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9344;top:-37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10142;top:-37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-144.815048pt;width:12pt;height:67.150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Percentages</w:t>
                  </w:r>
                  <w:r>
                    <w:rPr>
                      <w:rFonts w:ascii="Calibri"/>
                      <w:color w:val="585858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2.9: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of Non-Communicable</w:t>
      </w:r>
      <w:r>
        <w:rPr>
          <w:spacing w:val="-2"/>
        </w:rPr>
        <w:t> </w:t>
      </w:r>
      <w:r>
        <w:rPr/>
        <w:t>Diseases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spacing w:line="274" w:lineRule="exact" w:before="0"/>
        <w:ind w:left="160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3"/>
          <w:sz w:val="24"/>
        </w:rPr>
        <w:t> </w:t>
      </w:r>
      <w:r>
        <w:rPr>
          <w:sz w:val="24"/>
        </w:rPr>
        <w:t>NBS</w:t>
      </w:r>
      <w:r>
        <w:rPr>
          <w:spacing w:val="-1"/>
          <w:sz w:val="24"/>
        </w:rPr>
        <w:t> </w:t>
      </w:r>
      <w:r>
        <w:rPr>
          <w:sz w:val="24"/>
        </w:rPr>
        <w:t>(various years)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60" w:right="156"/>
        <w:jc w:val="both"/>
      </w:pPr>
      <w:r>
        <w:rPr/>
        <w:t>Table</w:t>
      </w:r>
      <w:r>
        <w:rPr>
          <w:spacing w:val="-4"/>
        </w:rPr>
        <w:t> </w:t>
      </w:r>
      <w:r>
        <w:rPr/>
        <w:t>2.5 finally</w:t>
      </w:r>
      <w:r>
        <w:rPr>
          <w:spacing w:val="-6"/>
        </w:rPr>
        <w:t> </w:t>
      </w:r>
      <w:r>
        <w:rPr/>
        <w:t>provides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share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communicable</w:t>
      </w:r>
      <w:r>
        <w:rPr>
          <w:spacing w:val="-1"/>
        </w:rPr>
        <w:t> </w:t>
      </w:r>
      <w:r>
        <w:rPr/>
        <w:t>and NCDs</w:t>
      </w:r>
      <w:r>
        <w:rPr>
          <w:spacing w:val="-4"/>
        </w:rPr>
        <w:t> </w:t>
      </w:r>
      <w:r>
        <w:rPr/>
        <w:t>between</w:t>
      </w:r>
      <w:r>
        <w:rPr>
          <w:spacing w:val="-1"/>
        </w:rPr>
        <w:t> </w:t>
      </w:r>
      <w:r>
        <w:rPr/>
        <w:t>2000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2016</w:t>
      </w:r>
      <w:r>
        <w:rPr>
          <w:i/>
        </w:rPr>
        <w:t>.</w:t>
      </w:r>
      <w:r>
        <w:rPr>
          <w:i/>
          <w:spacing w:val="-4"/>
        </w:rPr>
        <w:t> </w:t>
      </w:r>
      <w:r>
        <w:rPr/>
        <w:t>Observably,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menace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illness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communicable,</w:t>
      </w:r>
      <w:r>
        <w:rPr>
          <w:spacing w:val="-4"/>
        </w:rPr>
        <w:t> </w:t>
      </w:r>
      <w:r>
        <w:rPr/>
        <w:t>maternal,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nutritional</w:t>
      </w:r>
      <w:r>
        <w:rPr>
          <w:spacing w:val="-4"/>
        </w:rPr>
        <w:t> </w:t>
      </w:r>
      <w:r>
        <w:rPr/>
        <w:t>conditions</w:t>
      </w:r>
      <w:r>
        <w:rPr>
          <w:spacing w:val="-58"/>
        </w:rPr>
        <w:t> </w:t>
      </w:r>
      <w:r>
        <w:rPr/>
        <w:t>put</w:t>
      </w:r>
      <w:r>
        <w:rPr>
          <w:spacing w:val="-3"/>
        </w:rPr>
        <w:t> </w:t>
      </w:r>
      <w:r>
        <w:rPr/>
        <w:t>together</w:t>
      </w:r>
      <w:r>
        <w:rPr>
          <w:spacing w:val="-4"/>
        </w:rPr>
        <w:t> </w:t>
      </w:r>
      <w:r>
        <w:rPr/>
        <w:t>declined</w:t>
      </w:r>
      <w:r>
        <w:rPr>
          <w:spacing w:val="-2"/>
        </w:rPr>
        <w:t> </w:t>
      </w:r>
      <w:r>
        <w:rPr/>
        <w:t>rapidly</w:t>
      </w:r>
      <w:r>
        <w:rPr>
          <w:spacing w:val="-8"/>
        </w:rPr>
        <w:t> </w:t>
      </w:r>
      <w:r>
        <w:rPr/>
        <w:t>from</w:t>
      </w:r>
      <w:r>
        <w:rPr>
          <w:spacing w:val="-4"/>
        </w:rPr>
        <w:t> </w:t>
      </w:r>
      <w:r>
        <w:rPr/>
        <w:t>over</w:t>
      </w:r>
      <w:r>
        <w:rPr>
          <w:spacing w:val="-1"/>
        </w:rPr>
        <w:t> </w:t>
      </w:r>
      <w:r>
        <w:rPr/>
        <w:t>72%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2000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67%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2010.</w:t>
      </w:r>
      <w:r>
        <w:rPr>
          <w:spacing w:val="-1"/>
        </w:rPr>
        <w:t> </w:t>
      </w:r>
      <w:r>
        <w:rPr/>
        <w:t>It decrease</w:t>
      </w:r>
      <w:r>
        <w:rPr>
          <w:spacing w:val="-1"/>
        </w:rPr>
        <w:t> </w:t>
      </w:r>
      <w:r>
        <w:rPr/>
        <w:t>further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62.7%</w:t>
      </w:r>
      <w:r>
        <w:rPr>
          <w:spacing w:val="-58"/>
        </w:rPr>
        <w:t> </w:t>
      </w:r>
      <w:r>
        <w:rPr/>
        <w:t>in 2016. Despite this decline, WHO (2018) still notes that malaria-fever, HIV/AIDs and other</w:t>
      </w:r>
      <w:r>
        <w:rPr>
          <w:spacing w:val="1"/>
        </w:rPr>
        <w:t> </w:t>
      </w:r>
      <w:r>
        <w:rPr/>
        <w:t>infectious</w:t>
      </w:r>
      <w:r>
        <w:rPr>
          <w:spacing w:val="-4"/>
        </w:rPr>
        <w:t> </w:t>
      </w:r>
      <w:r>
        <w:rPr/>
        <w:t>diseases</w:t>
      </w:r>
      <w:r>
        <w:rPr>
          <w:spacing w:val="-4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treated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utmost</w:t>
      </w:r>
      <w:r>
        <w:rPr>
          <w:spacing w:val="-5"/>
        </w:rPr>
        <w:t> </w:t>
      </w:r>
      <w:r>
        <w:rPr/>
        <w:t>urgency</w:t>
      </w:r>
      <w:r>
        <w:rPr>
          <w:spacing w:val="-9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immediate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easily</w:t>
      </w:r>
      <w:r>
        <w:rPr>
          <w:spacing w:val="-57"/>
        </w:rPr>
        <w:t> </w:t>
      </w:r>
      <w:r>
        <w:rPr/>
        <w:t>noticeable</w:t>
      </w:r>
      <w:r>
        <w:rPr>
          <w:spacing w:val="-1"/>
        </w:rPr>
        <w:t> </w:t>
      </w:r>
      <w:r>
        <w:rPr/>
        <w:t>consequences.</w:t>
      </w:r>
    </w:p>
    <w:p>
      <w:pPr>
        <w:pStyle w:val="Heading4"/>
        <w:spacing w:before="185" w:after="4"/>
      </w:pPr>
      <w:r>
        <w:rPr/>
        <w:t>Table</w:t>
      </w:r>
      <w:r>
        <w:rPr>
          <w:spacing w:val="-1"/>
        </w:rPr>
        <w:t> </w:t>
      </w:r>
      <w:r>
        <w:rPr/>
        <w:t>2.5:</w:t>
      </w:r>
      <w:r>
        <w:rPr>
          <w:spacing w:val="-2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Illness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86"/>
        <w:gridCol w:w="838"/>
        <w:gridCol w:w="836"/>
        <w:gridCol w:w="898"/>
        <w:gridCol w:w="896"/>
      </w:tblGrid>
      <w:tr>
        <w:trPr>
          <w:trHeight w:val="414" w:hRule="atLeast"/>
        </w:trPr>
        <w:tc>
          <w:tcPr>
            <w:tcW w:w="5886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before="1"/>
              <w:ind w:left="87" w:right="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836" w:type="dxa"/>
          </w:tcPr>
          <w:p>
            <w:pPr>
              <w:pStyle w:val="TableParagraph"/>
              <w:spacing w:before="1"/>
              <w:ind w:left="83" w:right="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898" w:type="dxa"/>
          </w:tcPr>
          <w:p>
            <w:pPr>
              <w:pStyle w:val="TableParagraph"/>
              <w:spacing w:before="1"/>
              <w:ind w:left="117" w:right="1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  <w:tc>
          <w:tcPr>
            <w:tcW w:w="896" w:type="dxa"/>
          </w:tcPr>
          <w:p>
            <w:pPr>
              <w:pStyle w:val="TableParagraph"/>
              <w:spacing w:before="1"/>
              <w:ind w:left="114" w:right="11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2016</w:t>
            </w:r>
          </w:p>
        </w:tc>
      </w:tr>
      <w:tr>
        <w:trPr>
          <w:trHeight w:val="414" w:hRule="atLeast"/>
        </w:trPr>
        <w:tc>
          <w:tcPr>
            <w:tcW w:w="588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Non-Communicable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Diseases</w:t>
            </w:r>
          </w:p>
        </w:tc>
        <w:tc>
          <w:tcPr>
            <w:tcW w:w="838" w:type="dxa"/>
          </w:tcPr>
          <w:p>
            <w:pPr>
              <w:pStyle w:val="TableParagraph"/>
              <w:spacing w:line="270" w:lineRule="exact"/>
              <w:ind w:left="87" w:right="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21.9%</w:t>
            </w:r>
          </w:p>
        </w:tc>
        <w:tc>
          <w:tcPr>
            <w:tcW w:w="836" w:type="dxa"/>
          </w:tcPr>
          <w:p>
            <w:pPr>
              <w:pStyle w:val="TableParagraph"/>
              <w:spacing w:line="270" w:lineRule="exact"/>
              <w:ind w:left="84" w:right="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25.6%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/>
              <w:ind w:left="118" w:right="1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28.2%</w:t>
            </w:r>
          </w:p>
        </w:tc>
        <w:tc>
          <w:tcPr>
            <w:tcW w:w="896" w:type="dxa"/>
          </w:tcPr>
          <w:p>
            <w:pPr>
              <w:pStyle w:val="TableParagraph"/>
              <w:spacing w:line="270" w:lineRule="exact"/>
              <w:ind w:left="115" w:right="1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29.0%</w:t>
            </w:r>
          </w:p>
        </w:tc>
      </w:tr>
      <w:tr>
        <w:trPr>
          <w:trHeight w:val="412" w:hRule="atLeast"/>
        </w:trPr>
        <w:tc>
          <w:tcPr>
            <w:tcW w:w="588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Communicable,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Maternal,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Perinatal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Nutritional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Conditions</w:t>
            </w:r>
          </w:p>
        </w:tc>
        <w:tc>
          <w:tcPr>
            <w:tcW w:w="838" w:type="dxa"/>
          </w:tcPr>
          <w:p>
            <w:pPr>
              <w:pStyle w:val="TableParagraph"/>
              <w:spacing w:line="270" w:lineRule="exact"/>
              <w:ind w:left="87" w:right="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72.1%</w:t>
            </w:r>
          </w:p>
        </w:tc>
        <w:tc>
          <w:tcPr>
            <w:tcW w:w="836" w:type="dxa"/>
          </w:tcPr>
          <w:p>
            <w:pPr>
              <w:pStyle w:val="TableParagraph"/>
              <w:spacing w:line="270" w:lineRule="exact"/>
              <w:ind w:left="84" w:right="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67.0%</w:t>
            </w:r>
          </w:p>
        </w:tc>
        <w:tc>
          <w:tcPr>
            <w:tcW w:w="898" w:type="dxa"/>
          </w:tcPr>
          <w:p>
            <w:pPr>
              <w:pStyle w:val="TableParagraph"/>
              <w:spacing w:line="270" w:lineRule="exact"/>
              <w:ind w:left="118" w:right="1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63.5%</w:t>
            </w:r>
          </w:p>
        </w:tc>
        <w:tc>
          <w:tcPr>
            <w:tcW w:w="896" w:type="dxa"/>
          </w:tcPr>
          <w:p>
            <w:pPr>
              <w:pStyle w:val="TableParagraph"/>
              <w:spacing w:line="270" w:lineRule="exact"/>
              <w:ind w:left="115" w:right="1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62.7%</w:t>
            </w:r>
          </w:p>
        </w:tc>
      </w:tr>
      <w:tr>
        <w:trPr>
          <w:trHeight w:val="414" w:hRule="atLeast"/>
        </w:trPr>
        <w:tc>
          <w:tcPr>
            <w:tcW w:w="5886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Injuries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(for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instance,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accidents)</w:t>
            </w:r>
          </w:p>
        </w:tc>
        <w:tc>
          <w:tcPr>
            <w:tcW w:w="838" w:type="dxa"/>
          </w:tcPr>
          <w:p>
            <w:pPr>
              <w:pStyle w:val="TableParagraph"/>
              <w:spacing w:line="273" w:lineRule="exact"/>
              <w:ind w:left="87" w:right="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6.0%</w:t>
            </w:r>
          </w:p>
        </w:tc>
        <w:tc>
          <w:tcPr>
            <w:tcW w:w="836" w:type="dxa"/>
          </w:tcPr>
          <w:p>
            <w:pPr>
              <w:pStyle w:val="TableParagraph"/>
              <w:spacing w:line="273" w:lineRule="exact"/>
              <w:ind w:left="84" w:right="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7.4%</w:t>
            </w:r>
          </w:p>
        </w:tc>
        <w:tc>
          <w:tcPr>
            <w:tcW w:w="898" w:type="dxa"/>
          </w:tcPr>
          <w:p>
            <w:pPr>
              <w:pStyle w:val="TableParagraph"/>
              <w:spacing w:line="273" w:lineRule="exact"/>
              <w:ind w:left="118" w:right="1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8.3%</w:t>
            </w:r>
          </w:p>
        </w:tc>
        <w:tc>
          <w:tcPr>
            <w:tcW w:w="896" w:type="dxa"/>
          </w:tcPr>
          <w:p>
            <w:pPr>
              <w:pStyle w:val="TableParagraph"/>
              <w:spacing w:line="273" w:lineRule="exact"/>
              <w:ind w:left="115" w:right="1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8.3%</w:t>
            </w:r>
          </w:p>
        </w:tc>
      </w:tr>
    </w:tbl>
    <w:p>
      <w:pPr>
        <w:pStyle w:val="BodyText"/>
        <w:ind w:left="160"/>
        <w:jc w:val="both"/>
      </w:pPr>
      <w:r>
        <w:rPr>
          <w:i/>
        </w:rPr>
        <w:t>Source:</w:t>
      </w:r>
      <w:r>
        <w:rPr>
          <w:i/>
          <w:spacing w:val="-2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 Indicators, 2018; WHO,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0" w:lineRule="auto"/>
        <w:ind w:left="160" w:right="154"/>
        <w:jc w:val="both"/>
      </w:pP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other</w:t>
      </w:r>
      <w:r>
        <w:rPr>
          <w:spacing w:val="-13"/>
        </w:rPr>
        <w:t> </w:t>
      </w:r>
      <w:r>
        <w:rPr/>
        <w:t>hand,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poor</w:t>
      </w:r>
      <w:r>
        <w:rPr>
          <w:spacing w:val="-13"/>
        </w:rPr>
        <w:t> </w:t>
      </w:r>
      <w:r>
        <w:rPr/>
        <w:t>health</w:t>
      </w:r>
      <w:r>
        <w:rPr>
          <w:spacing w:val="-12"/>
        </w:rPr>
        <w:t> </w:t>
      </w:r>
      <w:r>
        <w:rPr/>
        <w:t>outcomes</w:t>
      </w:r>
      <w:r>
        <w:rPr>
          <w:spacing w:val="-13"/>
        </w:rPr>
        <w:t> </w:t>
      </w:r>
      <w:r>
        <w:rPr/>
        <w:t>(illnesses)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NCDs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rising</w:t>
      </w:r>
      <w:r>
        <w:rPr>
          <w:spacing w:val="-12"/>
        </w:rPr>
        <w:t> </w:t>
      </w:r>
      <w:r>
        <w:rPr/>
        <w:t>rapidly</w:t>
      </w:r>
      <w:r>
        <w:rPr>
          <w:spacing w:val="-15"/>
        </w:rPr>
        <w:t> </w:t>
      </w:r>
      <w:r>
        <w:rPr/>
        <w:t>over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recent</w:t>
      </w:r>
      <w:r>
        <w:rPr>
          <w:spacing w:val="-57"/>
        </w:rPr>
        <w:t> </w:t>
      </w:r>
      <w:r>
        <w:rPr/>
        <w:t>years. Table 2.5 also shows that this causes of poor health outcomes rose from 21.9% in 2000 to</w:t>
      </w:r>
      <w:r>
        <w:rPr>
          <w:spacing w:val="1"/>
        </w:rPr>
        <w:t> </w:t>
      </w:r>
      <w:r>
        <w:rPr/>
        <w:t>26%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2010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further</w:t>
      </w:r>
      <w:r>
        <w:rPr>
          <w:spacing w:val="-10"/>
        </w:rPr>
        <w:t> </w:t>
      </w:r>
      <w:r>
        <w:rPr/>
        <w:t>increase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29%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2016.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reveals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prevalence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incidences</w:t>
      </w:r>
      <w:r>
        <w:rPr>
          <w:spacing w:val="-58"/>
        </w:rPr>
        <w:t> </w:t>
      </w:r>
      <w:r>
        <w:rPr/>
        <w:t>of NCDs is on the rise in Nigeria. Compare to infectious diseases, the menace of NCDs, namely</w:t>
      </w:r>
      <w:r>
        <w:rPr>
          <w:spacing w:val="1"/>
        </w:rPr>
        <w:t> </w:t>
      </w:r>
      <w:r>
        <w:rPr/>
        <w:t>strokes,</w:t>
      </w:r>
      <w:r>
        <w:rPr>
          <w:spacing w:val="-2"/>
        </w:rPr>
        <w:t> </w:t>
      </w:r>
      <w:r>
        <w:rPr/>
        <w:t>hypertension,</w:t>
      </w:r>
      <w:r>
        <w:rPr>
          <w:spacing w:val="-1"/>
        </w:rPr>
        <w:t> </w:t>
      </w:r>
      <w:r>
        <w:rPr/>
        <w:t>heart</w:t>
      </w:r>
      <w:r>
        <w:rPr>
          <w:spacing w:val="-1"/>
        </w:rPr>
        <w:t> </w:t>
      </w:r>
      <w:r>
        <w:rPr/>
        <w:t>disease,</w:t>
      </w:r>
      <w:r>
        <w:rPr>
          <w:spacing w:val="-1"/>
        </w:rPr>
        <w:t> </w:t>
      </w:r>
      <w:r>
        <w:rPr/>
        <w:t>cancers,</w:t>
      </w:r>
      <w:r>
        <w:rPr>
          <w:spacing w:val="-1"/>
        </w:rPr>
        <w:t> </w:t>
      </w:r>
      <w:r>
        <w:rPr/>
        <w:t>diabetes,</w:t>
      </w:r>
      <w:r>
        <w:rPr>
          <w:spacing w:val="-1"/>
        </w:rPr>
        <w:t> </w:t>
      </w:r>
      <w:r>
        <w:rPr/>
        <w:t>chronic</w:t>
      </w:r>
      <w:r>
        <w:rPr>
          <w:spacing w:val="-3"/>
        </w:rPr>
        <w:t> </w:t>
      </w:r>
      <w:r>
        <w:rPr/>
        <w:t>lung and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diseases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alarming. These could</w:t>
      </w:r>
      <w:r>
        <w:rPr>
          <w:spacing w:val="-1"/>
        </w:rPr>
        <w:t> </w:t>
      </w:r>
      <w:r>
        <w:rPr/>
        <w:t>be hidden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silent for</w:t>
      </w:r>
      <w:r>
        <w:rPr>
          <w:spacing w:val="-2"/>
        </w:rPr>
        <w:t> </w:t>
      </w:r>
      <w:r>
        <w:rPr/>
        <w:t>decades, and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to sudden</w:t>
      </w:r>
      <w:r>
        <w:rPr>
          <w:spacing w:val="-1"/>
        </w:rPr>
        <w:t> </w:t>
      </w:r>
      <w:r>
        <w:rPr/>
        <w:t>deaths.</w:t>
      </w:r>
    </w:p>
    <w:p>
      <w:pPr>
        <w:spacing w:after="0" w:line="360" w:lineRule="auto"/>
        <w:jc w:val="both"/>
        <w:sectPr>
          <w:pgSz w:w="12240" w:h="15840"/>
          <w:pgMar w:header="0" w:footer="1015" w:top="1440" w:bottom="1200" w:left="1280" w:right="1280"/>
        </w:sectPr>
      </w:pPr>
    </w:p>
    <w:p>
      <w:pPr>
        <w:pStyle w:val="BodyText"/>
        <w:spacing w:line="360" w:lineRule="auto" w:before="74"/>
        <w:ind w:left="160" w:right="152"/>
        <w:jc w:val="both"/>
      </w:pPr>
      <w:r>
        <w:rPr/>
        <w:t>Figure</w:t>
      </w:r>
      <w:r>
        <w:rPr>
          <w:spacing w:val="-8"/>
        </w:rPr>
        <w:t> </w:t>
      </w:r>
      <w:r>
        <w:rPr/>
        <w:t>2.10</w:t>
      </w:r>
      <w:r>
        <w:rPr>
          <w:spacing w:val="-6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annual</w:t>
      </w:r>
      <w:r>
        <w:rPr>
          <w:spacing w:val="-6"/>
        </w:rPr>
        <w:t> </w:t>
      </w:r>
      <w:r>
        <w:rPr/>
        <w:t>mortalities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hypertension,</w:t>
      </w:r>
      <w:r>
        <w:rPr>
          <w:spacing w:val="-6"/>
        </w:rPr>
        <w:t> </w:t>
      </w:r>
      <w:r>
        <w:rPr/>
        <w:t>cancers,</w:t>
      </w:r>
      <w:r>
        <w:rPr>
          <w:spacing w:val="-7"/>
        </w:rPr>
        <w:t> </w:t>
      </w:r>
      <w:r>
        <w:rPr/>
        <w:t>stroke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heart</w:t>
      </w:r>
      <w:r>
        <w:rPr>
          <w:spacing w:val="-7"/>
        </w:rPr>
        <w:t> </w:t>
      </w:r>
      <w:r>
        <w:rPr/>
        <w:t>failure</w:t>
      </w:r>
      <w:r>
        <w:rPr>
          <w:spacing w:val="-8"/>
        </w:rPr>
        <w:t> </w:t>
      </w:r>
      <w:r>
        <w:rPr/>
        <w:t>brief</w:t>
      </w:r>
      <w:r>
        <w:rPr>
          <w:spacing w:val="-58"/>
        </w:rPr>
        <w:t> </w:t>
      </w:r>
      <w:r>
        <w:rPr/>
        <w:t>illnesses of both male and female Nigerian. These especially from those between the ages of 30</w:t>
      </w:r>
      <w:r>
        <w:rPr>
          <w:spacing w:val="1"/>
        </w:rPr>
        <w:t> </w:t>
      </w:r>
      <w:r>
        <w:rPr/>
        <w:t>and 70 years alone rises from 254,600 to 293,700 cases for male, and 285,200 to 323,600 for</w:t>
      </w:r>
      <w:r>
        <w:rPr>
          <w:spacing w:val="1"/>
        </w:rPr>
        <w:t> </w:t>
      </w:r>
      <w:r>
        <w:rPr/>
        <w:t>female between 2008 and 2016. The statistics imply that, there were more cases of brief illness</w:t>
      </w:r>
      <w:r>
        <w:rPr>
          <w:spacing w:val="1"/>
        </w:rPr>
        <w:t> </w:t>
      </w:r>
      <w:r>
        <w:rPr/>
        <w:t>from chronic cancers for female that are between the ages of 30 and 70 years in Nigeria (WHO,</w:t>
      </w:r>
      <w:r>
        <w:rPr>
          <w:spacing w:val="1"/>
        </w:rPr>
        <w:t> </w:t>
      </w:r>
      <w:r>
        <w:rPr/>
        <w:t>2016).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also</w:t>
      </w:r>
      <w:r>
        <w:rPr>
          <w:spacing w:val="-9"/>
        </w:rPr>
        <w:t> </w:t>
      </w:r>
      <w:r>
        <w:rPr/>
        <w:t>suggest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nearly</w:t>
      </w:r>
      <w:r>
        <w:rPr>
          <w:spacing w:val="-15"/>
        </w:rPr>
        <w:t> </w:t>
      </w:r>
      <w:r>
        <w:rPr/>
        <w:t>24%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over</w:t>
      </w:r>
      <w:r>
        <w:rPr>
          <w:spacing w:val="-10"/>
        </w:rPr>
        <w:t> </w:t>
      </w:r>
      <w:r>
        <w:rPr/>
        <w:t>2,083,000</w:t>
      </w:r>
      <w:r>
        <w:rPr>
          <w:spacing w:val="-10"/>
        </w:rPr>
        <w:t> </w:t>
      </w:r>
      <w:r>
        <w:rPr/>
        <w:t>deaths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occurred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2016</w:t>
      </w:r>
      <w:r>
        <w:rPr>
          <w:spacing w:val="-10"/>
        </w:rPr>
        <w:t> </w:t>
      </w:r>
      <w:r>
        <w:rPr/>
        <w:t>were</w:t>
      </w:r>
      <w:r>
        <w:rPr>
          <w:spacing w:val="-12"/>
        </w:rPr>
        <w:t> </w:t>
      </w:r>
      <w:r>
        <w:rPr/>
        <w:t>from</w:t>
      </w:r>
      <w:r>
        <w:rPr>
          <w:spacing w:val="-57"/>
        </w:rPr>
        <w:t> </w:t>
      </w:r>
      <w:r>
        <w:rPr/>
        <w:t>hypertension,</w:t>
      </w:r>
      <w:r>
        <w:rPr>
          <w:spacing w:val="-1"/>
        </w:rPr>
        <w:t> </w:t>
      </w:r>
      <w:r>
        <w:rPr/>
        <w:t>cancers, stroke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heart failure</w:t>
      </w:r>
      <w:r>
        <w:rPr>
          <w:spacing w:val="-1"/>
        </w:rPr>
        <w:t> </w:t>
      </w:r>
      <w:r>
        <w:rPr/>
        <w:t>brief illnesses</w:t>
      </w:r>
      <w:r>
        <w:rPr>
          <w:spacing w:val="-1"/>
        </w:rPr>
        <w:t> </w:t>
      </w:r>
      <w:r>
        <w:rPr/>
        <w:t>alone in Nigeria.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71.639999pt;margin-top:7.932305pt;width:468.75pt;height:245.3pt;mso-position-horizontal-relative:page;mso-position-vertical-relative:paragraph;z-index:-15718912;mso-wrap-distance-left:0;mso-wrap-distance-right:0" coordorigin="1433,159" coordsize="9375,4906">
            <v:shape style="position:absolute;left:2712;top:1243;width:6384;height:2892" coordorigin="2712,1243" coordsize="6384,2892" path="m3564,2772l2712,2772,2712,4135,3564,4135,3564,2772xm6329,2607l5477,2607,5477,4135,6329,4135,6329,2607xm9096,1243l8242,1243,8242,4135,9096,4135,9096,1243xe" filled="true" fillcolor="#bebebe" stroked="false">
              <v:path arrowok="t"/>
              <v:fill type="solid"/>
            </v:shape>
            <v:shape style="position:absolute;left:3770;top:828;width:6384;height:3308" coordorigin="3770,828" coordsize="6384,3308" path="m4622,2561l3770,2561,3770,4135,4622,4135,4622,2561xm7387,2403l6535,2403,6535,4135,7387,4135,7387,2403xm10154,828l9300,828,9300,4135,10154,4135,10154,828xe" filled="true" fillcolor="#0d0d0d" stroked="false">
              <v:path arrowok="t"/>
              <v:fill type="solid"/>
            </v:shape>
            <v:line style="position:absolute" from="2285,4135" to="10579,4135" stroked="true" strokeweight=".72pt" strokecolor="#dfe4eb">
              <v:stroke dashstyle="solid"/>
            </v:line>
            <v:rect style="position:absolute;left:5584;top:4718;width:99;height:99" filled="true" fillcolor="#bebebe" stroked="false">
              <v:fill type="solid"/>
            </v:rect>
            <v:rect style="position:absolute;left:6220;top:4718;width:101;height:99" filled="true" fillcolor="#0d0d0d" stroked="false">
              <v:fill type="solid"/>
            </v:rect>
            <v:rect style="position:absolute;left:1440;top:165;width:9360;height:4892" filled="false" stroked="true" strokeweight=".72pt" strokecolor="#dfe4eb">
              <v:stroke dashstyle="solid"/>
            </v:rect>
            <v:shape style="position:absolute;left:1570;top:302;width:571;height:71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700000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600000</w:t>
                    </w:r>
                  </w:p>
                </w:txbxContent>
              </v:textbox>
              <w10:wrap type="none"/>
            </v:shape>
            <v:shape style="position:absolute;left:9454;top:954;width:568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617300</w:t>
                    </w:r>
                  </w:p>
                </w:txbxContent>
              </v:textbox>
              <w10:wrap type="none"/>
            </v:shape>
            <v:shape style="position:absolute;left:1570;top:1373;width:5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500000</w:t>
                    </w:r>
                  </w:p>
                </w:txbxContent>
              </v:textbox>
              <w10:wrap type="none"/>
            </v:shape>
            <v:shape style="position:absolute;left:8396;top:1370;width:5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539800</w:t>
                    </w:r>
                  </w:p>
                </w:txbxContent>
              </v:textbox>
              <w10:wrap type="none"/>
            </v:shape>
            <v:shape style="position:absolute;left:1570;top:1909;width:571;height:71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400000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300000</w:t>
                    </w:r>
                  </w:p>
                </w:txbxContent>
              </v:textbox>
              <w10:wrap type="none"/>
            </v:shape>
            <v:shape style="position:absolute;left:6688;top:2528;width:5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323600</w:t>
                    </w:r>
                  </w:p>
                </w:txbxContent>
              </v:textbox>
              <w10:wrap type="none"/>
            </v:shape>
            <v:shape style="position:absolute;left:3923;top:2688;width:5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293700</w:t>
                    </w:r>
                  </w:p>
                </w:txbxContent>
              </v:textbox>
              <w10:wrap type="none"/>
            </v:shape>
            <v:shape style="position:absolute;left:5630;top:2733;width:5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285200</w:t>
                    </w:r>
                  </w:p>
                </w:txbxContent>
              </v:textbox>
              <w10:wrap type="none"/>
            </v:shape>
            <v:shape style="position:absolute;left:1570;top:2980;width:5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200000</w:t>
                    </w:r>
                  </w:p>
                </w:txbxContent>
              </v:textbox>
              <w10:wrap type="none"/>
            </v:shape>
            <v:shape style="position:absolute;left:2864;top:2897;width:5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254600</w:t>
                    </w:r>
                  </w:p>
                </w:txbxContent>
              </v:textbox>
              <w10:wrap type="none"/>
            </v:shape>
            <v:shape style="position:absolute;left:1570;top:3515;width:571;height:71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100000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16" w:lineRule="exact"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82;top:4285;width:3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6166;top:4285;width:55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8777;top:4285;width:86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Total</w:t>
                    </w:r>
                    <w:r>
                      <w:rPr>
                        <w:rFonts w:ascii="Calibri"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4536A"/>
                        <w:sz w:val="18"/>
                      </w:rPr>
                      <w:t>(NCD)</w:t>
                    </w:r>
                  </w:p>
                </w:txbxContent>
              </v:textbox>
              <w10:wrap type="none"/>
            </v:shape>
            <v:shape style="position:absolute;left:5726;top:4683;width:1023;height:181" type="#_x0000_t202" filled="false" stroked="false">
              <v:textbox inset="0,0,0,0">
                <w:txbxContent>
                  <w:p>
                    <w:pPr>
                      <w:tabs>
                        <w:tab w:pos="637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2008</w:t>
                      <w:tab/>
                      <w:t>2016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4"/>
        <w:spacing w:line="235" w:lineRule="exact"/>
      </w:pPr>
      <w:r>
        <w:rPr/>
        <w:t>Figure</w:t>
      </w:r>
      <w:r>
        <w:rPr>
          <w:spacing w:val="-2"/>
        </w:rPr>
        <w:t> </w:t>
      </w:r>
      <w:r>
        <w:rPr/>
        <w:t>2.10: Annual</w:t>
      </w:r>
      <w:r>
        <w:rPr>
          <w:spacing w:val="-1"/>
        </w:rPr>
        <w:t> </w:t>
      </w:r>
      <w:r>
        <w:rPr/>
        <w:t>Deaths from</w:t>
      </w:r>
      <w:r>
        <w:rPr>
          <w:spacing w:val="-5"/>
        </w:rPr>
        <w:t> </w:t>
      </w:r>
      <w:r>
        <w:rPr/>
        <w:t>NCDs Ill-Health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spacing w:line="274" w:lineRule="exact" w:before="0"/>
        <w:ind w:left="160" w:right="0" w:firstLine="0"/>
        <w:jc w:val="both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(2011, 2018)</w:t>
      </w:r>
    </w:p>
    <w:p>
      <w:pPr>
        <w:pStyle w:val="BodyText"/>
        <w:spacing w:before="4"/>
        <w:rPr>
          <w:sz w:val="38"/>
        </w:rPr>
      </w:pPr>
    </w:p>
    <w:p>
      <w:pPr>
        <w:pStyle w:val="ListParagraph"/>
        <w:numPr>
          <w:ilvl w:val="2"/>
          <w:numId w:val="9"/>
        </w:numPr>
        <w:tabs>
          <w:tab w:pos="881" w:val="left" w:leader="none"/>
        </w:tabs>
        <w:spacing w:line="240" w:lineRule="auto" w:before="0" w:after="0"/>
        <w:ind w:left="880" w:right="0" w:hanging="721"/>
        <w:jc w:val="both"/>
        <w:rPr>
          <w:i/>
          <w:sz w:val="24"/>
        </w:rPr>
      </w:pPr>
      <w:r>
        <w:rPr>
          <w:i/>
          <w:sz w:val="24"/>
        </w:rPr>
        <w:t>Under-five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Mortalities</w:t>
      </w:r>
    </w:p>
    <w:p>
      <w:pPr>
        <w:pStyle w:val="BodyText"/>
        <w:spacing w:line="360" w:lineRule="auto" w:before="137"/>
        <w:ind w:left="160" w:right="157"/>
        <w:jc w:val="both"/>
      </w:pPr>
      <w:r>
        <w:rPr/>
        <w:t>In</w:t>
      </w:r>
      <w:r>
        <w:rPr>
          <w:spacing w:val="-4"/>
        </w:rPr>
        <w:t> </w:t>
      </w:r>
      <w:r>
        <w:rPr/>
        <w:t>terms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indicators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health</w:t>
      </w:r>
      <w:r>
        <w:rPr>
          <w:spacing w:val="-3"/>
        </w:rPr>
        <w:t> </w:t>
      </w:r>
      <w:r>
        <w:rPr/>
        <w:t>outcomes,</w:t>
      </w:r>
      <w:r>
        <w:rPr>
          <w:spacing w:val="-4"/>
        </w:rPr>
        <w:t> </w:t>
      </w:r>
      <w:r>
        <w:rPr/>
        <w:t>Figure</w:t>
      </w:r>
      <w:r>
        <w:rPr>
          <w:spacing w:val="-5"/>
        </w:rPr>
        <w:t> </w:t>
      </w:r>
      <w:r>
        <w:rPr/>
        <w:t>2.11</w:t>
      </w:r>
      <w:r>
        <w:rPr>
          <w:spacing w:val="-4"/>
        </w:rPr>
        <w:t> </w:t>
      </w:r>
      <w:r>
        <w:rPr/>
        <w:t>shows</w:t>
      </w:r>
      <w:r>
        <w:rPr>
          <w:spacing w:val="-3"/>
        </w:rPr>
        <w:t> </w:t>
      </w:r>
      <w:r>
        <w:rPr/>
        <w:t>that,</w:t>
      </w:r>
      <w:r>
        <w:rPr>
          <w:spacing w:val="-3"/>
        </w:rPr>
        <w:t> </w:t>
      </w:r>
      <w:r>
        <w:rPr/>
        <w:t>despite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declining</w:t>
      </w:r>
      <w:r>
        <w:rPr>
          <w:spacing w:val="-6"/>
        </w:rPr>
        <w:t> </w:t>
      </w:r>
      <w:r>
        <w:rPr/>
        <w:t>under-</w:t>
      </w:r>
      <w:r>
        <w:rPr>
          <w:spacing w:val="-57"/>
        </w:rPr>
        <w:t> </w:t>
      </w:r>
      <w:r>
        <w:rPr/>
        <w:t>five deaths across all the regions of the world, sub-Saharan Africa (SSA) region still experiences</w:t>
      </w:r>
      <w:r>
        <w:rPr>
          <w:spacing w:val="1"/>
        </w:rPr>
        <w:t> </w:t>
      </w:r>
      <w:r>
        <w:rPr/>
        <w:t>the highest under-5 mortalities. While global under-5 deaths reduced by 9.8% from 42.4 to 38.4</w:t>
      </w:r>
      <w:r>
        <w:rPr>
          <w:spacing w:val="1"/>
        </w:rPr>
        <w:t> </w:t>
      </w:r>
      <w:r>
        <w:rPr/>
        <w:t>per 1,000 for 2015 and 2018, respectively; the SSA’s rate merely decreased from 84.8 to 77.5 per</w:t>
      </w:r>
      <w:r>
        <w:rPr>
          <w:spacing w:val="-57"/>
        </w:rPr>
        <w:t> </w:t>
      </w:r>
      <w:r>
        <w:rPr>
          <w:spacing w:val="-1"/>
        </w:rPr>
        <w:t>1,000</w:t>
      </w:r>
      <w:r>
        <w:rPr>
          <w:spacing w:val="-15"/>
        </w:rPr>
        <w:t> </w:t>
      </w:r>
      <w:r>
        <w:rPr>
          <w:spacing w:val="-1"/>
        </w:rPr>
        <w:t>between</w:t>
      </w:r>
      <w:r>
        <w:rPr>
          <w:spacing w:val="-15"/>
        </w:rPr>
        <w:t> </w:t>
      </w:r>
      <w:r>
        <w:rPr>
          <w:spacing w:val="-1"/>
        </w:rPr>
        <w:t>2015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2018</w:t>
      </w:r>
      <w:r>
        <w:rPr>
          <w:spacing w:val="-14"/>
        </w:rPr>
        <w:t> </w:t>
      </w:r>
      <w:r>
        <w:rPr/>
        <w:t>(World</w:t>
      </w:r>
      <w:r>
        <w:rPr>
          <w:spacing w:val="-15"/>
        </w:rPr>
        <w:t> </w:t>
      </w:r>
      <w:r>
        <w:rPr/>
        <w:t>Bank,</w:t>
      </w:r>
      <w:r>
        <w:rPr>
          <w:spacing w:val="-15"/>
        </w:rPr>
        <w:t> </w:t>
      </w:r>
      <w:r>
        <w:rPr/>
        <w:t>2019).</w:t>
      </w:r>
      <w:r>
        <w:rPr>
          <w:spacing w:val="-15"/>
        </w:rPr>
        <w:t> </w:t>
      </w:r>
      <w:r>
        <w:rPr/>
        <w:t>Furthermore,</w:t>
      </w:r>
      <w:r>
        <w:rPr>
          <w:spacing w:val="-15"/>
        </w:rPr>
        <w:t> </w:t>
      </w:r>
      <w:r>
        <w:rPr/>
        <w:t>among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nations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SSA</w:t>
      </w:r>
      <w:r>
        <w:rPr>
          <w:spacing w:val="-15"/>
        </w:rPr>
        <w:t> </w:t>
      </w:r>
      <w:r>
        <w:rPr/>
        <w:t>region,</w:t>
      </w:r>
      <w:r>
        <w:rPr>
          <w:spacing w:val="-57"/>
        </w:rPr>
        <w:t> </w:t>
      </w:r>
      <w:r>
        <w:rPr/>
        <w:t>Nigeria loses an estimated 2,300 under-5-year old’s children daily (UNICEF, 2018). This makes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1"/>
        </w:rPr>
        <w:t> </w:t>
      </w:r>
      <w:r>
        <w:rPr/>
        <w:t>largest contributor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global child and</w:t>
      </w:r>
      <w:r>
        <w:rPr>
          <w:spacing w:val="-1"/>
        </w:rPr>
        <w:t> </w:t>
      </w:r>
      <w:r>
        <w:rPr/>
        <w:t>under-5 deaths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Republic</w:t>
      </w:r>
      <w:r>
        <w:rPr>
          <w:spacing w:val="-1"/>
        </w:rPr>
        <w:t> </w:t>
      </w:r>
      <w:r>
        <w:rPr/>
        <w:t>of</w:t>
      </w:r>
      <w:r>
        <w:rPr>
          <w:spacing w:val="-58"/>
        </w:rPr>
        <w:t> </w:t>
      </w:r>
      <w:r>
        <w:rPr/>
        <w:t>Congo (World Bank, 2019). This issue is also associated with all forms of illnesses from both</w:t>
      </w:r>
      <w:r>
        <w:rPr>
          <w:spacing w:val="1"/>
        </w:rPr>
        <w:t> </w:t>
      </w:r>
      <w:r>
        <w:rPr/>
        <w:t>NCDs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communicable</w:t>
      </w:r>
      <w:r>
        <w:rPr>
          <w:spacing w:val="-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(UNICEF, 2018).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5.538002pt;margin-top:163.054688pt;width:12pt;height:40.65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per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1,000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4"/>
        <w:spacing w:line="272" w:lineRule="exact" w:before="90"/>
        <w:ind w:left="220"/>
        <w:jc w:val="left"/>
      </w:pPr>
      <w:r>
        <w:rPr/>
        <w:pict>
          <v:group style="position:absolute;margin-left:71.639999pt;margin-top:-231.30687pt;width:465pt;height:235.45pt;mso-position-horizontal-relative:page;mso-position-vertical-relative:paragraph;z-index:15738880" coordorigin="1433,-4626" coordsize="9300,4709">
            <v:shape style="position:absolute;left:2433;top:-2083;width:377;height:1606" coordorigin="2434,-2082" coordsize="377,1606" path="m2434,-477l2810,-477m2434,-565l2810,-565m2434,-654l2810,-654m2434,-745l2810,-745m2434,-923l2810,-923m2434,-1012l2810,-1012m2434,-1101l2810,-1101m2434,-1189l2810,-1189m2434,-1369l2810,-1369m2434,-1458l2810,-1458m2434,-1547l2810,-1547m2434,-1636l2810,-1636m2434,-1813l2810,-1813m2434,-1902l2810,-1902m2434,-1993l2810,-1993m2434,-2082l2810,-2082e" filled="false" stroked="true" strokeweight=".72pt" strokecolor="#f1f1f1">
              <v:path arrowok="t"/>
              <v:stroke dashstyle="solid"/>
            </v:shape>
            <v:shape style="position:absolute;left:2433;top:-1725;width:377;height:891" coordorigin="2434,-1725" coordsize="377,891" path="m2434,-834l2810,-834m2434,-1278l2810,-1278m2434,-1725l2810,-1725e" filled="false" stroked="true" strokeweight=".72pt" strokecolor="#d9d9d9">
              <v:path arrowok="t"/>
              <v:stroke dashstyle="solid"/>
            </v:shape>
            <v:rect style="position:absolute;left:2810;top:-2092;width:250;height:1704" filled="true" fillcolor="#000000" stroked="false">
              <v:fill type="solid"/>
            </v:rect>
            <v:shape style="position:absolute;left:3309;top:-1814;width:999;height:1337" coordorigin="3310,-1813" coordsize="999,1337" path="m3310,-477l4058,-477m3310,-565l4058,-565m3310,-654l4058,-654m3310,-745l4058,-745m3310,-923l4058,-923m3310,-1012l4058,-1012m3310,-1101l4058,-1101m3310,-1189l4058,-1189m3310,-1369l4058,-1369m3310,-1458l4058,-1458m3310,-1547l4058,-1547m3310,-1636l4058,-1636m3310,-1813l4308,-1813e" filled="false" stroked="true" strokeweight=".72pt" strokecolor="#f1f1f1">
              <v:path arrowok="t"/>
              <v:stroke dashstyle="solid"/>
            </v:shape>
            <v:shape style="position:absolute;left:3309;top:-1725;width:749;height:891" coordorigin="3310,-1725" coordsize="749,891" path="m3310,-834l4058,-834m3310,-1278l4058,-1278m3310,-1725l4058,-1725e" filled="false" stroked="true" strokeweight=".72pt" strokecolor="#d9d9d9">
              <v:path arrowok="t"/>
              <v:stroke dashstyle="solid"/>
            </v:shape>
            <v:rect style="position:absolute;left:4058;top:-1792;width:250;height:1404" filled="true" fillcolor="#000000" stroked="false">
              <v:fill type="solid"/>
            </v:rect>
            <v:shape style="position:absolute;left:2433;top:-3775;width:6248;height:1872" coordorigin="2434,-3774" coordsize="6248,1872" path="m3310,-1902l4308,-1902m3310,-1993l4308,-1993m3310,-2082l4308,-2082m2434,-2260l3060,-2260m3310,-2260l4308,-2260m2434,-2349l3060,-2349m3310,-2349l4308,-2349m2434,-2437l3060,-2437m3310,-2437l4308,-2437m2434,-2526l3060,-2526m3310,-2526l4308,-2526m2434,-2706l3060,-2706m3310,-2706l4308,-2706m2434,-2795l3060,-2795m3310,-2795l4308,-2795m2434,-2884l3060,-2884m3310,-2884l4308,-2884m2434,-2973l3060,-2973m3310,-2973l4308,-2973m2434,-3150l3060,-3150m3310,-3150l4308,-3150m2434,-3241l3060,-3241m3310,-3241l8681,-3241m2434,-3330l3060,-3330m3310,-3330l8681,-3330m2434,-3419l3060,-3419m3310,-3419l8681,-3419m2434,-3597l3060,-3597m3310,-3597l8681,-3597m2434,-3685l3060,-3685m3310,-3685l8681,-3685m2434,-3774l3060,-3774m3310,-3774l8681,-3774e" filled="false" stroked="true" strokeweight=".72pt" strokecolor="#f1f1f1">
              <v:path arrowok="t"/>
              <v:stroke dashstyle="solid"/>
            </v:shape>
            <v:shape style="position:absolute;left:2433;top:-3508;width:6248;height:1337" coordorigin="2434,-3508" coordsize="6248,1337" path="m2434,-2171l3060,-2171m3310,-2171l4308,-2171m2434,-2617l3060,-2617m3310,-2617l4308,-2617m2434,-3061l3060,-3061m3310,-3061l4308,-3061m2434,-3508l3060,-3508m3310,-3508l8681,-3508e" filled="false" stroked="true" strokeweight=".72pt" strokecolor="#d9d9d9">
              <v:path arrowok="t"/>
              <v:stroke dashstyle="solid"/>
            </v:shape>
            <v:rect style="position:absolute;left:3060;top:-3794;width:250;height:3406" filled="true" fillcolor="#bebebe" stroked="false">
              <v:fill type="solid"/>
            </v:rect>
            <v:shape style="position:absolute;left:4557;top:-1547;width:1001;height:1071" coordorigin="4558,-1547" coordsize="1001,1071" path="m4558,-477l5309,-477m4558,-565l5309,-565m4558,-654l5309,-654m4558,-745l5309,-745m4558,-923l5309,-923m4558,-1012l5309,-1012m4558,-1101l5309,-1101m4558,-1189l5309,-1189m4558,-1369l5309,-1369m4558,-1458l5309,-1458m4558,-1547l5558,-1547e" filled="false" stroked="true" strokeweight=".72pt" strokecolor="#f1f1f1">
              <v:path arrowok="t"/>
              <v:stroke dashstyle="solid"/>
            </v:shape>
            <v:shape style="position:absolute;left:4557;top:-1279;width:752;height:444" coordorigin="4558,-1278" coordsize="752,444" path="m4558,-834l5309,-834m4558,-1278l5309,-1278e" filled="false" stroked="true" strokeweight=".72pt" strokecolor="#d9d9d9">
              <v:path arrowok="t"/>
              <v:stroke dashstyle="solid"/>
            </v:shape>
            <v:rect style="position:absolute;left:5308;top:-1531;width:250;height:1143" filled="true" fillcolor="#000000" stroked="false">
              <v:fill type="solid"/>
            </v:rect>
            <v:shape style="position:absolute;left:4557;top:-3151;width:4124;height:1515" coordorigin="4558,-3150" coordsize="4124,1515" path="m4558,-1636l5558,-1636m4558,-1813l5558,-1813m4558,-1902l5558,-1902m4558,-1993l5558,-1993m4558,-2082l5558,-2082m4558,-2260l5558,-2260m4558,-2349l5558,-2349m4558,-2437l5558,-2437m4558,-2526l5558,-2526m4558,-2706l8681,-2706m4558,-2795l8681,-2795m4558,-2884l8681,-2884m4558,-2973l8681,-2973m4558,-3150l8681,-3150e" filled="false" stroked="true" strokeweight=".72pt" strokecolor="#f1f1f1">
              <v:path arrowok="t"/>
              <v:stroke dashstyle="solid"/>
            </v:shape>
            <v:shape style="position:absolute;left:4557;top:-3062;width:4124;height:1337" coordorigin="4558,-3061" coordsize="4124,1337" path="m4558,-1725l5558,-1725m4558,-2171l5558,-2171m4558,-2617l5558,-2617m4558,-3061l8681,-3061e" filled="false" stroked="true" strokeweight=".72pt" strokecolor="#d9d9d9">
              <v:path arrowok="t"/>
              <v:stroke dashstyle="solid"/>
            </v:shape>
            <v:rect style="position:absolute;left:4308;top:-3182;width:250;height:2794" filled="true" fillcolor="#bebebe" stroked="false">
              <v:fill type="solid"/>
            </v:rect>
            <v:shape style="position:absolute;left:5808;top:-1370;width:999;height:893" coordorigin="5808,-1369" coordsize="999,893" path="m5808,-477l6557,-477m5808,-565l6557,-565m5808,-654l6557,-654m5808,-745l6557,-745m5808,-923l6557,-923m5808,-1012l6557,-1012m5808,-1101l6557,-1101m5808,-1189l6557,-1189m5808,-1369l6806,-1369e" filled="false" stroked="true" strokeweight=".72pt" strokecolor="#f1f1f1">
              <v:path arrowok="t"/>
              <v:stroke dashstyle="solid"/>
            </v:shape>
            <v:shape style="position:absolute;left:5808;top:-1279;width:749;height:444" coordorigin="5808,-1278" coordsize="749,444" path="m5808,-834l6557,-834m5808,-1278l6557,-1278e" filled="false" stroked="true" strokeweight=".72pt" strokecolor="#d9d9d9">
              <v:path arrowok="t"/>
              <v:stroke dashstyle="solid"/>
            </v:shape>
            <v:rect style="position:absolute;left:6556;top:-1334;width:250;height:946" filled="true" fillcolor="#000000" stroked="false">
              <v:fill type="solid"/>
            </v:rect>
            <v:shape style="position:absolute;left:5808;top:-2527;width:2873;height:1068" coordorigin="5808,-2526" coordsize="2873,1068" path="m5808,-1458l6806,-1458m5808,-1547l6806,-1547m5808,-1636l6806,-1636m5808,-1813l6806,-1813m5808,-1902l6806,-1902m5808,-1993l6806,-1993m5808,-2082l6806,-2082m5808,-2260l6806,-2260m5808,-2349l8681,-2349m5808,-2437l8681,-2437m5808,-2526l8681,-2526e" filled="false" stroked="true" strokeweight=".72pt" strokecolor="#f1f1f1">
              <v:path arrowok="t"/>
              <v:stroke dashstyle="solid"/>
            </v:shape>
            <v:shape style="position:absolute;left:5808;top:-2618;width:2873;height:893" coordorigin="5808,-2617" coordsize="2873,893" path="m5808,-1725l6806,-1725m5808,-2171l6806,-2171m5808,-2617l8681,-2617e" filled="false" stroked="true" strokeweight=".72pt" strokecolor="#d9d9d9">
              <v:path arrowok="t"/>
              <v:stroke dashstyle="solid"/>
            </v:shape>
            <v:rect style="position:absolute;left:5558;top:-2647;width:250;height:2259" filled="true" fillcolor="#bebebe" stroked="false">
              <v:fill type="solid"/>
            </v:rect>
            <v:shape style="position:absolute;left:7056;top:-1190;width:752;height:713" coordorigin="7056,-1189" coordsize="752,713" path="m7056,-477l7807,-477m7056,-565l7807,-565m7056,-654l7807,-654m7056,-745l7807,-745m7056,-923l7807,-923m7056,-1012l7807,-1012m7056,-1101l7807,-1101m7056,-1189l7807,-1189e" filled="false" stroked="true" strokeweight=".72pt" strokecolor="#f1f1f1">
              <v:path arrowok="t"/>
              <v:stroke dashstyle="solid"/>
            </v:shape>
            <v:shape style="position:absolute;left:7056;top:-1279;width:1001;height:444" coordorigin="7056,-1278" coordsize="1001,444" path="m7056,-834l7807,-834m7056,-1278l8057,-1278e" filled="false" stroked="true" strokeweight=".72pt" strokecolor="#d9d9d9">
              <v:path arrowok="t"/>
              <v:stroke dashstyle="solid"/>
            </v:shape>
            <v:rect style="position:absolute;left:7807;top:-1247;width:250;height:860" filled="true" fillcolor="#000000" stroked="false">
              <v:fill type="solid"/>
            </v:rect>
            <v:shape style="position:absolute;left:7056;top:-2260;width:1625;height:891" coordorigin="7056,-2260" coordsize="1625,891" path="m7056,-1369l8057,-1369m7056,-1458l8057,-1458m7056,-1547l8057,-1547m7056,-1636l8057,-1636m7056,-1813l8057,-1813m7056,-1902l8057,-1902m7056,-1993l8057,-1993m7056,-2082l8057,-2082m7056,-2260l8681,-2260e" filled="false" stroked="true" strokeweight=".72pt" strokecolor="#f1f1f1">
              <v:path arrowok="t"/>
              <v:stroke dashstyle="solid"/>
            </v:shape>
            <v:shape style="position:absolute;left:7056;top:-2171;width:1625;height:447" coordorigin="7056,-2171" coordsize="1625,447" path="m7056,-1725l8057,-1725m7056,-2171l8681,-2171e" filled="false" stroked="true" strokeweight=".72pt" strokecolor="#d9d9d9">
              <v:path arrowok="t"/>
              <v:stroke dashstyle="solid"/>
            </v:shape>
            <v:rect style="position:absolute;left:6806;top:-2277;width:250;height:1889" filled="true" fillcolor="#bebebe" stroked="false">
              <v:fill type="solid"/>
            </v:rect>
            <v:shape style="position:absolute;left:8306;top:-2083;width:375;height:1606" coordorigin="8306,-2082" coordsize="375,1606" path="m8306,-477l8681,-477m8306,-565l8681,-565m8306,-654l8681,-654m8306,-745l8681,-745m8306,-923l8681,-923m8306,-1012l8681,-1012m8306,-1101l8681,-1101m8306,-1189l8681,-1189m8306,-1369l8681,-1369m8306,-1458l8681,-1458m8306,-1547l8681,-1547m8306,-1636l8681,-1636m8306,-1813l8681,-1813m8306,-1902l8681,-1902m8306,-1993l8681,-1993m8306,-2082l8681,-2082e" filled="false" stroked="true" strokeweight=".72pt" strokecolor="#f1f1f1">
              <v:path arrowok="t"/>
              <v:stroke dashstyle="solid"/>
            </v:shape>
            <v:shape style="position:absolute;left:8306;top:-1725;width:375;height:891" coordorigin="8306,-1725" coordsize="375,891" path="m8306,-834l8681,-834m8306,-1278l8681,-1278m8306,-1725l8681,-1725e" filled="false" stroked="true" strokeweight=".72pt" strokecolor="#d9d9d9">
              <v:path arrowok="t"/>
              <v:stroke dashstyle="solid"/>
            </v:shape>
            <v:rect style="position:absolute;left:8056;top:-2116;width:250;height:1728" filled="true" fillcolor="#bebebe" stroked="false">
              <v:fill type="solid"/>
            </v:rect>
            <v:line style="position:absolute" from="2434,-388" to="8681,-388" stroked="true" strokeweight=".72pt" strokecolor="#d9d9d9">
              <v:stroke dashstyle="solid"/>
            </v:line>
            <v:shape style="position:absolute;left:2433;top:-4221;width:6248;height:178" coordorigin="2434,-4221" coordsize="6248,178" path="m2434,-4043l8681,-4043m2434,-4132l8681,-4132m2434,-4221l8681,-4221e" filled="false" stroked="true" strokeweight=".72pt" strokecolor="#f1f1f1">
              <v:path arrowok="t"/>
              <v:stroke dashstyle="solid"/>
            </v:shape>
            <v:shape style="position:absolute;left:2433;top:-4399;width:6248;height:444" coordorigin="2434,-4398" coordsize="6248,444" path="m2434,-3954l8681,-3954m2434,-4398l8681,-4398e" filled="false" stroked="true" strokeweight=".72pt" strokecolor="#d9d9d9">
              <v:path arrowok="t"/>
              <v:stroke dashstyle="solid"/>
            </v:shape>
            <v:rect style="position:absolute;left:8995;top:-2491;width:99;height:99" filled="true" fillcolor="#000000" stroked="false">
              <v:fill type="solid"/>
            </v:rect>
            <v:rect style="position:absolute;left:8995;top:-2152;width:99;height:99" filled="true" fillcolor="#bebebe" stroked="false">
              <v:fill type="solid"/>
            </v:rect>
            <v:rect style="position:absolute;left:1440;top:-4619;width:9286;height:4695" filled="false" stroked="true" strokeweight=".72pt" strokecolor="#d9d9d9">
              <v:stroke dashstyle="solid"/>
            </v:rect>
            <v:shape style="position:absolute;left:1994;top:-4484;width:6743;height:1964" type="#_x0000_t202" filled="false" stroked="false">
              <v:textbox inset="0,0,0,0">
                <w:txbxContent>
                  <w:p>
                    <w:pPr>
                      <w:tabs>
                        <w:tab w:pos="6722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180   </w:t>
                    </w:r>
                    <w:r>
                      <w:rPr>
                        <w:rFonts w:ascii="Calibri"/>
                        <w:color w:val="585858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  <w:u w:val="single" w:color="F1F1F1"/>
                      </w:rPr>
                      <w:t> </w:t>
                      <w:tab/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tabs>
                        <w:tab w:pos="6722" w:val="left" w:leader="none"/>
                      </w:tabs>
                      <w:spacing w:line="487" w:lineRule="auto" w:before="0"/>
                      <w:ind w:left="0" w:right="18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</w:t>
                    </w:r>
                    <w:r>
                      <w:rPr>
                        <w:rFonts w:ascii="Calibri"/>
                        <w:color w:val="585858"/>
                        <w:sz w:val="18"/>
                        <w:u w:val="single" w:color="F1F1F1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 140</w:t>
                    </w:r>
                  </w:p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9137;top:-2524;width:11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Global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Average</w:t>
                    </w:r>
                  </w:p>
                </w:txbxContent>
              </v:textbox>
              <w10:wrap type="none"/>
            </v:shape>
            <v:shape style="position:absolute;left:2085;top:-225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9137;top:-2187;width:14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Sub-Saharan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Africa</w:t>
                    </w:r>
                  </w:p>
                </w:txbxContent>
              </v:textbox>
              <w10:wrap type="none"/>
            </v:shape>
            <v:shape style="position:absolute;left:2085;top:-1809;width:203;height:1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77;top:-23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4127;top:-23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2005</w:t>
                    </w:r>
                  </w:p>
                </w:txbxContent>
              </v:textbox>
              <w10:wrap type="none"/>
            </v:shape>
            <v:shape style="position:absolute;left:5376;top:-23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6626;top:-23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7875;top:-23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2.11:</w:t>
      </w:r>
      <w:r>
        <w:rPr>
          <w:spacing w:val="-2"/>
        </w:rPr>
        <w:t> </w:t>
      </w:r>
      <w:r>
        <w:rPr/>
        <w:t>Global Comparative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Under-five</w:t>
      </w:r>
      <w:r>
        <w:rPr>
          <w:spacing w:val="-1"/>
        </w:rPr>
        <w:t> </w:t>
      </w:r>
      <w:r>
        <w:rPr/>
        <w:t>Deaths</w:t>
      </w:r>
    </w:p>
    <w:p>
      <w:pPr>
        <w:spacing w:line="272" w:lineRule="exact" w:before="0"/>
        <w:ind w:left="160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World Bank (2018)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60" w:right="154"/>
        <w:jc w:val="both"/>
      </w:pPr>
      <w:r>
        <w:rPr/>
        <w:t>Table</w:t>
      </w:r>
      <w:r>
        <w:rPr>
          <w:spacing w:val="-6"/>
        </w:rPr>
        <w:t> </w:t>
      </w:r>
      <w:r>
        <w:rPr/>
        <w:t>2.6</w:t>
      </w:r>
      <w:r>
        <w:rPr>
          <w:spacing w:val="-5"/>
        </w:rPr>
        <w:t> </w:t>
      </w:r>
      <w:r>
        <w:rPr/>
        <w:t>shows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1975,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under-five-mortality</w:t>
      </w:r>
      <w:r>
        <w:rPr>
          <w:spacing w:val="-10"/>
        </w:rPr>
        <w:t> </w:t>
      </w:r>
      <w:r>
        <w:rPr/>
        <w:t>(U5M)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Rwanda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about</w:t>
      </w:r>
      <w:r>
        <w:rPr>
          <w:spacing w:val="-2"/>
        </w:rPr>
        <w:t> </w:t>
      </w:r>
      <w:r>
        <w:rPr/>
        <w:t>245</w:t>
      </w:r>
      <w:r>
        <w:rPr>
          <w:spacing w:val="-5"/>
        </w:rPr>
        <w:t> </w:t>
      </w:r>
      <w:r>
        <w:rPr/>
        <w:t>deaths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every</w:t>
      </w:r>
      <w:r>
        <w:rPr>
          <w:spacing w:val="-9"/>
        </w:rPr>
        <w:t> </w:t>
      </w:r>
      <w:r>
        <w:rPr/>
        <w:t>1,000</w:t>
      </w:r>
      <w:r>
        <w:rPr>
          <w:spacing w:val="-1"/>
        </w:rPr>
        <w:t> </w:t>
      </w:r>
      <w:r>
        <w:rPr/>
        <w:t>under-five</w:t>
      </w:r>
      <w:r>
        <w:rPr>
          <w:spacing w:val="-2"/>
        </w:rPr>
        <w:t> </w:t>
      </w:r>
      <w:r>
        <w:rPr/>
        <w:t>children.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3"/>
        </w:rPr>
        <w:t> </w:t>
      </w:r>
      <w:r>
        <w:rPr/>
        <w:t>period,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Nigeria’s U5M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slightly</w:t>
      </w:r>
      <w:r>
        <w:rPr>
          <w:spacing w:val="-8"/>
        </w:rPr>
        <w:t> </w:t>
      </w:r>
      <w:r>
        <w:rPr/>
        <w:t>lower</w:t>
      </w:r>
      <w:r>
        <w:rPr>
          <w:spacing w:val="-4"/>
        </w:rPr>
        <w:t> </w:t>
      </w:r>
      <w:r>
        <w:rPr/>
        <w:t>at</w:t>
      </w:r>
      <w:r>
        <w:rPr>
          <w:spacing w:val="-1"/>
        </w:rPr>
        <w:t> </w:t>
      </w:r>
      <w:r>
        <w:rPr/>
        <w:t>244</w:t>
      </w:r>
      <w:r>
        <w:rPr>
          <w:spacing w:val="-57"/>
        </w:rPr>
        <w:t> </w:t>
      </w:r>
      <w:r>
        <w:rPr/>
        <w:t>per 1,000. While by the end of 1995 when the figure rose to 268 per 1,000 for Rwanda, Nigeria’s</w:t>
      </w:r>
      <w:r>
        <w:rPr>
          <w:spacing w:val="-57"/>
        </w:rPr>
        <w:t> </w:t>
      </w:r>
      <w:r>
        <w:rPr/>
        <w:t>was</w:t>
      </w:r>
      <w:r>
        <w:rPr>
          <w:spacing w:val="-4"/>
        </w:rPr>
        <w:t> </w:t>
      </w:r>
      <w:r>
        <w:rPr/>
        <w:t>still</w:t>
      </w:r>
      <w:r>
        <w:rPr>
          <w:spacing w:val="-3"/>
        </w:rPr>
        <w:t> </w:t>
      </w:r>
      <w:r>
        <w:rPr/>
        <w:t>relatively</w:t>
      </w:r>
      <w:r>
        <w:rPr>
          <w:spacing w:val="-11"/>
        </w:rPr>
        <w:t> </w:t>
      </w:r>
      <w:r>
        <w:rPr/>
        <w:t>lower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213</w:t>
      </w:r>
      <w:r>
        <w:rPr>
          <w:spacing w:val="-4"/>
        </w:rPr>
        <w:t> </w:t>
      </w:r>
      <w:r>
        <w:rPr/>
        <w:t>per</w:t>
      </w:r>
      <w:r>
        <w:rPr>
          <w:spacing w:val="-5"/>
        </w:rPr>
        <w:t> </w:t>
      </w:r>
      <w:r>
        <w:rPr/>
        <w:t>1,000.</w:t>
      </w:r>
      <w:r>
        <w:rPr>
          <w:spacing w:val="-4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Rwanda’s</w:t>
      </w:r>
      <w:r>
        <w:rPr>
          <w:spacing w:val="-4"/>
        </w:rPr>
        <w:t> </w:t>
      </w:r>
      <w:r>
        <w:rPr/>
        <w:t>under-5</w:t>
      </w:r>
      <w:r>
        <w:rPr>
          <w:spacing w:val="-4"/>
        </w:rPr>
        <w:t> </w:t>
      </w:r>
      <w:r>
        <w:rPr/>
        <w:t>deaths</w:t>
      </w:r>
      <w:r>
        <w:rPr>
          <w:spacing w:val="-3"/>
        </w:rPr>
        <w:t> </w:t>
      </w:r>
      <w:r>
        <w:rPr/>
        <w:t>fell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low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42</w:t>
      </w:r>
      <w:r>
        <w:rPr>
          <w:spacing w:val="-58"/>
        </w:rPr>
        <w:t> </w:t>
      </w:r>
      <w:r>
        <w:rPr/>
        <w:t>deaths per 1,000 in 2015. In the same period for Nigeria, the U5M was as high as 109 deaths in</w:t>
      </w:r>
      <w:r>
        <w:rPr>
          <w:spacing w:val="1"/>
        </w:rPr>
        <w:t> </w:t>
      </w:r>
      <w:r>
        <w:rPr>
          <w:spacing w:val="-1"/>
        </w:rPr>
        <w:t>every</w:t>
      </w:r>
      <w:r>
        <w:rPr>
          <w:spacing w:val="-15"/>
        </w:rPr>
        <w:t> </w:t>
      </w:r>
      <w:r>
        <w:rPr/>
        <w:t>1,000</w:t>
      </w:r>
      <w:r>
        <w:rPr>
          <w:spacing w:val="-8"/>
        </w:rPr>
        <w:t> </w:t>
      </w:r>
      <w:r>
        <w:rPr/>
        <w:t>children</w:t>
      </w:r>
      <w:r>
        <w:rPr>
          <w:spacing w:val="-8"/>
        </w:rPr>
        <w:t> </w:t>
      </w:r>
      <w:r>
        <w:rPr/>
        <w:t>(WHO,</w:t>
      </w:r>
      <w:r>
        <w:rPr>
          <w:spacing w:val="-10"/>
        </w:rPr>
        <w:t> </w:t>
      </w:r>
      <w:r>
        <w:rPr/>
        <w:t>2017;</w:t>
      </w:r>
      <w:r>
        <w:rPr>
          <w:spacing w:val="-10"/>
        </w:rPr>
        <w:t> </w:t>
      </w:r>
      <w:r>
        <w:rPr/>
        <w:t>World</w:t>
      </w:r>
      <w:r>
        <w:rPr>
          <w:spacing w:val="-10"/>
        </w:rPr>
        <w:t> </w:t>
      </w:r>
      <w:r>
        <w:rPr/>
        <w:t>Bank,</w:t>
      </w:r>
      <w:r>
        <w:rPr>
          <w:spacing w:val="-8"/>
        </w:rPr>
        <w:t> </w:t>
      </w:r>
      <w:r>
        <w:rPr/>
        <w:t>2019).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nearly</w:t>
      </w:r>
      <w:r>
        <w:rPr>
          <w:spacing w:val="-15"/>
        </w:rPr>
        <w:t> </w:t>
      </w:r>
      <w:r>
        <w:rPr/>
        <w:t>triple</w:t>
      </w:r>
      <w:r>
        <w:rPr>
          <w:spacing w:val="-9"/>
        </w:rPr>
        <w:t> </w:t>
      </w:r>
      <w:r>
        <w:rPr/>
        <w:t>Rwanda’s</w:t>
      </w:r>
      <w:r>
        <w:rPr>
          <w:spacing w:val="-11"/>
        </w:rPr>
        <w:t> </w:t>
      </w:r>
      <w:r>
        <w:rPr/>
        <w:t>U5M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2018.</w:t>
      </w:r>
      <w:r>
        <w:rPr>
          <w:spacing w:val="-57"/>
        </w:rPr>
        <w:t> </w:t>
      </w:r>
      <w:r>
        <w:rPr/>
        <w:t>Therefore, compare to Cote d’Ivoire, Ghana, South Africa, and Rwanda, the under-five deaths in</w:t>
      </w:r>
      <w:r>
        <w:rPr>
          <w:spacing w:val="1"/>
        </w:rPr>
        <w:t> </w:t>
      </w:r>
      <w:r>
        <w:rPr/>
        <w:t>Nigeria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highest,</w:t>
      </w:r>
      <w:r>
        <w:rPr>
          <w:spacing w:val="-5"/>
        </w:rPr>
        <w:t> </w:t>
      </w:r>
      <w:r>
        <w:rPr/>
        <w:t>where</w:t>
      </w:r>
      <w:r>
        <w:rPr>
          <w:spacing w:val="-8"/>
        </w:rPr>
        <w:t> </w:t>
      </w:r>
      <w:r>
        <w:rPr/>
        <w:t>120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every</w:t>
      </w:r>
      <w:r>
        <w:rPr>
          <w:spacing w:val="-10"/>
        </w:rPr>
        <w:t> </w:t>
      </w:r>
      <w:r>
        <w:rPr/>
        <w:t>1,000</w:t>
      </w:r>
      <w:r>
        <w:rPr>
          <w:spacing w:val="-6"/>
        </w:rPr>
        <w:t> </w:t>
      </w:r>
      <w:r>
        <w:rPr/>
        <w:t>children</w:t>
      </w:r>
      <w:r>
        <w:rPr>
          <w:spacing w:val="-8"/>
        </w:rPr>
        <w:t> </w:t>
      </w:r>
      <w:r>
        <w:rPr/>
        <w:t>under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ages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5</w:t>
      </w:r>
      <w:r>
        <w:rPr>
          <w:spacing w:val="-4"/>
        </w:rPr>
        <w:t> </w:t>
      </w:r>
      <w:r>
        <w:rPr/>
        <w:t>years</w:t>
      </w:r>
      <w:r>
        <w:rPr>
          <w:spacing w:val="-8"/>
        </w:rPr>
        <w:t> </w:t>
      </w:r>
      <w:r>
        <w:rPr/>
        <w:t>old</w:t>
      </w:r>
      <w:r>
        <w:rPr>
          <w:spacing w:val="-8"/>
        </w:rPr>
        <w:t> </w:t>
      </w:r>
      <w:r>
        <w:rPr/>
        <w:t>die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2018.</w:t>
      </w:r>
    </w:p>
    <w:p>
      <w:pPr>
        <w:pStyle w:val="BodyText"/>
        <w:spacing w:before="3"/>
      </w:pPr>
    </w:p>
    <w:p>
      <w:pPr>
        <w:pStyle w:val="Heading4"/>
        <w:spacing w:after="4"/>
        <w:ind w:left="220"/>
      </w:pPr>
      <w:r>
        <w:rPr/>
        <w:t>Table</w:t>
      </w:r>
      <w:r>
        <w:rPr>
          <w:spacing w:val="-2"/>
        </w:rPr>
        <w:t> </w:t>
      </w:r>
      <w:r>
        <w:rPr/>
        <w:t>2.6:</w:t>
      </w:r>
      <w:r>
        <w:rPr>
          <w:spacing w:val="-1"/>
        </w:rPr>
        <w:t> </w:t>
      </w:r>
      <w:r>
        <w:rPr/>
        <w:t>Comparative</w:t>
      </w:r>
      <w:r>
        <w:rPr>
          <w:spacing w:val="-3"/>
        </w:rPr>
        <w:t> </w:t>
      </w:r>
      <w:r>
        <w:rPr/>
        <w:t>Under-5</w:t>
      </w:r>
      <w:r>
        <w:rPr>
          <w:spacing w:val="-1"/>
        </w:rPr>
        <w:t> </w:t>
      </w:r>
      <w:r>
        <w:rPr/>
        <w:t>Deaths</w:t>
      </w:r>
      <w:r>
        <w:rPr>
          <w:spacing w:val="-1"/>
        </w:rPr>
        <w:t> </w:t>
      </w:r>
      <w:r>
        <w:rPr/>
        <w:t>(per</w:t>
      </w:r>
      <w:r>
        <w:rPr>
          <w:spacing w:val="-2"/>
        </w:rPr>
        <w:t> </w:t>
      </w:r>
      <w:r>
        <w:rPr/>
        <w:t>1,000)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SSA</w:t>
      </w:r>
      <w:r>
        <w:rPr>
          <w:spacing w:val="-1"/>
        </w:rPr>
        <w:t> </w:t>
      </w:r>
      <w:r>
        <w:rPr/>
        <w:t>countries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676"/>
        <w:gridCol w:w="674"/>
        <w:gridCol w:w="676"/>
        <w:gridCol w:w="676"/>
        <w:gridCol w:w="674"/>
        <w:gridCol w:w="677"/>
        <w:gridCol w:w="677"/>
        <w:gridCol w:w="675"/>
        <w:gridCol w:w="677"/>
        <w:gridCol w:w="678"/>
        <w:gridCol w:w="675"/>
        <w:gridCol w:w="677"/>
      </w:tblGrid>
      <w:tr>
        <w:trPr>
          <w:trHeight w:val="398" w:hRule="atLeast"/>
        </w:trPr>
        <w:tc>
          <w:tcPr>
            <w:tcW w:w="123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spacing w:before="1"/>
              <w:ind w:left="24" w:right="13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1975</w:t>
            </w:r>
          </w:p>
        </w:tc>
        <w:tc>
          <w:tcPr>
            <w:tcW w:w="674" w:type="dxa"/>
          </w:tcPr>
          <w:p>
            <w:pPr>
              <w:pStyle w:val="TableParagraph"/>
              <w:spacing w:before="1"/>
              <w:ind w:left="86" w:right="72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1980</w:t>
            </w:r>
          </w:p>
        </w:tc>
        <w:tc>
          <w:tcPr>
            <w:tcW w:w="676" w:type="dxa"/>
          </w:tcPr>
          <w:p>
            <w:pPr>
              <w:pStyle w:val="TableParagraph"/>
              <w:spacing w:before="1"/>
              <w:ind w:left="24" w:right="10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1985</w:t>
            </w:r>
          </w:p>
        </w:tc>
        <w:tc>
          <w:tcPr>
            <w:tcW w:w="676" w:type="dxa"/>
          </w:tcPr>
          <w:p>
            <w:pPr>
              <w:pStyle w:val="TableParagraph"/>
              <w:spacing w:before="1"/>
              <w:ind w:left="24" w:right="8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1990</w:t>
            </w:r>
          </w:p>
        </w:tc>
        <w:tc>
          <w:tcPr>
            <w:tcW w:w="674" w:type="dxa"/>
          </w:tcPr>
          <w:p>
            <w:pPr>
              <w:pStyle w:val="TableParagraph"/>
              <w:spacing w:before="1"/>
              <w:ind w:left="89" w:right="70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1995</w:t>
            </w:r>
          </w:p>
        </w:tc>
        <w:tc>
          <w:tcPr>
            <w:tcW w:w="677" w:type="dxa"/>
          </w:tcPr>
          <w:p>
            <w:pPr>
              <w:pStyle w:val="TableParagraph"/>
              <w:spacing w:before="1"/>
              <w:ind w:left="90" w:right="73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2000</w:t>
            </w:r>
          </w:p>
        </w:tc>
        <w:tc>
          <w:tcPr>
            <w:tcW w:w="677" w:type="dxa"/>
          </w:tcPr>
          <w:p>
            <w:pPr>
              <w:pStyle w:val="TableParagraph"/>
              <w:spacing w:before="1"/>
              <w:ind w:left="90" w:right="72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2005</w:t>
            </w:r>
          </w:p>
        </w:tc>
        <w:tc>
          <w:tcPr>
            <w:tcW w:w="675" w:type="dxa"/>
          </w:tcPr>
          <w:p>
            <w:pPr>
              <w:pStyle w:val="TableParagraph"/>
              <w:spacing w:before="1"/>
              <w:ind w:left="90" w:right="71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2010</w:t>
            </w:r>
          </w:p>
        </w:tc>
        <w:tc>
          <w:tcPr>
            <w:tcW w:w="677" w:type="dxa"/>
          </w:tcPr>
          <w:p>
            <w:pPr>
              <w:pStyle w:val="TableParagraph"/>
              <w:spacing w:before="1"/>
              <w:ind w:right="92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2015</w:t>
            </w:r>
          </w:p>
        </w:tc>
        <w:tc>
          <w:tcPr>
            <w:tcW w:w="678" w:type="dxa"/>
          </w:tcPr>
          <w:p>
            <w:pPr>
              <w:pStyle w:val="TableParagraph"/>
              <w:spacing w:before="1"/>
              <w:ind w:left="91" w:right="76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2016</w:t>
            </w:r>
          </w:p>
        </w:tc>
        <w:tc>
          <w:tcPr>
            <w:tcW w:w="675" w:type="dxa"/>
          </w:tcPr>
          <w:p>
            <w:pPr>
              <w:pStyle w:val="TableParagraph"/>
              <w:spacing w:before="1"/>
              <w:ind w:left="89" w:right="73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2017</w:t>
            </w:r>
          </w:p>
        </w:tc>
        <w:tc>
          <w:tcPr>
            <w:tcW w:w="677" w:type="dxa"/>
          </w:tcPr>
          <w:p>
            <w:pPr>
              <w:pStyle w:val="TableParagraph"/>
              <w:spacing w:before="1"/>
              <w:ind w:left="87" w:right="74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2018</w:t>
            </w:r>
          </w:p>
        </w:tc>
      </w:tr>
      <w:tr>
        <w:trPr>
          <w:trHeight w:val="794" w:hRule="atLeast"/>
        </w:trPr>
        <w:tc>
          <w:tcPr>
            <w:tcW w:w="1238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Cote</w:t>
            </w:r>
          </w:p>
          <w:p>
            <w:pPr>
              <w:pStyle w:val="TableParagraph"/>
              <w:spacing w:before="132"/>
              <w:ind w:left="107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d’Ivoire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1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201</w:t>
            </w:r>
          </w:p>
        </w:tc>
        <w:tc>
          <w:tcPr>
            <w:tcW w:w="674" w:type="dxa"/>
          </w:tcPr>
          <w:p>
            <w:pPr>
              <w:pStyle w:val="TableParagraph"/>
              <w:spacing w:line="258" w:lineRule="exact"/>
              <w:ind w:left="86" w:right="7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167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1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154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153</w:t>
            </w:r>
          </w:p>
        </w:tc>
        <w:tc>
          <w:tcPr>
            <w:tcW w:w="674" w:type="dxa"/>
          </w:tcPr>
          <w:p>
            <w:pPr>
              <w:pStyle w:val="TableParagraph"/>
              <w:spacing w:line="258" w:lineRule="exact"/>
              <w:ind w:left="89" w:right="7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153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90" w:right="7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146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90" w:right="7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129</w:t>
            </w:r>
          </w:p>
        </w:tc>
        <w:tc>
          <w:tcPr>
            <w:tcW w:w="675" w:type="dxa"/>
          </w:tcPr>
          <w:p>
            <w:pPr>
              <w:pStyle w:val="TableParagraph"/>
              <w:spacing w:line="258" w:lineRule="exact"/>
              <w:ind w:left="90" w:right="7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109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226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93</w:t>
            </w:r>
          </w:p>
        </w:tc>
        <w:tc>
          <w:tcPr>
            <w:tcW w:w="678" w:type="dxa"/>
          </w:tcPr>
          <w:p>
            <w:pPr>
              <w:pStyle w:val="TableParagraph"/>
              <w:spacing w:line="258" w:lineRule="exact"/>
              <w:ind w:left="91" w:right="75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92</w:t>
            </w:r>
          </w:p>
        </w:tc>
        <w:tc>
          <w:tcPr>
            <w:tcW w:w="675" w:type="dxa"/>
          </w:tcPr>
          <w:p>
            <w:pPr>
              <w:pStyle w:val="TableParagraph"/>
              <w:spacing w:line="258" w:lineRule="exact"/>
              <w:ind w:left="89" w:right="7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84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81</w:t>
            </w:r>
          </w:p>
        </w:tc>
      </w:tr>
      <w:tr>
        <w:trPr>
          <w:trHeight w:val="395" w:hRule="atLeast"/>
        </w:trPr>
        <w:tc>
          <w:tcPr>
            <w:tcW w:w="1238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Ghana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1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186</w:t>
            </w:r>
          </w:p>
        </w:tc>
        <w:tc>
          <w:tcPr>
            <w:tcW w:w="674" w:type="dxa"/>
          </w:tcPr>
          <w:p>
            <w:pPr>
              <w:pStyle w:val="TableParagraph"/>
              <w:spacing w:line="258" w:lineRule="exact"/>
              <w:ind w:left="86" w:right="7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166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1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155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127</w:t>
            </w:r>
          </w:p>
        </w:tc>
        <w:tc>
          <w:tcPr>
            <w:tcW w:w="674" w:type="dxa"/>
          </w:tcPr>
          <w:p>
            <w:pPr>
              <w:pStyle w:val="TableParagraph"/>
              <w:spacing w:line="258" w:lineRule="exact"/>
              <w:ind w:left="89" w:right="7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113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90" w:right="7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101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90" w:right="7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87</w:t>
            </w:r>
          </w:p>
        </w:tc>
        <w:tc>
          <w:tcPr>
            <w:tcW w:w="675" w:type="dxa"/>
          </w:tcPr>
          <w:p>
            <w:pPr>
              <w:pStyle w:val="TableParagraph"/>
              <w:spacing w:line="258" w:lineRule="exact"/>
              <w:ind w:left="90" w:right="7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75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226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62</w:t>
            </w:r>
          </w:p>
        </w:tc>
        <w:tc>
          <w:tcPr>
            <w:tcW w:w="678" w:type="dxa"/>
          </w:tcPr>
          <w:p>
            <w:pPr>
              <w:pStyle w:val="TableParagraph"/>
              <w:spacing w:line="258" w:lineRule="exact"/>
              <w:ind w:left="91" w:right="75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59</w:t>
            </w:r>
          </w:p>
        </w:tc>
        <w:tc>
          <w:tcPr>
            <w:tcW w:w="675" w:type="dxa"/>
          </w:tcPr>
          <w:p>
            <w:pPr>
              <w:pStyle w:val="TableParagraph"/>
              <w:spacing w:line="258" w:lineRule="exact"/>
              <w:ind w:left="89" w:right="7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50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48</w:t>
            </w:r>
          </w:p>
        </w:tc>
      </w:tr>
      <w:tr>
        <w:trPr>
          <w:trHeight w:val="794" w:hRule="atLeast"/>
        </w:trPr>
        <w:tc>
          <w:tcPr>
            <w:tcW w:w="1238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South-</w:t>
            </w:r>
          </w:p>
          <w:p>
            <w:pPr>
              <w:pStyle w:val="TableParagraph"/>
              <w:spacing w:before="131"/>
              <w:ind w:left="107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Africa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1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127</w:t>
            </w:r>
          </w:p>
        </w:tc>
        <w:tc>
          <w:tcPr>
            <w:tcW w:w="674" w:type="dxa"/>
          </w:tcPr>
          <w:p>
            <w:pPr>
              <w:pStyle w:val="TableParagraph"/>
              <w:spacing w:line="258" w:lineRule="exact"/>
              <w:ind w:left="86" w:right="7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93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1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71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60</w:t>
            </w:r>
          </w:p>
        </w:tc>
        <w:tc>
          <w:tcPr>
            <w:tcW w:w="674" w:type="dxa"/>
          </w:tcPr>
          <w:p>
            <w:pPr>
              <w:pStyle w:val="TableParagraph"/>
              <w:spacing w:line="258" w:lineRule="exact"/>
              <w:ind w:left="89" w:right="7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62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90" w:right="7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75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90" w:right="7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75</w:t>
            </w:r>
          </w:p>
        </w:tc>
        <w:tc>
          <w:tcPr>
            <w:tcW w:w="675" w:type="dxa"/>
          </w:tcPr>
          <w:p>
            <w:pPr>
              <w:pStyle w:val="TableParagraph"/>
              <w:spacing w:line="258" w:lineRule="exact"/>
              <w:ind w:left="90" w:right="7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54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226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41</w:t>
            </w:r>
          </w:p>
        </w:tc>
        <w:tc>
          <w:tcPr>
            <w:tcW w:w="678" w:type="dxa"/>
          </w:tcPr>
          <w:p>
            <w:pPr>
              <w:pStyle w:val="TableParagraph"/>
              <w:spacing w:line="258" w:lineRule="exact"/>
              <w:ind w:left="91" w:right="75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43</w:t>
            </w:r>
          </w:p>
        </w:tc>
        <w:tc>
          <w:tcPr>
            <w:tcW w:w="675" w:type="dxa"/>
          </w:tcPr>
          <w:p>
            <w:pPr>
              <w:pStyle w:val="TableParagraph"/>
              <w:spacing w:line="258" w:lineRule="exact"/>
              <w:ind w:left="89" w:right="7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35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34</w:t>
            </w:r>
          </w:p>
        </w:tc>
      </w:tr>
      <w:tr>
        <w:trPr>
          <w:trHeight w:val="395" w:hRule="atLeast"/>
        </w:trPr>
        <w:tc>
          <w:tcPr>
            <w:tcW w:w="1238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Rwanda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1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245</w:t>
            </w:r>
          </w:p>
        </w:tc>
        <w:tc>
          <w:tcPr>
            <w:tcW w:w="674" w:type="dxa"/>
          </w:tcPr>
          <w:p>
            <w:pPr>
              <w:pStyle w:val="TableParagraph"/>
              <w:spacing w:line="258" w:lineRule="exact"/>
              <w:ind w:left="86" w:right="7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218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1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160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152</w:t>
            </w:r>
          </w:p>
        </w:tc>
        <w:tc>
          <w:tcPr>
            <w:tcW w:w="674" w:type="dxa"/>
          </w:tcPr>
          <w:p>
            <w:pPr>
              <w:pStyle w:val="TableParagraph"/>
              <w:spacing w:line="258" w:lineRule="exact"/>
              <w:ind w:left="89" w:right="7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268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90" w:right="7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184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90" w:right="7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111</w:t>
            </w:r>
          </w:p>
        </w:tc>
        <w:tc>
          <w:tcPr>
            <w:tcW w:w="675" w:type="dxa"/>
          </w:tcPr>
          <w:p>
            <w:pPr>
              <w:pStyle w:val="TableParagraph"/>
              <w:spacing w:line="258" w:lineRule="exact"/>
              <w:ind w:left="90" w:right="7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64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226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42</w:t>
            </w:r>
          </w:p>
        </w:tc>
        <w:tc>
          <w:tcPr>
            <w:tcW w:w="678" w:type="dxa"/>
          </w:tcPr>
          <w:p>
            <w:pPr>
              <w:pStyle w:val="TableParagraph"/>
              <w:spacing w:line="258" w:lineRule="exact"/>
              <w:ind w:left="91" w:right="75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39</w:t>
            </w:r>
          </w:p>
        </w:tc>
        <w:tc>
          <w:tcPr>
            <w:tcW w:w="675" w:type="dxa"/>
          </w:tcPr>
          <w:p>
            <w:pPr>
              <w:pStyle w:val="TableParagraph"/>
              <w:spacing w:line="258" w:lineRule="exact"/>
              <w:ind w:left="89" w:right="7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37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35</w:t>
            </w:r>
          </w:p>
        </w:tc>
      </w:tr>
      <w:tr>
        <w:trPr>
          <w:trHeight w:val="397" w:hRule="atLeast"/>
        </w:trPr>
        <w:tc>
          <w:tcPr>
            <w:tcW w:w="1238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Nigeria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1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244</w:t>
            </w:r>
          </w:p>
        </w:tc>
        <w:tc>
          <w:tcPr>
            <w:tcW w:w="674" w:type="dxa"/>
          </w:tcPr>
          <w:p>
            <w:pPr>
              <w:pStyle w:val="TableParagraph"/>
              <w:spacing w:line="258" w:lineRule="exact"/>
              <w:ind w:left="86" w:right="7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214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1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210</w:t>
            </w:r>
          </w:p>
        </w:tc>
        <w:tc>
          <w:tcPr>
            <w:tcW w:w="676" w:type="dxa"/>
          </w:tcPr>
          <w:p>
            <w:pPr>
              <w:pStyle w:val="TableParagraph"/>
              <w:spacing w:line="258" w:lineRule="exact"/>
              <w:ind w:left="24" w:right="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213</w:t>
            </w:r>
          </w:p>
        </w:tc>
        <w:tc>
          <w:tcPr>
            <w:tcW w:w="674" w:type="dxa"/>
          </w:tcPr>
          <w:p>
            <w:pPr>
              <w:pStyle w:val="TableParagraph"/>
              <w:spacing w:line="258" w:lineRule="exact"/>
              <w:ind w:left="89" w:right="7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208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90" w:right="7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187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90" w:right="7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129</w:t>
            </w:r>
          </w:p>
        </w:tc>
        <w:tc>
          <w:tcPr>
            <w:tcW w:w="675" w:type="dxa"/>
          </w:tcPr>
          <w:p>
            <w:pPr>
              <w:pStyle w:val="TableParagraph"/>
              <w:spacing w:line="258" w:lineRule="exact"/>
              <w:ind w:left="90" w:right="7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127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right="150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125</w:t>
            </w:r>
          </w:p>
        </w:tc>
        <w:tc>
          <w:tcPr>
            <w:tcW w:w="678" w:type="dxa"/>
          </w:tcPr>
          <w:p>
            <w:pPr>
              <w:pStyle w:val="TableParagraph"/>
              <w:spacing w:line="258" w:lineRule="exact"/>
              <w:ind w:left="91" w:right="76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124</w:t>
            </w:r>
          </w:p>
        </w:tc>
        <w:tc>
          <w:tcPr>
            <w:tcW w:w="675" w:type="dxa"/>
          </w:tcPr>
          <w:p>
            <w:pPr>
              <w:pStyle w:val="TableParagraph"/>
              <w:spacing w:line="258" w:lineRule="exact"/>
              <w:ind w:left="89" w:right="73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122</w:t>
            </w:r>
          </w:p>
        </w:tc>
        <w:tc>
          <w:tcPr>
            <w:tcW w:w="677" w:type="dxa"/>
          </w:tcPr>
          <w:p>
            <w:pPr>
              <w:pStyle w:val="TableParagraph"/>
              <w:spacing w:line="258" w:lineRule="exact"/>
              <w:ind w:left="87" w:right="74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120</w:t>
            </w:r>
          </w:p>
        </w:tc>
      </w:tr>
    </w:tbl>
    <w:p>
      <w:pPr>
        <w:pStyle w:val="BodyText"/>
        <w:ind w:left="160"/>
        <w:jc w:val="both"/>
      </w:pPr>
      <w:r>
        <w:rPr>
          <w:i/>
        </w:rPr>
        <w:t>Source:</w:t>
      </w:r>
      <w:r>
        <w:rPr>
          <w:i/>
          <w:spacing w:val="-3"/>
        </w:rPr>
        <w:t> </w:t>
      </w:r>
      <w:r>
        <w:rPr/>
        <w:t>Compiled</w:t>
      </w:r>
      <w:r>
        <w:rPr>
          <w:spacing w:val="-2"/>
        </w:rPr>
        <w:t> </w:t>
      </w:r>
      <w:r>
        <w:rPr/>
        <w:t>from World</w:t>
      </w:r>
      <w:r>
        <w:rPr>
          <w:spacing w:val="-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Indicator,</w:t>
      </w:r>
      <w:r>
        <w:rPr>
          <w:spacing w:val="-2"/>
        </w:rPr>
        <w:t> </w:t>
      </w:r>
      <w:r>
        <w:rPr/>
        <w:t>2019</w:t>
      </w:r>
    </w:p>
    <w:p>
      <w:pPr>
        <w:spacing w:after="0"/>
        <w:jc w:val="both"/>
        <w:sectPr>
          <w:pgSz w:w="12240" w:h="15840"/>
          <w:pgMar w:header="0" w:footer="1015" w:top="1440" w:bottom="1200" w:left="1280" w:right="1280"/>
        </w:sectPr>
      </w:pPr>
    </w:p>
    <w:p>
      <w:pPr>
        <w:pStyle w:val="ListParagraph"/>
        <w:numPr>
          <w:ilvl w:val="2"/>
          <w:numId w:val="9"/>
        </w:numPr>
        <w:tabs>
          <w:tab w:pos="881" w:val="left" w:leader="none"/>
        </w:tabs>
        <w:spacing w:line="240" w:lineRule="auto" w:before="74" w:after="0"/>
        <w:ind w:left="880" w:right="0" w:hanging="721"/>
        <w:jc w:val="both"/>
        <w:rPr>
          <w:i/>
          <w:sz w:val="24"/>
        </w:rPr>
      </w:pPr>
      <w:r>
        <w:rPr>
          <w:i/>
          <w:sz w:val="24"/>
        </w:rPr>
        <w:t>New-born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Maternal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Deaths</w:t>
      </w:r>
    </w:p>
    <w:p>
      <w:pPr>
        <w:pStyle w:val="BodyText"/>
        <w:spacing w:line="360" w:lineRule="auto" w:before="137"/>
        <w:ind w:left="160" w:right="155"/>
        <w:jc w:val="both"/>
      </w:pPr>
      <w:r>
        <w:rPr/>
        <w:t>Figure</w:t>
      </w:r>
      <w:r>
        <w:rPr>
          <w:spacing w:val="-4"/>
        </w:rPr>
        <w:t> </w:t>
      </w:r>
      <w:r>
        <w:rPr/>
        <w:t>2.12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presents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infant</w:t>
      </w:r>
      <w:r>
        <w:rPr>
          <w:spacing w:val="-1"/>
        </w:rPr>
        <w:t> </w:t>
      </w:r>
      <w:r>
        <w:rPr/>
        <w:t>deaths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global</w:t>
      </w:r>
      <w:r>
        <w:rPr>
          <w:spacing w:val="-2"/>
        </w:rPr>
        <w:t> </w:t>
      </w:r>
      <w:r>
        <w:rPr/>
        <w:t>average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OECD</w:t>
      </w:r>
      <w:r>
        <w:rPr>
          <w:spacing w:val="-58"/>
        </w:rPr>
        <w:t> </w:t>
      </w:r>
      <w:r>
        <w:rPr/>
        <w:t>members</w:t>
      </w:r>
      <w:r>
        <w:rPr>
          <w:spacing w:val="-7"/>
        </w:rPr>
        <w:t> </w:t>
      </w:r>
      <w:r>
        <w:rPr/>
        <w:t>indices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53.2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10.5</w:t>
      </w:r>
      <w:r>
        <w:rPr>
          <w:spacing w:val="-6"/>
        </w:rPr>
        <w:t> </w:t>
      </w:r>
      <w:r>
        <w:rPr/>
        <w:t>per</w:t>
      </w:r>
      <w:r>
        <w:rPr>
          <w:spacing w:val="-7"/>
        </w:rPr>
        <w:t> </w:t>
      </w:r>
      <w:r>
        <w:rPr/>
        <w:t>1,000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2000,</w:t>
      </w:r>
      <w:r>
        <w:rPr>
          <w:spacing w:val="-6"/>
        </w:rPr>
        <w:t> </w:t>
      </w:r>
      <w:r>
        <w:rPr/>
        <w:t>respectively,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SSA</w:t>
      </w:r>
      <w:r>
        <w:rPr>
          <w:spacing w:val="-6"/>
        </w:rPr>
        <w:t> </w:t>
      </w:r>
      <w:r>
        <w:rPr/>
        <w:t>average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high</w:t>
      </w:r>
      <w:r>
        <w:rPr>
          <w:spacing w:val="-6"/>
        </w:rPr>
        <w:t> </w:t>
      </w:r>
      <w:r>
        <w:rPr/>
        <w:t>as</w:t>
      </w:r>
    </w:p>
    <w:p>
      <w:pPr>
        <w:pStyle w:val="BodyText"/>
        <w:spacing w:line="360" w:lineRule="auto"/>
        <w:ind w:left="160" w:right="158"/>
        <w:jc w:val="both"/>
      </w:pPr>
      <w:r>
        <w:rPr/>
        <w:pict>
          <v:group style="position:absolute;margin-left:71.639999pt;margin-top:82.703148pt;width:468.75pt;height:225pt;mso-position-horizontal-relative:page;mso-position-vertical-relative:paragraph;z-index:15739904" coordorigin="1433,1654" coordsize="9375,4500">
            <v:shape style="position:absolute;left:2433;top:4999;width:317;height:608" coordorigin="2434,5000" coordsize="317,608" path="m2434,5607l2750,5607m2434,5530l2750,5530m2434,5456l2750,5456m2434,5379l2750,5379m2434,5228l2750,5228m2434,5151l2750,5151m2434,5074l2750,5074m2434,5000l2750,5000e" filled="false" stroked="true" strokeweight=".72pt" strokecolor="#f1f1f1">
              <v:path arrowok="t"/>
              <v:stroke dashstyle="solid"/>
            </v:shape>
            <v:line style="position:absolute" from="2434,5302" to="2750,5302" stroked="true" strokeweight=".72pt" strokecolor="#d9d9d9">
              <v:stroke dashstyle="solid"/>
            </v:line>
            <v:shape style="position:absolute;left:2433;top:4618;width:317;height:228" coordorigin="2434,4618" coordsize="317,228" path="m2434,4846l2750,4846m2434,4772l2750,4772m2434,4695l2750,4695m2434,4618l2750,4618e" filled="false" stroked="true" strokeweight=".72pt" strokecolor="#f1f1f1">
              <v:path arrowok="t"/>
              <v:stroke dashstyle="solid"/>
            </v:shape>
            <v:line style="position:absolute" from="2434,4923" to="2750,4923" stroked="true" strokeweight=".72pt" strokecolor="#d9d9d9">
              <v:stroke dashstyle="solid"/>
            </v:line>
            <v:shape style="position:absolute;left:2433;top:4238;width:317;height:228" coordorigin="2434,4239" coordsize="317,228" path="m2434,4467l2750,4467m2434,4390l2750,4390m2434,4316l2750,4316m2434,4239l2750,4239e" filled="false" stroked="true" strokeweight=".72pt" strokecolor="#f1f1f1">
              <v:path arrowok="t"/>
              <v:stroke dashstyle="solid"/>
            </v:shape>
            <v:line style="position:absolute" from="2434,4544" to="2750,4544" stroked="true" strokeweight=".72pt" strokecolor="#d9d9d9">
              <v:stroke dashstyle="solid"/>
            </v:line>
            <v:shape style="position:absolute;left:2433;top:3859;width:317;height:228" coordorigin="2434,3860" coordsize="317,228" path="m2434,4088l2750,4088m2434,4011l2750,4011m2434,3934l2750,3934m2434,3860l2750,3860e" filled="false" stroked="true" strokeweight=".72pt" strokecolor="#f1f1f1">
              <v:path arrowok="t"/>
              <v:stroke dashstyle="solid"/>
            </v:shape>
            <v:line style="position:absolute" from="2434,4162" to="2750,4162" stroked="true" strokeweight=".72pt" strokecolor="#d9d9d9">
              <v:stroke dashstyle="solid"/>
            </v:line>
            <v:shape style="position:absolute;left:2433;top:3478;width:528;height:228" coordorigin="2434,3478" coordsize="528,228" path="m2434,3706l2750,3706m2434,3632l2962,3632m2434,3555l2962,3555m2434,3478l2962,3478e" filled="false" stroked="true" strokeweight=".72pt" strokecolor="#f1f1f1">
              <v:path arrowok="t"/>
              <v:stroke dashstyle="solid"/>
            </v:shape>
            <v:line style="position:absolute" from="2434,3783" to="2750,3783" stroked="true" strokeweight=".72pt" strokecolor="#d9d9d9">
              <v:stroke dashstyle="solid"/>
            </v:line>
            <v:shape style="position:absolute;left:2433;top:3098;width:528;height:228" coordorigin="2434,3099" coordsize="528,228" path="m2434,3327l2962,3327m2434,3250l2962,3250m2434,3176l2962,3176m2434,3099l2962,3099e" filled="false" stroked="true" strokeweight=".72pt" strokecolor="#f1f1f1">
              <v:path arrowok="t"/>
              <v:stroke dashstyle="solid"/>
            </v:shape>
            <v:line style="position:absolute" from="2434,3404" to="2962,3404" stroked="true" strokeweight=".72pt" strokecolor="#d9d9d9">
              <v:stroke dashstyle="solid"/>
            </v:line>
            <v:shape style="position:absolute;left:2433;top:2717;width:528;height:231" coordorigin="2434,2717" coordsize="528,231" path="m2434,2948l2962,2948m2434,2871l2962,2871m2434,2794l2962,2794m2434,2717l2962,2717e" filled="false" stroked="true" strokeweight=".72pt" strokecolor="#f1f1f1">
              <v:path arrowok="t"/>
              <v:stroke dashstyle="solid"/>
            </v:shape>
            <v:line style="position:absolute" from="2434,3022" to="2962,3022" stroked="true" strokeweight=".72pt" strokecolor="#d9d9d9">
              <v:stroke dashstyle="solid"/>
            </v:line>
            <v:shape style="position:absolute;left:2433;top:2338;width:528;height:228" coordorigin="2434,2338" coordsize="528,228" path="m2434,2566l2962,2566m2434,2489l2962,2489m2434,2415l2962,2415m2434,2338l2962,2338e" filled="false" stroked="true" strokeweight=".72pt" strokecolor="#f1f1f1">
              <v:path arrowok="t"/>
              <v:stroke dashstyle="solid"/>
            </v:shape>
            <v:line style="position:absolute" from="2434,2643" to="2962,2643" stroked="true" strokeweight=".72pt" strokecolor="#d9d9d9">
              <v:stroke dashstyle="solid"/>
            </v:line>
            <v:shape style="position:absolute;left:2433;top:2186;width:6322;height:2" coordorigin="2434,2187" coordsize="6322,0" path="m2434,2187l2962,2187m3173,2187l8755,2187e" filled="false" stroked="true" strokeweight=".72pt" strokecolor="#f1f1f1">
              <v:path arrowok="t"/>
              <v:stroke dashstyle="solid"/>
            </v:shape>
            <v:shape style="position:absolute;left:2433;top:2033;width:6322;height:77" coordorigin="2434,2033" coordsize="6322,77" path="m2434,2110l8755,2110m2434,2033l8755,2033e" filled="false" stroked="true" strokeweight=".72pt" strokecolor="#f1f1f1">
              <v:path arrowok="t"/>
              <v:stroke dashstyle="solid"/>
            </v:shape>
            <v:line style="position:absolute" from="2434,2261" to="2962,2261" stroked="true" strokeweight=".72pt" strokecolor="#d9d9d9">
              <v:stroke dashstyle="solid"/>
            </v:line>
            <v:shape style="position:absolute;left:3172;top:4999;width:843;height:608" coordorigin="3173,5000" coordsize="843,608" path="m3382,5607l4015,5607m3382,5530l4015,5530m3382,5456l4015,5456m3382,5379l4015,5379m3173,5228l4015,5228m3173,5151l4015,5151m3173,5074l4015,5074m3173,5000l4015,5000e" filled="false" stroked="true" strokeweight=".72pt" strokecolor="#f1f1f1">
              <v:path arrowok="t"/>
              <v:stroke dashstyle="solid"/>
            </v:shape>
            <v:line style="position:absolute" from="3382,5302" to="4015,5302" stroked="true" strokeweight=".72pt" strokecolor="#d9d9d9">
              <v:stroke dashstyle="solid"/>
            </v:line>
            <v:shape style="position:absolute;left:3172;top:4618;width:843;height:228" coordorigin="3173,4618" coordsize="843,228" path="m3173,4846l4015,4846m3173,4772l4015,4772m3173,4695l4015,4695m3173,4618l4015,4618e" filled="false" stroked="true" strokeweight=".72pt" strokecolor="#f1f1f1">
              <v:path arrowok="t"/>
              <v:stroke dashstyle="solid"/>
            </v:shape>
            <v:line style="position:absolute" from="3173,4923" to="4015,4923" stroked="true" strokeweight=".72pt" strokecolor="#d9d9d9">
              <v:stroke dashstyle="solid"/>
            </v:line>
            <v:shape style="position:absolute;left:3172;top:4238;width:843;height:228" coordorigin="3173,4239" coordsize="843,228" path="m3173,4467l4015,4467m3173,4390l4015,4390m3173,4316l4015,4316m3173,4239l4015,4239e" filled="false" stroked="true" strokeweight=".72pt" strokecolor="#f1f1f1">
              <v:path arrowok="t"/>
              <v:stroke dashstyle="solid"/>
            </v:shape>
            <v:line style="position:absolute" from="3173,4544" to="4015,4544" stroked="true" strokeweight=".72pt" strokecolor="#d9d9d9">
              <v:stroke dashstyle="solid"/>
            </v:line>
            <v:shape style="position:absolute;left:3172;top:3859;width:1054;height:228" coordorigin="3173,3860" coordsize="1054,228" path="m3173,4088l4015,4088m3173,4011l4015,4011m3173,3934l4226,3934m3173,3860l4226,3860e" filled="false" stroked="true" strokeweight=".72pt" strokecolor="#f1f1f1">
              <v:path arrowok="t"/>
              <v:stroke dashstyle="solid"/>
            </v:shape>
            <v:line style="position:absolute" from="3173,4162" to="4015,4162" stroked="true" strokeweight=".72pt" strokecolor="#d9d9d9">
              <v:stroke dashstyle="solid"/>
            </v:line>
            <v:shape style="position:absolute;left:3172;top:3478;width:1054;height:228" coordorigin="3173,3478" coordsize="1054,228" path="m3173,3706l4226,3706m3173,3632l4226,3632m3173,3555l4226,3555m3173,3478l4226,3478e" filled="false" stroked="true" strokeweight=".72pt" strokecolor="#f1f1f1">
              <v:path arrowok="t"/>
              <v:stroke dashstyle="solid"/>
            </v:shape>
            <v:line style="position:absolute" from="3173,3783" to="4226,3783" stroked="true" strokeweight=".72pt" strokecolor="#d9d9d9">
              <v:stroke dashstyle="solid"/>
            </v:line>
            <v:shape style="position:absolute;left:3172;top:3098;width:1054;height:228" coordorigin="3173,3099" coordsize="1054,228" path="m3173,3327l4226,3327m3173,3250l4226,3250m3173,3176l4226,3176m3173,3099l4226,3099e" filled="false" stroked="true" strokeweight=".72pt" strokecolor="#f1f1f1">
              <v:path arrowok="t"/>
              <v:stroke dashstyle="solid"/>
            </v:shape>
            <v:line style="position:absolute" from="3173,3404" to="4226,3404" stroked="true" strokeweight=".72pt" strokecolor="#d9d9d9">
              <v:stroke dashstyle="solid"/>
            </v:line>
            <v:shape style="position:absolute;left:3172;top:2717;width:5583;height:231" coordorigin="3173,2717" coordsize="5583,231" path="m3173,2948l4226,2948m3173,2871l4226,2871m3173,2794l4226,2794m4435,2948l8755,2948m4435,2871l8755,2871m4435,2794l8755,2794m3173,2717l8755,2717e" filled="false" stroked="true" strokeweight=".72pt" strokecolor="#f1f1f1">
              <v:path arrowok="t"/>
              <v:stroke dashstyle="solid"/>
            </v:shape>
            <v:line style="position:absolute" from="3173,3022" to="4226,3022" stroked="true" strokeweight=".72pt" strokecolor="#d9d9d9">
              <v:stroke dashstyle="solid"/>
            </v:line>
            <v:shape style="position:absolute;left:4435;top:4999;width:843;height:608" coordorigin="4435,5000" coordsize="843,608" path="m4646,5607l5278,5607m4646,5530l5278,5530m4646,5456l5278,5456m4646,5379l5278,5379m4435,5228l5278,5228m4435,5151l5278,5151m4435,5074l5278,5074m4435,5000l5278,5000e" filled="false" stroked="true" strokeweight=".72pt" strokecolor="#f1f1f1">
              <v:path arrowok="t"/>
              <v:stroke dashstyle="solid"/>
            </v:shape>
            <v:line style="position:absolute" from="4435,5302" to="5278,5302" stroked="true" strokeweight=".72pt" strokecolor="#d9d9d9">
              <v:stroke dashstyle="solid"/>
            </v:line>
            <v:shape style="position:absolute;left:4435;top:4618;width:843;height:228" coordorigin="4435,4618" coordsize="843,228" path="m4435,4846l5278,4846m4435,4772l5278,4772m4435,4695l5278,4695m4435,4618l5278,4618e" filled="false" stroked="true" strokeweight=".72pt" strokecolor="#f1f1f1">
              <v:path arrowok="t"/>
              <v:stroke dashstyle="solid"/>
            </v:shape>
            <v:line style="position:absolute" from="4435,4923" to="5278,4923" stroked="true" strokeweight=".72pt" strokecolor="#d9d9d9">
              <v:stroke dashstyle="solid"/>
            </v:line>
            <v:shape style="position:absolute;left:4435;top:4238;width:1054;height:228" coordorigin="4435,4239" coordsize="1054,228" path="m4435,4467l5278,4467m4435,4390l5278,4390m4435,4316l5278,4316m4435,4239l5489,4239e" filled="false" stroked="true" strokeweight=".72pt" strokecolor="#f1f1f1">
              <v:path arrowok="t"/>
              <v:stroke dashstyle="solid"/>
            </v:shape>
            <v:line style="position:absolute" from="4435,4544" to="5278,4544" stroked="true" strokeweight=".72pt" strokecolor="#d9d9d9">
              <v:stroke dashstyle="solid"/>
            </v:line>
            <v:shape style="position:absolute;left:4435;top:3859;width:1054;height:228" coordorigin="4435,3860" coordsize="1054,228" path="m4435,4088l5489,4088m4435,4011l5489,4011m4435,3934l5489,3934m4435,3860l5489,3860e" filled="false" stroked="true" strokeweight=".72pt" strokecolor="#f1f1f1">
              <v:path arrowok="t"/>
              <v:stroke dashstyle="solid"/>
            </v:shape>
            <v:line style="position:absolute" from="4435,4162" to="5489,4162" stroked="true" strokeweight=".72pt" strokecolor="#d9d9d9">
              <v:stroke dashstyle="solid"/>
            </v:line>
            <v:shape style="position:absolute;left:4435;top:3478;width:1054;height:228" coordorigin="4435,3478" coordsize="1054,228" path="m4435,3706l5489,3706m4435,3632l5489,3632m4435,3555l5489,3555m4435,3478l5489,3478e" filled="false" stroked="true" strokeweight=".72pt" strokecolor="#f1f1f1">
              <v:path arrowok="t"/>
              <v:stroke dashstyle="solid"/>
            </v:shape>
            <v:line style="position:absolute" from="4435,3783" to="5489,3783" stroked="true" strokeweight=".72pt" strokecolor="#d9d9d9">
              <v:stroke dashstyle="solid"/>
            </v:line>
            <v:shape style="position:absolute;left:4435;top:3098;width:4320;height:228" coordorigin="4435,3099" coordsize="4320,228" path="m4435,3327l5489,3327m4435,3250l5489,3250m5700,3327l8755,3327m5700,3250l8755,3250m4435,3176l8755,3176m4435,3099l8755,3099e" filled="false" stroked="true" strokeweight=".72pt" strokecolor="#f1f1f1">
              <v:path arrowok="t"/>
              <v:stroke dashstyle="solid"/>
            </v:shape>
            <v:line style="position:absolute" from="4435,3404" to="5489,3404" stroked="true" strokeweight=".72pt" strokecolor="#d9d9d9">
              <v:stroke dashstyle="solid"/>
            </v:line>
            <v:shape style="position:absolute;left:5700;top:4999;width:843;height:608" coordorigin="5700,5000" coordsize="843,608" path="m5911,5607l6542,5607m5911,5530l6542,5530m5911,5456l6542,5456m5700,5379l6542,5379m5700,5228l6542,5228m5700,5151l6542,5151m5700,5074l6542,5074m5700,5000l6542,5000e" filled="false" stroked="true" strokeweight=".72pt" strokecolor="#f1f1f1">
              <v:path arrowok="t"/>
              <v:stroke dashstyle="solid"/>
            </v:shape>
            <v:line style="position:absolute" from="5700,5302" to="6542,5302" stroked="true" strokeweight=".72pt" strokecolor="#d9d9d9">
              <v:stroke dashstyle="solid"/>
            </v:line>
            <v:shape style="position:absolute;left:5700;top:4618;width:843;height:228" coordorigin="5700,4618" coordsize="843,228" path="m5700,4846l6542,4846m5700,4772l6542,4772m5700,4695l6542,4695m5700,4618l6542,4618e" filled="false" stroked="true" strokeweight=".72pt" strokecolor="#f1f1f1">
              <v:path arrowok="t"/>
              <v:stroke dashstyle="solid"/>
            </v:shape>
            <v:line style="position:absolute" from="5700,4923" to="6542,4923" stroked="true" strokeweight=".72pt" strokecolor="#d9d9d9">
              <v:stroke dashstyle="solid"/>
            </v:line>
            <v:shape style="position:absolute;left:5700;top:4238;width:1054;height:228" coordorigin="5700,4239" coordsize="1054,228" path="m5700,4467l6754,4467m5700,4390l6754,4390m5700,4316l6754,4316m5700,4239l6754,4239e" filled="false" stroked="true" strokeweight=".72pt" strokecolor="#f1f1f1">
              <v:path arrowok="t"/>
              <v:stroke dashstyle="solid"/>
            </v:shape>
            <v:line style="position:absolute" from="5700,4544" to="6542,4544" stroked="true" strokeweight=".72pt" strokecolor="#d9d9d9">
              <v:stroke dashstyle="solid"/>
            </v:line>
            <v:shape style="position:absolute;left:5700;top:3859;width:1054;height:228" coordorigin="5700,3860" coordsize="1054,228" path="m5700,4088l6754,4088m5700,4011l6754,4011m5700,3934l6754,3934m5700,3860l6754,3860e" filled="false" stroked="true" strokeweight=".72pt" strokecolor="#f1f1f1">
              <v:path arrowok="t"/>
              <v:stroke dashstyle="solid"/>
            </v:shape>
            <v:line style="position:absolute" from="5700,4162" to="6754,4162" stroked="true" strokeweight=".72pt" strokecolor="#d9d9d9">
              <v:stroke dashstyle="solid"/>
            </v:line>
            <v:shape style="position:absolute;left:5700;top:3478;width:3056;height:228" coordorigin="5700,3478" coordsize="3056,228" path="m5700,3706l6754,3706m5700,3632l6754,3632m5700,3555l6754,3555m6965,3706l8018,3706m8227,3706l8755,3706m6965,3632l8755,3632m6965,3555l8755,3555m5700,3478l8755,3478e" filled="false" stroked="true" strokeweight=".72pt" strokecolor="#f1f1f1">
              <v:path arrowok="t"/>
              <v:stroke dashstyle="solid"/>
            </v:shape>
            <v:line style="position:absolute" from="5700,3783" to="6754,3783" stroked="true" strokeweight=".72pt" strokecolor="#d9d9d9">
              <v:stroke dashstyle="solid"/>
            </v:line>
            <v:shape style="position:absolute;left:7173;top:5530;width:634;height:77" coordorigin="7174,5530" coordsize="634,77" path="m7174,5607l7807,5607m7174,5530l7807,5530e" filled="false" stroked="true" strokeweight=".72pt" strokecolor="#f1f1f1">
              <v:path arrowok="t"/>
              <v:stroke dashstyle="solid"/>
            </v:shape>
            <v:shape style="position:absolute;left:6964;top:5452;width:843;height:8" coordorigin="6965,5452" coordsize="843,8" path="m6965,5459l7807,5459m6965,5452l7807,5452e" filled="false" stroked="true" strokeweight=".36pt" strokecolor="#f1f1f1">
              <v:path arrowok="t"/>
              <v:stroke dashstyle="solid"/>
            </v:shape>
            <v:shape style="position:absolute;left:6964;top:4999;width:843;height:380" coordorigin="6965,5000" coordsize="843,380" path="m6965,5379l7807,5379m6965,5228l7807,5228m6965,5151l7807,5151m6965,5074l7807,5074m6965,5000l7807,5000e" filled="false" stroked="true" strokeweight=".72pt" strokecolor="#f1f1f1">
              <v:path arrowok="t"/>
              <v:stroke dashstyle="solid"/>
            </v:shape>
            <v:line style="position:absolute" from="6965,5302" to="7807,5302" stroked="true" strokeweight=".72pt" strokecolor="#d9d9d9">
              <v:stroke dashstyle="solid"/>
            </v:line>
            <v:shape style="position:absolute;left:6964;top:4618;width:843;height:228" coordorigin="6965,4618" coordsize="843,228" path="m6965,4846l7807,4846m6965,4772l7807,4772m6965,4695l7807,4695m6965,4618l7807,4618e" filled="false" stroked="true" strokeweight=".72pt" strokecolor="#f1f1f1">
              <v:path arrowok="t"/>
              <v:stroke dashstyle="solid"/>
            </v:shape>
            <v:line style="position:absolute" from="6965,4923" to="7807,4923" stroked="true" strokeweight=".72pt" strokecolor="#d9d9d9">
              <v:stroke dashstyle="solid"/>
            </v:line>
            <v:shape style="position:absolute;left:6964;top:4238;width:1054;height:228" coordorigin="6965,4239" coordsize="1054,228" path="m6965,4467l8018,4467m6965,4390l8018,4390m6965,4316l8018,4316m6965,4239l8018,4239e" filled="false" stroked="true" strokeweight=".72pt" strokecolor="#f1f1f1">
              <v:path arrowok="t"/>
              <v:stroke dashstyle="solid"/>
            </v:shape>
            <v:line style="position:absolute" from="6965,4544" to="8018,4544" stroked="true" strokeweight=".72pt" strokecolor="#d9d9d9">
              <v:stroke dashstyle="solid"/>
            </v:line>
            <v:shape style="position:absolute;left:6964;top:3859;width:1054;height:228" coordorigin="6965,3860" coordsize="1054,228" path="m6965,4088l8018,4088m6965,4011l8018,4011m6965,3934l8018,3934m6965,3860l8018,3860e" filled="false" stroked="true" strokeweight=".72pt" strokecolor="#f1f1f1">
              <v:path arrowok="t"/>
              <v:stroke dashstyle="solid"/>
            </v:shape>
            <v:shape style="position:absolute;left:6964;top:3782;width:1054;height:380" coordorigin="6965,3783" coordsize="1054,380" path="m6965,4162l8018,4162m6965,3783l8018,3783e" filled="false" stroked="true" strokeweight=".72pt" strokecolor="#d9d9d9">
              <v:path arrowok="t"/>
              <v:stroke dashstyle="solid"/>
            </v:shape>
            <v:shape style="position:absolute;left:8227;top:4999;width:528;height:608" coordorigin="8227,5000" coordsize="528,608" path="m8438,5607l8755,5607m8438,5530l8755,5530m8227,5456l8755,5456m8227,5379l8755,5379m8227,5228l8755,5228m8227,5151l8755,5151m8227,5074l8755,5074m8227,5000l8755,5000e" filled="false" stroked="true" strokeweight=".72pt" strokecolor="#f1f1f1">
              <v:path arrowok="t"/>
              <v:stroke dashstyle="solid"/>
            </v:shape>
            <v:line style="position:absolute" from="8227,5302" to="8755,5302" stroked="true" strokeweight=".72pt" strokecolor="#d9d9d9">
              <v:stroke dashstyle="solid"/>
            </v:line>
            <v:shape style="position:absolute;left:8227;top:4618;width:528;height:228" coordorigin="8227,4618" coordsize="528,228" path="m8227,4846l8755,4846m8227,4772l8755,4772m8227,4695l8755,4695m8227,4618l8755,4618e" filled="false" stroked="true" strokeweight=".72pt" strokecolor="#f1f1f1">
              <v:path arrowok="t"/>
              <v:stroke dashstyle="solid"/>
            </v:shape>
            <v:line style="position:absolute" from="8227,4923" to="8755,4923" stroked="true" strokeweight=".72pt" strokecolor="#d9d9d9">
              <v:stroke dashstyle="solid"/>
            </v:line>
            <v:shape style="position:absolute;left:8227;top:4238;width:528;height:228" coordorigin="8227,4239" coordsize="528,228" path="m8227,4467l8755,4467m8227,4390l8755,4390m8227,4316l8755,4316m8227,4239l8755,4239e" filled="false" stroked="true" strokeweight=".72pt" strokecolor="#f1f1f1">
              <v:path arrowok="t"/>
              <v:stroke dashstyle="solid"/>
            </v:shape>
            <v:line style="position:absolute" from="8227,4544" to="8755,4544" stroked="true" strokeweight=".72pt" strokecolor="#d9d9d9">
              <v:stroke dashstyle="solid"/>
            </v:line>
            <v:shape style="position:absolute;left:8227;top:3859;width:528;height:228" coordorigin="8227,3860" coordsize="528,228" path="m8227,4088l8755,4088m8227,4011l8755,4011m8227,3934l8755,3934m8227,3860l8755,3860e" filled="false" stroked="true" strokeweight=".72pt" strokecolor="#f1f1f1">
              <v:path arrowok="t"/>
              <v:stroke dashstyle="solid"/>
            </v:shape>
            <v:shape style="position:absolute;left:4435;top:3022;width:4320;height:1140" coordorigin="4435,3022" coordsize="4320,1140" path="m8227,4162l8755,4162m8227,3783l8755,3783m5700,3404l8755,3404m4435,3022l8755,3022e" filled="false" stroked="true" strokeweight=".72pt" strokecolor="#d9d9d9">
              <v:path arrowok="t"/>
              <v:stroke dashstyle="solid"/>
            </v:shape>
            <v:shape style="position:absolute;left:3172;top:2338;width:5583;height:228" coordorigin="3173,2338" coordsize="5583,228" path="m3173,2566l8755,2566m3173,2489l8755,2489m3173,2415l8755,2415m3173,2338l8755,2338e" filled="false" stroked="true" strokeweight=".72pt" strokecolor="#f1f1f1">
              <v:path arrowok="t"/>
              <v:stroke dashstyle="solid"/>
            </v:shape>
            <v:shape style="position:absolute;left:3172;top:2261;width:5583;height:382" coordorigin="3173,2261" coordsize="5583,382" path="m3173,2643l8755,2643m3173,2261l8755,2261e" filled="false" stroked="true" strokeweight=".72pt" strokecolor="#d9d9d9">
              <v:path arrowok="t"/>
              <v:stroke dashstyle="solid"/>
            </v:shape>
            <v:shape style="position:absolute;left:2750;top:3660;width:5268;height:2024" coordorigin="2750,3660" coordsize="5268,2024" path="m2962,3660l2750,3660,2750,5684,2962,5684,2962,3660xm4226,3987l4015,3987,4015,5684,4226,5684,4226,3987xm5489,4272l5278,4272,5278,5684,5489,5684,5489,4272xm6754,4491l6542,4491,6542,5684,6754,5684,6754,4491xm8018,4584l7807,4584,7807,5684,8018,5684,8018,4584xe" filled="true" fillcolor="#000000" stroked="false">
              <v:path arrowok="t"/>
              <v:fill type="solid"/>
            </v:shape>
            <v:shape style="position:absolute;left:2961;top:2170;width:212;height:3514" type="#_x0000_t75" stroked="false">
              <v:imagedata r:id="rId69" o:title=""/>
            </v:shape>
            <v:shape style="position:absolute;left:4226;top:2726;width:209;height:2957" type="#_x0000_t75" stroked="false">
              <v:imagedata r:id="rId70" o:title=""/>
            </v:shape>
            <v:shape style="position:absolute;left:5488;top:3197;width:212;height:2487" type="#_x0000_t75" stroked="false">
              <v:imagedata r:id="rId71" o:title=""/>
            </v:shape>
            <v:shape style="position:absolute;left:6753;top:3523;width:212;height:2160" type="#_x0000_t75" stroked="false">
              <v:imagedata r:id="rId72" o:title=""/>
            </v:shape>
            <v:shape style="position:absolute;left:8018;top:3679;width:209;height:2004" type="#_x0000_t75" stroked="false">
              <v:imagedata r:id="rId73" o:title=""/>
            </v:shape>
            <v:shape style="position:absolute;left:3172;top:5285;width:5266;height:399" coordorigin="3173,5285" coordsize="5266,399" path="m3382,5285l3173,5285,3173,5684,3382,5684,3382,5285xm4646,5364l4435,5364,4435,5684,4646,5684,4646,5364xm5911,5417l5700,5417,5700,5684,5911,5684,5911,5417xm7174,5456l6965,5456,6965,5684,7174,5684,7174,5456xm8438,5475l8227,5475,8227,5684,8438,5684,8438,5475xe" filled="true" fillcolor="#a4a4a4" stroked="false">
              <v:path arrowok="t"/>
              <v:fill type="solid"/>
            </v:shape>
            <v:shape style="position:absolute;left:2433;top:1882;width:6322;height:3802" coordorigin="2434,1882" coordsize="6322,3802" path="m2434,5684l8755,5684m2434,1882l8755,1882e" filled="false" stroked="true" strokeweight=".72pt" strokecolor="#d9d9d9">
              <v:path arrowok="t"/>
              <v:stroke dashstyle="solid"/>
            </v:shape>
            <v:rect style="position:absolute;left:9069;top:3518;width:99;height:99" filled="true" fillcolor="#000000" stroked="false">
              <v:fill type="solid"/>
            </v:rect>
            <v:shape style="position:absolute;left:9069;top:3854;width:99;height:99" type="#_x0000_t75" stroked="false">
              <v:imagedata r:id="rId74" o:title=""/>
            </v:shape>
            <v:rect style="position:absolute;left:9069;top:4193;width:99;height:99" filled="true" fillcolor="#a4a4a4" stroked="false">
              <v:fill type="solid"/>
            </v:rect>
            <v:rect style="position:absolute;left:1440;top:1661;width:9360;height:4486" filled="false" stroked="true" strokeweight=".72pt" strokecolor="#d9d9d9">
              <v:stroke dashstyle="solid"/>
            </v:rect>
            <v:shape style="position:absolute;left:1994;top:1798;width:6817;height:1701" type="#_x0000_t202" filled="false" stroked="false">
              <v:textbox inset="0,0,0,0">
                <w:txbxContent>
                  <w:p>
                    <w:pPr>
                      <w:tabs>
                        <w:tab w:pos="6796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   </w:t>
                    </w:r>
                    <w:r>
                      <w:rPr>
                        <w:rFonts w:ascii="Calibri"/>
                        <w:color w:val="585858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  <w:u w:val="single" w:color="F1F1F1"/>
                      </w:rPr>
                      <w:t> </w:t>
                      <w:tab/>
                    </w:r>
                  </w:p>
                  <w:p>
                    <w:pPr>
                      <w:spacing w:before="16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</w:t>
                    </w:r>
                  </w:p>
                  <w:p>
                    <w:pPr>
                      <w:spacing w:before="16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16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>
                    <w:pPr>
                      <w:spacing w:line="216" w:lineRule="exact" w:before="16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9211;top:3483;width:11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Global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Average</w:t>
                    </w:r>
                  </w:p>
                </w:txbxContent>
              </v:textbox>
              <w10:wrap type="none"/>
            </v:shape>
            <v:shape style="position:absolute;left:2085;top:369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9211;top:3821;width:14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Sub-Saharan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Africa</w:t>
                    </w:r>
                  </w:p>
                </w:txbxContent>
              </v:textbox>
              <w10:wrap type="none"/>
            </v:shape>
            <v:shape style="position:absolute;left:2085;top:40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211;top:4159;width:118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OECD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Members</w:t>
                    </w:r>
                  </w:p>
                </w:txbxContent>
              </v:textbox>
              <w10:wrap type="none"/>
            </v:shape>
            <v:shape style="position:absolute;left:2085;top:4459;width:203;height:132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before="16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16" w:lineRule="exact" w:before="16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84;top:583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4149;top:583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2005</w:t>
                    </w:r>
                  </w:p>
                </w:txbxContent>
              </v:textbox>
              <w10:wrap type="none"/>
            </v:shape>
            <v:shape style="position:absolute;left:5413;top:583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6677;top:583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7942;top:583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168.937836pt;width:12pt;height:40.6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per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1,000</w:t>
                  </w:r>
                </w:p>
              </w:txbxContent>
            </v:textbox>
            <w10:wrap type="none"/>
          </v:shape>
        </w:pict>
      </w:r>
      <w:r>
        <w:rPr/>
        <w:t>92.4 per 1,000 (World Bank, 2019). Though in 2018, this rate declined to 28.9 and 5.5 per 1,000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world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OECD members</w:t>
      </w:r>
      <w:r>
        <w:rPr>
          <w:spacing w:val="-1"/>
        </w:rPr>
        <w:t> </w:t>
      </w:r>
      <w:r>
        <w:rPr/>
        <w:t>averages,</w:t>
      </w:r>
      <w:r>
        <w:rPr>
          <w:spacing w:val="-1"/>
        </w:rPr>
        <w:t> </w:t>
      </w:r>
      <w:r>
        <w:rPr/>
        <w:t>however, the</w:t>
      </w:r>
      <w:r>
        <w:rPr>
          <w:spacing w:val="-1"/>
        </w:rPr>
        <w:t> </w:t>
      </w:r>
      <w:r>
        <w:rPr/>
        <w:t>SSA</w:t>
      </w:r>
      <w:r>
        <w:rPr>
          <w:spacing w:val="-1"/>
        </w:rPr>
        <w:t> </w:t>
      </w:r>
      <w:r>
        <w:rPr/>
        <w:t>infant deaths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52.7 in</w:t>
      </w:r>
      <w:r>
        <w:rPr>
          <w:spacing w:val="-1"/>
        </w:rPr>
        <w:t> </w:t>
      </w:r>
      <w:r>
        <w:rPr/>
        <w:t>every</w:t>
      </w:r>
      <w:r>
        <w:rPr>
          <w:spacing w:val="-6"/>
        </w:rPr>
        <w:t> </w:t>
      </w:r>
      <w:r>
        <w:rPr/>
        <w:t>1,000</w:t>
      </w:r>
      <w:r>
        <w:rPr>
          <w:spacing w:val="-57"/>
        </w:rPr>
        <w:t> </w:t>
      </w:r>
      <w:r>
        <w:rPr/>
        <w:t>new-born</w:t>
      </w:r>
      <w:r>
        <w:rPr>
          <w:spacing w:val="-2"/>
        </w:rPr>
        <w:t> </w:t>
      </w:r>
      <w:r>
        <w:rPr/>
        <w:t>babies less than 12 months.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Heading4"/>
        <w:spacing w:line="274" w:lineRule="exact"/>
      </w:pPr>
      <w:r>
        <w:rPr/>
        <w:t>Figure</w:t>
      </w:r>
      <w:r>
        <w:rPr>
          <w:spacing w:val="-3"/>
        </w:rPr>
        <w:t> </w:t>
      </w:r>
      <w:r>
        <w:rPr/>
        <w:t>2.12: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Comparative</w:t>
      </w:r>
      <w:r>
        <w:rPr>
          <w:spacing w:val="-4"/>
        </w:rPr>
        <w:t> </w:t>
      </w:r>
      <w:r>
        <w:rPr/>
        <w:t>of Infant</w:t>
      </w:r>
      <w:r>
        <w:rPr>
          <w:spacing w:val="-1"/>
        </w:rPr>
        <w:t> </w:t>
      </w:r>
      <w:r>
        <w:rPr/>
        <w:t>Deaths</w:t>
      </w:r>
    </w:p>
    <w:p>
      <w:pPr>
        <w:spacing w:line="274" w:lineRule="exact" w:before="0"/>
        <w:ind w:left="160" w:right="0" w:firstLine="0"/>
        <w:jc w:val="both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World Bank (2019)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93"/>
        <w:ind w:left="160" w:right="156"/>
        <w:jc w:val="both"/>
      </w:pPr>
      <w:r>
        <w:rPr/>
        <w:t>Similarly,</w:t>
      </w:r>
      <w:r>
        <w:rPr>
          <w:spacing w:val="-7"/>
        </w:rPr>
        <w:t> </w:t>
      </w:r>
      <w:r>
        <w:rPr/>
        <w:t>among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five</w:t>
      </w:r>
      <w:r>
        <w:rPr>
          <w:spacing w:val="-6"/>
        </w:rPr>
        <w:t> </w:t>
      </w:r>
      <w:r>
        <w:rPr/>
        <w:t>nations</w:t>
      </w:r>
      <w:r>
        <w:rPr>
          <w:spacing w:val="-5"/>
        </w:rPr>
        <w:t> </w:t>
      </w:r>
      <w:r>
        <w:rPr/>
        <w:t>namely</w:t>
      </w:r>
      <w:r>
        <w:rPr>
          <w:spacing w:val="-8"/>
        </w:rPr>
        <w:t> </w:t>
      </w:r>
      <w:r>
        <w:rPr/>
        <w:t>India,</w:t>
      </w:r>
      <w:r>
        <w:rPr>
          <w:spacing w:val="-8"/>
        </w:rPr>
        <w:t> </w:t>
      </w:r>
      <w:r>
        <w:rPr/>
        <w:t>Pakistan,</w:t>
      </w:r>
      <w:r>
        <w:rPr>
          <w:spacing w:val="-6"/>
        </w:rPr>
        <w:t> </w:t>
      </w:r>
      <w:r>
        <w:rPr/>
        <w:t>Nigeria,</w:t>
      </w:r>
      <w:r>
        <w:rPr>
          <w:spacing w:val="-7"/>
        </w:rPr>
        <w:t> </w:t>
      </w:r>
      <w:r>
        <w:rPr/>
        <w:t>Democratic</w:t>
      </w:r>
      <w:r>
        <w:rPr>
          <w:spacing w:val="-5"/>
        </w:rPr>
        <w:t> </w:t>
      </w:r>
      <w:r>
        <w:rPr/>
        <w:t>Republic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Congo</w:t>
      </w:r>
      <w:r>
        <w:rPr>
          <w:spacing w:val="-58"/>
        </w:rPr>
        <w:t> </w:t>
      </w:r>
      <w:r>
        <w:rPr/>
        <w:t>and Ethiopia accounting for half of all global new-born deaths in 2017, sadly Nigeria is the third</w:t>
      </w:r>
      <w:r>
        <w:rPr>
          <w:spacing w:val="1"/>
        </w:rPr>
        <w:t> </w:t>
      </w:r>
      <w:r>
        <w:rPr/>
        <w:t>largest</w:t>
      </w:r>
      <w:r>
        <w:rPr>
          <w:spacing w:val="-1"/>
        </w:rPr>
        <w:t> </w:t>
      </w:r>
      <w:r>
        <w:rPr/>
        <w:t>contributor to new-born</w:t>
      </w:r>
      <w:r>
        <w:rPr>
          <w:spacing w:val="-2"/>
        </w:rPr>
        <w:t> </w:t>
      </w:r>
      <w:r>
        <w:rPr/>
        <w:t>mortalities in the</w:t>
      </w:r>
      <w:r>
        <w:rPr>
          <w:spacing w:val="1"/>
        </w:rPr>
        <w:t> </w:t>
      </w:r>
      <w:r>
        <w:rPr/>
        <w:t>world.</w:t>
      </w:r>
      <w:r>
        <w:rPr>
          <w:spacing w:val="-1"/>
        </w:rPr>
        <w:t> </w:t>
      </w:r>
      <w:r>
        <w:rPr/>
        <w:t>This is presented in</w:t>
      </w:r>
      <w:r>
        <w:rPr>
          <w:spacing w:val="-1"/>
        </w:rPr>
        <w:t> </w:t>
      </w:r>
      <w:r>
        <w:rPr/>
        <w:t>Table 2.7.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spacing w:after="45"/>
      </w:pPr>
      <w:r>
        <w:rPr/>
        <w:t>Table</w:t>
      </w:r>
      <w:r>
        <w:rPr>
          <w:spacing w:val="-1"/>
        </w:rPr>
        <w:t> </w:t>
      </w:r>
      <w:r>
        <w:rPr/>
        <w:t>2.7:</w:t>
      </w:r>
      <w:r>
        <w:rPr>
          <w:spacing w:val="58"/>
        </w:rPr>
        <w:t> </w:t>
      </w:r>
      <w:r>
        <w:rPr/>
        <w:t>Five Nations</w:t>
      </w:r>
      <w:r>
        <w:rPr>
          <w:spacing w:val="-1"/>
        </w:rPr>
        <w:t> </w:t>
      </w:r>
      <w:r>
        <w:rPr/>
        <w:t>Accounted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Half of the Global</w:t>
      </w:r>
      <w:r>
        <w:rPr>
          <w:spacing w:val="-1"/>
        </w:rPr>
        <w:t> </w:t>
      </w:r>
      <w:r>
        <w:rPr/>
        <w:t>Infant</w:t>
      </w:r>
      <w:r>
        <w:rPr>
          <w:spacing w:val="-1"/>
        </w:rPr>
        <w:t> </w:t>
      </w:r>
      <w:r>
        <w:rPr/>
        <w:t>deaths in</w:t>
      </w:r>
      <w:r>
        <w:rPr>
          <w:spacing w:val="-1"/>
        </w:rPr>
        <w:t> </w:t>
      </w:r>
      <w:r>
        <w:rPr/>
        <w:t>2017</w:t>
      </w:r>
    </w:p>
    <w:tbl>
      <w:tblPr>
        <w:tblW w:w="0" w:type="auto"/>
        <w:jc w:val="left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1"/>
        <w:gridCol w:w="6111"/>
      </w:tblGrid>
      <w:tr>
        <w:trPr>
          <w:trHeight w:val="316" w:hRule="atLeast"/>
        </w:trPr>
        <w:tc>
          <w:tcPr>
            <w:tcW w:w="3231" w:type="dxa"/>
          </w:tcPr>
          <w:p>
            <w:pPr>
              <w:pStyle w:val="TableParagraph"/>
              <w:spacing w:line="275" w:lineRule="exact"/>
              <w:ind w:left="140" w:right="13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Countries</w:t>
            </w:r>
          </w:p>
        </w:tc>
        <w:tc>
          <w:tcPr>
            <w:tcW w:w="6111" w:type="dxa"/>
          </w:tcPr>
          <w:p>
            <w:pPr>
              <w:pStyle w:val="TableParagraph"/>
              <w:spacing w:line="275" w:lineRule="exact"/>
              <w:ind w:left="1012" w:right="10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Global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Percentages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 New-born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deaths</w:t>
            </w:r>
          </w:p>
        </w:tc>
      </w:tr>
      <w:tr>
        <w:trPr>
          <w:trHeight w:val="1586" w:hRule="atLeast"/>
        </w:trPr>
        <w:tc>
          <w:tcPr>
            <w:tcW w:w="3231" w:type="dxa"/>
          </w:tcPr>
          <w:p>
            <w:pPr>
              <w:pStyle w:val="TableParagraph"/>
              <w:spacing w:line="276" w:lineRule="auto"/>
              <w:ind w:left="1204" w:right="1201" w:hanging="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India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Pakistan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Nigeria</w:t>
            </w:r>
          </w:p>
          <w:p>
            <w:pPr>
              <w:pStyle w:val="TableParagraph"/>
              <w:ind w:left="140" w:right="1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Congo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(Democratic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Republic)</w:t>
            </w:r>
          </w:p>
          <w:p>
            <w:pPr>
              <w:pStyle w:val="TableParagraph"/>
              <w:spacing w:before="35"/>
              <w:ind w:left="140" w:right="1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Ethiopia</w:t>
            </w:r>
          </w:p>
        </w:tc>
        <w:tc>
          <w:tcPr>
            <w:tcW w:w="6111" w:type="dxa"/>
          </w:tcPr>
          <w:p>
            <w:pPr>
              <w:pStyle w:val="TableParagraph"/>
              <w:spacing w:line="270" w:lineRule="exact"/>
              <w:ind w:left="1012" w:right="9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24%</w:t>
            </w:r>
          </w:p>
          <w:p>
            <w:pPr>
              <w:pStyle w:val="TableParagraph"/>
              <w:spacing w:before="41"/>
              <w:ind w:left="1012" w:right="9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10%</w:t>
            </w:r>
          </w:p>
          <w:p>
            <w:pPr>
              <w:pStyle w:val="TableParagraph"/>
              <w:spacing w:before="43"/>
              <w:ind w:left="1012" w:right="9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9%</w:t>
            </w:r>
          </w:p>
          <w:p>
            <w:pPr>
              <w:pStyle w:val="TableParagraph"/>
              <w:spacing w:before="41"/>
              <w:ind w:left="1012" w:right="9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4%</w:t>
            </w:r>
          </w:p>
          <w:p>
            <w:pPr>
              <w:pStyle w:val="TableParagraph"/>
              <w:spacing w:before="40"/>
              <w:ind w:left="1012" w:right="9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3%</w:t>
            </w:r>
          </w:p>
        </w:tc>
      </w:tr>
      <w:tr>
        <w:trPr>
          <w:trHeight w:val="337" w:hRule="atLeast"/>
        </w:trPr>
        <w:tc>
          <w:tcPr>
            <w:tcW w:w="3231" w:type="dxa"/>
          </w:tcPr>
          <w:p>
            <w:pPr>
              <w:pStyle w:val="TableParagraph"/>
              <w:spacing w:before="1"/>
              <w:ind w:right="96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Total</w:t>
            </w:r>
          </w:p>
        </w:tc>
        <w:tc>
          <w:tcPr>
            <w:tcW w:w="6111" w:type="dxa"/>
          </w:tcPr>
          <w:p>
            <w:pPr>
              <w:pStyle w:val="TableParagraph"/>
              <w:spacing w:before="1"/>
              <w:ind w:left="1012" w:right="997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50%</w:t>
            </w:r>
            <w:r>
              <w:rPr>
                <w:rFonts w:ascii="Times New Roman" w:hAnsi="Times New Roman"/>
                <w:b/>
                <w:i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of World</w:t>
            </w:r>
            <w:r>
              <w:rPr>
                <w:rFonts w:ascii="Calibri" w:hAnsi="Calibri"/>
                <w:b/>
                <w:i/>
                <w:sz w:val="24"/>
              </w:rPr>
              <w:t>’</w:t>
            </w:r>
            <w:r>
              <w:rPr>
                <w:rFonts w:ascii="Times New Roman" w:hAnsi="Times New Roman"/>
                <w:b/>
                <w:i/>
                <w:sz w:val="24"/>
              </w:rPr>
              <w:t>s New born deaths</w:t>
            </w:r>
          </w:p>
        </w:tc>
      </w:tr>
    </w:tbl>
    <w:p>
      <w:pPr>
        <w:spacing w:before="0"/>
        <w:ind w:left="160" w:right="0" w:firstLine="0"/>
        <w:jc w:val="both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(2018b)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8"/>
        <w:jc w:val="both"/>
      </w:pPr>
      <w:r>
        <w:rPr/>
        <w:t>In terms of the maternal deaths, 40,000 women die during pregnancy or childbirth health-related</w:t>
      </w:r>
      <w:r>
        <w:rPr>
          <w:spacing w:val="1"/>
        </w:rPr>
        <w:t> </w:t>
      </w:r>
      <w:r>
        <w:rPr/>
        <w:t>causes</w:t>
      </w:r>
      <w:r>
        <w:rPr>
          <w:spacing w:val="-4"/>
        </w:rPr>
        <w:t> </w:t>
      </w:r>
      <w:r>
        <w:rPr/>
        <w:t>each</w:t>
      </w:r>
      <w:r>
        <w:rPr>
          <w:spacing w:val="1"/>
        </w:rPr>
        <w:t> </w:t>
      </w:r>
      <w:r>
        <w:rPr/>
        <w:t>year,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another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1.6</w:t>
      </w:r>
      <w:r>
        <w:rPr>
          <w:spacing w:val="-2"/>
        </w:rPr>
        <w:t> </w:t>
      </w:r>
      <w:r>
        <w:rPr/>
        <w:t>million</w:t>
      </w:r>
      <w:r>
        <w:rPr>
          <w:spacing w:val="-3"/>
        </w:rPr>
        <w:t> </w:t>
      </w:r>
      <w:r>
        <w:rPr/>
        <w:t>suffer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serious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permanent</w:t>
      </w:r>
      <w:r>
        <w:rPr>
          <w:spacing w:val="-3"/>
        </w:rPr>
        <w:t> </w:t>
      </w:r>
      <w:r>
        <w:rPr/>
        <w:t>disabilities</w:t>
      </w:r>
      <w:r>
        <w:rPr>
          <w:spacing w:val="-3"/>
        </w:rPr>
        <w:t> </w:t>
      </w:r>
      <w:r>
        <w:rPr/>
        <w:t>from</w:t>
      </w:r>
      <w:r>
        <w:rPr>
          <w:spacing w:val="-57"/>
        </w:rPr>
        <w:t> </w:t>
      </w:r>
      <w:r>
        <w:rPr/>
        <w:t>pregnancy- and birth-related causes annually in Nigeria (WHO, 2017). Majority of these deaths</w:t>
      </w:r>
      <w:r>
        <w:rPr>
          <w:spacing w:val="1"/>
        </w:rPr>
        <w:t> </w:t>
      </w:r>
      <w:r>
        <w:rPr/>
        <w:t>often occur within the first week of birth mainly due to complications during pregnancy, delivery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post-delivery;</w:t>
      </w:r>
      <w:r>
        <w:rPr>
          <w:spacing w:val="-12"/>
        </w:rPr>
        <w:t> </w:t>
      </w:r>
      <w:r>
        <w:rPr/>
        <w:t>reflecting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link</w:t>
      </w:r>
      <w:r>
        <w:rPr>
          <w:spacing w:val="-11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their</w:t>
      </w:r>
      <w:r>
        <w:rPr>
          <w:spacing w:val="-11"/>
        </w:rPr>
        <w:t> </w:t>
      </w:r>
      <w:r>
        <w:rPr/>
        <w:t>survival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quality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maternal</w:t>
      </w:r>
      <w:r>
        <w:rPr>
          <w:spacing w:val="-12"/>
        </w:rPr>
        <w:t> </w:t>
      </w:r>
      <w:r>
        <w:rPr/>
        <w:t>care</w:t>
      </w:r>
      <w:r>
        <w:rPr>
          <w:spacing w:val="-12"/>
        </w:rPr>
        <w:t> </w:t>
      </w:r>
      <w:r>
        <w:rPr/>
        <w:t>(UNICEF,</w:t>
      </w:r>
      <w:r>
        <w:rPr>
          <w:spacing w:val="-57"/>
        </w:rPr>
        <w:t> </w:t>
      </w:r>
      <w:r>
        <w:rPr/>
        <w:t>2015).</w:t>
      </w:r>
    </w:p>
    <w:p>
      <w:pPr>
        <w:pStyle w:val="BodyText"/>
        <w:spacing w:line="360" w:lineRule="auto" w:before="116"/>
        <w:ind w:left="160" w:right="157"/>
        <w:jc w:val="both"/>
      </w:pPr>
      <w:r>
        <w:rPr/>
        <w:pict>
          <v:group style="position:absolute;margin-left:74.639999pt;margin-top:118.383102pt;width:465pt;height:216.75pt;mso-position-horizontal-relative:page;mso-position-vertical-relative:paragraph;z-index:15740928" coordorigin="1493,2368" coordsize="9300,4335">
            <v:line style="position:absolute" from="2494,6085" to="10565,6085" stroked="true" strokeweight=".72pt" strokecolor="#d9d9d9">
              <v:stroke dashstyle="solid"/>
            </v:line>
            <v:shape style="position:absolute;left:2587;top:2881;width:7887;height:2501" type="#_x0000_t75" stroked="false">
              <v:imagedata r:id="rId75" o:title=""/>
            </v:shape>
            <v:rect style="position:absolute;left:1500;top:2374;width:9286;height:4320" filled="false" stroked="true" strokeweight=".72pt" strokecolor="#d9d9d9">
              <v:stroke dashstyle="solid"/>
            </v:rect>
            <v:shape style="position:absolute;left:2054;top:2511;width:294;height:167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9650;top:4137;width:6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NIGERIA</w:t>
                    </w:r>
                  </w:p>
                </w:txbxContent>
              </v:textbox>
              <w10:wrap type="none"/>
            </v:shape>
            <v:shape style="position:absolute;left:2145;top:4506;width:203;height:67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8969;top:4819;width:1554;height:41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8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GHANA</w:t>
                    </w:r>
                  </w:p>
                  <w:p>
                    <w:pPr>
                      <w:spacing w:line="216" w:lineRule="exact" w:before="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SOUTH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AFRICA</w:t>
                    </w:r>
                  </w:p>
                </w:txbxContent>
              </v:textbox>
              <w10:wrap type="none"/>
            </v:shape>
            <v:shape style="position:absolute;left:2145;top:550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402;top:5396;width:134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GLOBAL</w:t>
                    </w:r>
                    <w:r>
                      <w:rPr>
                        <w:rFonts w:ascii="Calibri"/>
                        <w:color w:val="404040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AVERAGE</w:t>
                    </w:r>
                  </w:p>
                </w:txbxContent>
              </v:textbox>
              <w10:wrap type="none"/>
            </v:shape>
            <v:shape style="position:absolute;left:2236;top:600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8.537994pt;margin-top:159.860535pt;width:12pt;height:114.6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New-Born</w:t>
                  </w:r>
                  <w:r>
                    <w:rPr>
                      <w:rFonts w:ascii="Calibri"/>
                      <w:color w:val="585858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Deaths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per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1,000</w:t>
                  </w:r>
                </w:p>
              </w:txbxContent>
            </v:textbox>
            <w10:wrap type="none"/>
          </v:shape>
        </w:pict>
      </w:r>
      <w:r>
        <w:rPr/>
        <w:t>Figure 2.13 shows the trend of infant deaths in Nigeria. Though, the new-born deaths (per 1,000)</w:t>
      </w:r>
      <w:r>
        <w:rPr>
          <w:spacing w:val="-57"/>
        </w:rPr>
        <w:t> </w:t>
      </w:r>
      <w:r>
        <w:rPr/>
        <w:t>globally have declined, the infant mortality rate is still relatively higher in Nigeria compared to</w:t>
      </w:r>
      <w:r>
        <w:rPr>
          <w:spacing w:val="1"/>
        </w:rPr>
        <w:t> </w:t>
      </w:r>
      <w:r>
        <w:rPr/>
        <w:t>Ghana and South Africa indices, and global averages. The figure clearly shows that infant deaths</w:t>
      </w:r>
      <w:r>
        <w:rPr>
          <w:spacing w:val="-57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still</w:t>
      </w:r>
      <w:r>
        <w:rPr>
          <w:spacing w:val="-12"/>
        </w:rPr>
        <w:t> </w:t>
      </w:r>
      <w:r>
        <w:rPr/>
        <w:t>high</w:t>
      </w:r>
      <w:r>
        <w:rPr>
          <w:spacing w:val="-12"/>
        </w:rPr>
        <w:t> </w:t>
      </w:r>
      <w:r>
        <w:rPr/>
        <w:t>compared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her</w:t>
      </w:r>
      <w:r>
        <w:rPr>
          <w:spacing w:val="-13"/>
        </w:rPr>
        <w:t> </w:t>
      </w:r>
      <w:r>
        <w:rPr/>
        <w:t>peer</w:t>
      </w:r>
      <w:r>
        <w:rPr>
          <w:spacing w:val="-13"/>
        </w:rPr>
        <w:t> </w:t>
      </w:r>
      <w:r>
        <w:rPr/>
        <w:t>nations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global</w:t>
      </w:r>
      <w:r>
        <w:rPr>
          <w:spacing w:val="-12"/>
        </w:rPr>
        <w:t> </w:t>
      </w:r>
      <w:r>
        <w:rPr/>
        <w:t>average.</w:t>
      </w:r>
      <w:r>
        <w:rPr>
          <w:spacing w:val="-11"/>
        </w:rPr>
        <w:t> </w:t>
      </w:r>
      <w:r>
        <w:rPr/>
        <w:t>Although</w:t>
      </w:r>
      <w:r>
        <w:rPr>
          <w:spacing w:val="-12"/>
        </w:rPr>
        <w:t> </w:t>
      </w:r>
      <w:r>
        <w:rPr/>
        <w:t>improvements</w:t>
      </w:r>
      <w:r>
        <w:rPr>
          <w:spacing w:val="-58"/>
        </w:rPr>
        <w:t> </w:t>
      </w:r>
      <w:r>
        <w:rPr/>
        <w:t>are</w:t>
      </w:r>
      <w:r>
        <w:rPr>
          <w:spacing w:val="-3"/>
        </w:rPr>
        <w:t> </w:t>
      </w:r>
      <w:r>
        <w:rPr/>
        <w:t>visible overtime.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spacing w:line="274" w:lineRule="exact" w:before="157"/>
      </w:pPr>
      <w:r>
        <w:rPr/>
        <w:pict>
          <v:shape style="position:absolute;margin-left:127.510002pt;margin-top:-24.446877pt;width:399.65pt;height:20.25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1990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1991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1992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1993</w:t>
                  </w:r>
                </w:p>
                <w:p>
                  <w:pPr>
                    <w:spacing w:before="8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1994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1995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1996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1997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1998</w:t>
                  </w:r>
                </w:p>
                <w:p>
                  <w:pPr>
                    <w:spacing w:before="8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1999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2000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2001</w:t>
                  </w:r>
                </w:p>
                <w:p>
                  <w:pPr>
                    <w:spacing w:before="8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2002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2003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2004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2005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2006</w:t>
                  </w:r>
                </w:p>
                <w:p>
                  <w:pPr>
                    <w:spacing w:before="8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2007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2008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2009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2010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2011</w:t>
                  </w:r>
                </w:p>
                <w:p>
                  <w:pPr>
                    <w:spacing w:before="8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2012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2013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2014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2015</w:t>
                  </w:r>
                </w:p>
                <w:p>
                  <w:pPr>
                    <w:spacing w:before="8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2"/>
        </w:rPr>
        <w:t> </w:t>
      </w:r>
      <w:r>
        <w:rPr/>
        <w:t>2.13:</w:t>
      </w:r>
      <w:r>
        <w:rPr>
          <w:spacing w:val="-2"/>
        </w:rPr>
        <w:t> </w:t>
      </w:r>
      <w:r>
        <w:rPr/>
        <w:t>Trend of Infant</w:t>
      </w:r>
      <w:r>
        <w:rPr>
          <w:spacing w:val="-1"/>
        </w:rPr>
        <w:t> </w:t>
      </w:r>
      <w:r>
        <w:rPr/>
        <w:t>Deaths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spacing w:line="274" w:lineRule="exact" w:before="0"/>
        <w:ind w:left="160" w:right="0" w:firstLine="0"/>
        <w:jc w:val="both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World Bank, 2018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2"/>
          <w:numId w:val="9"/>
        </w:numPr>
        <w:tabs>
          <w:tab w:pos="881" w:val="left" w:leader="none"/>
        </w:tabs>
        <w:spacing w:line="240" w:lineRule="auto" w:before="0" w:after="0"/>
        <w:ind w:left="880" w:right="0" w:hanging="721"/>
        <w:jc w:val="both"/>
        <w:rPr>
          <w:i/>
          <w:sz w:val="24"/>
        </w:rPr>
      </w:pPr>
      <w:r>
        <w:rPr>
          <w:i/>
          <w:sz w:val="24"/>
        </w:rPr>
        <w:t>Average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Expectancy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birth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(Longevity)</w:t>
      </w:r>
    </w:p>
    <w:p>
      <w:pPr>
        <w:pStyle w:val="BodyText"/>
        <w:spacing w:line="360" w:lineRule="auto" w:before="139"/>
        <w:ind w:left="160" w:right="157"/>
        <w:jc w:val="both"/>
      </w:pPr>
      <w:r>
        <w:rPr>
          <w:spacing w:val="-1"/>
        </w:rPr>
        <w:t>Figure</w:t>
      </w:r>
      <w:r>
        <w:rPr>
          <w:spacing w:val="-9"/>
        </w:rPr>
        <w:t> </w:t>
      </w:r>
      <w:r>
        <w:rPr/>
        <w:t>2.14</w:t>
      </w:r>
      <w:r>
        <w:rPr>
          <w:spacing w:val="-8"/>
        </w:rPr>
        <w:t> </w:t>
      </w:r>
      <w:r>
        <w:rPr/>
        <w:t>further</w:t>
      </w:r>
      <w:r>
        <w:rPr>
          <w:spacing w:val="-8"/>
        </w:rPr>
        <w:t> </w:t>
      </w:r>
      <w:r>
        <w:rPr/>
        <w:t>demonstrates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longevity</w:t>
      </w:r>
      <w:r>
        <w:rPr>
          <w:spacing w:val="-15"/>
        </w:rPr>
        <w:t> </w:t>
      </w:r>
      <w:r>
        <w:rPr/>
        <w:t>trend</w:t>
      </w:r>
      <w:r>
        <w:rPr>
          <w:spacing w:val="-8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8"/>
        </w:rPr>
        <w:t> </w:t>
      </w:r>
      <w:r>
        <w:rPr/>
        <w:t>increasing</w:t>
      </w:r>
      <w:r>
        <w:rPr>
          <w:spacing w:val="-10"/>
        </w:rPr>
        <w:t> </w:t>
      </w:r>
      <w:r>
        <w:rPr/>
        <w:t>moderately</w:t>
      </w:r>
      <w:r>
        <w:rPr>
          <w:spacing w:val="-12"/>
        </w:rPr>
        <w:t> </w:t>
      </w:r>
      <w:r>
        <w:rPr/>
        <w:t>since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last</w:t>
      </w:r>
      <w:r>
        <w:rPr>
          <w:spacing w:val="-57"/>
        </w:rPr>
        <w:t> </w:t>
      </w:r>
      <w:r>
        <w:rPr/>
        <w:t>three decades worldwide. The SSA region’s average life expectancy at birth (total) rose from 48</w:t>
      </w:r>
      <w:r>
        <w:rPr>
          <w:spacing w:val="1"/>
        </w:rPr>
        <w:t> </w:t>
      </w:r>
      <w:r>
        <w:rPr/>
        <w:t>years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1980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50</w:t>
      </w:r>
      <w:r>
        <w:rPr>
          <w:spacing w:val="-5"/>
        </w:rPr>
        <w:t> </w:t>
      </w:r>
      <w:r>
        <w:rPr/>
        <w:t>years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2000.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statistic</w:t>
      </w:r>
      <w:r>
        <w:rPr>
          <w:spacing w:val="-11"/>
        </w:rPr>
        <w:t> </w:t>
      </w:r>
      <w:r>
        <w:rPr/>
        <w:t>further</w:t>
      </w:r>
      <w:r>
        <w:rPr>
          <w:spacing w:val="-12"/>
        </w:rPr>
        <w:t> </w:t>
      </w:r>
      <w:r>
        <w:rPr/>
        <w:t>increased</w:t>
      </w:r>
      <w:r>
        <w:rPr>
          <w:spacing w:val="-10"/>
        </w:rPr>
        <w:t> </w:t>
      </w:r>
      <w:r>
        <w:rPr/>
        <w:t>from</w:t>
      </w:r>
      <w:r>
        <w:rPr>
          <w:spacing w:val="-11"/>
        </w:rPr>
        <w:t> </w:t>
      </w:r>
      <w:r>
        <w:rPr/>
        <w:t>56</w:t>
      </w:r>
      <w:r>
        <w:rPr>
          <w:spacing w:val="-4"/>
        </w:rPr>
        <w:t> </w:t>
      </w:r>
      <w:r>
        <w:rPr/>
        <w:t>years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61</w:t>
      </w:r>
      <w:r>
        <w:rPr>
          <w:spacing w:val="-6"/>
        </w:rPr>
        <w:t> </w:t>
      </w:r>
      <w:r>
        <w:rPr/>
        <w:t>years</w:t>
      </w:r>
      <w:r>
        <w:rPr>
          <w:spacing w:val="-12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2010 and 2017, respectively (World Bank, 2019). For Middle East and North America (MENA),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East</w:t>
      </w:r>
      <w:r>
        <w:rPr>
          <w:spacing w:val="-3"/>
        </w:rPr>
        <w:t> </w:t>
      </w:r>
      <w:r>
        <w:rPr/>
        <w:t>Asia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Pacific</w:t>
      </w:r>
      <w:r>
        <w:rPr>
          <w:spacing w:val="-2"/>
        </w:rPr>
        <w:t> </w:t>
      </w:r>
      <w:r>
        <w:rPr/>
        <w:t>(EAP),</w:t>
      </w:r>
      <w:r>
        <w:rPr>
          <w:spacing w:val="-4"/>
        </w:rPr>
        <w:t> </w:t>
      </w:r>
      <w:r>
        <w:rPr/>
        <w:t>average</w:t>
      </w:r>
      <w:r>
        <w:rPr>
          <w:spacing w:val="-7"/>
        </w:rPr>
        <w:t> </w:t>
      </w:r>
      <w:r>
        <w:rPr/>
        <w:t>life</w:t>
      </w:r>
      <w:r>
        <w:rPr>
          <w:spacing w:val="-7"/>
        </w:rPr>
        <w:t> </w:t>
      </w:r>
      <w:r>
        <w:rPr/>
        <w:t>expectancy</w:t>
      </w:r>
      <w:r>
        <w:rPr>
          <w:spacing w:val="-8"/>
        </w:rPr>
        <w:t> </w:t>
      </w:r>
      <w:r>
        <w:rPr/>
        <w:t>increased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70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71</w:t>
      </w:r>
      <w:r>
        <w:rPr>
          <w:spacing w:val="-1"/>
        </w:rPr>
        <w:t> </w:t>
      </w:r>
      <w:r>
        <w:rPr/>
        <w:t>years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2000,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74 and 76</w:t>
      </w:r>
      <w:r>
        <w:rPr>
          <w:spacing w:val="2"/>
        </w:rPr>
        <w:t> </w:t>
      </w:r>
      <w:r>
        <w:rPr/>
        <w:t>years in 2017, respectively.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tabs>
          <w:tab w:pos="6954" w:val="left" w:leader="none"/>
        </w:tabs>
        <w:spacing w:line="381" w:lineRule="auto" w:before="154"/>
        <w:ind w:left="714" w:right="0" w:firstLine="0"/>
        <w:jc w:val="left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1" simplePos="0" relativeHeight="460221952">
            <wp:simplePos x="0" y="0"/>
            <wp:positionH relativeFrom="page">
              <wp:posOffset>909827</wp:posOffset>
            </wp:positionH>
            <wp:positionV relativeFrom="paragraph">
              <wp:posOffset>30090</wp:posOffset>
            </wp:positionV>
            <wp:extent cx="5961888" cy="2218944"/>
            <wp:effectExtent l="0" t="0" r="0" b="0"/>
            <wp:wrapNone/>
            <wp:docPr id="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88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5.537994pt;margin-top:18.649891pt;width:12pt;height:130.1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Average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Life</w:t>
                  </w:r>
                  <w:r>
                    <w:rPr>
                      <w:rFonts w:ascii="Calibri"/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Expectancy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(Years)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18"/>
        </w:rPr>
        <w:t>80</w:t>
      </w:r>
      <w:r>
        <w:rPr>
          <w:rFonts w:ascii="Calibri"/>
          <w:color w:val="585858"/>
          <w:sz w:val="18"/>
          <w:u w:val="single" w:color="F1F1F1"/>
        </w:rPr>
        <w:tab/>
      </w:r>
      <w:r>
        <w:rPr>
          <w:rFonts w:ascii="Calibri"/>
          <w:color w:val="585858"/>
          <w:sz w:val="18"/>
        </w:rPr>
        <w:t> 70</w:t>
      </w:r>
    </w:p>
    <w:p>
      <w:pPr>
        <w:tabs>
          <w:tab w:pos="1482" w:val="left" w:leader="none"/>
          <w:tab w:pos="2651" w:val="left" w:leader="none"/>
          <w:tab w:pos="3822" w:val="left" w:leader="none"/>
        </w:tabs>
        <w:spacing w:line="381" w:lineRule="auto" w:before="0"/>
        <w:ind w:left="714" w:right="2926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60</w:t>
        <w:tab/>
      </w:r>
      <w:r>
        <w:rPr>
          <w:rFonts w:ascii="Calibri"/>
          <w:color w:val="585858"/>
          <w:sz w:val="18"/>
          <w:u w:val="single" w:color="F1F1F1"/>
        </w:rPr>
        <w:t>    </w:t>
      </w:r>
      <w:r>
        <w:rPr>
          <w:rFonts w:ascii="Calibri"/>
          <w:color w:val="585858"/>
          <w:spacing w:val="-2"/>
          <w:sz w:val="18"/>
          <w:u w:val="single" w:color="F1F1F1"/>
        </w:rPr>
        <w:t> 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z w:val="18"/>
          <w:u w:val="single" w:color="F1F1F1"/>
        </w:rPr>
        <w:t>     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z w:val="18"/>
          <w:u w:val="single" w:color="F1F1F1"/>
        </w:rPr>
        <w:t>  </w:t>
      </w:r>
      <w:r>
        <w:rPr>
          <w:rFonts w:ascii="Calibri"/>
          <w:color w:val="585858"/>
          <w:sz w:val="18"/>
        </w:rPr>
        <w:t> 50</w:t>
      </w:r>
    </w:p>
    <w:p>
      <w:pPr>
        <w:spacing w:before="1"/>
        <w:ind w:left="71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</w:t>
      </w:r>
    </w:p>
    <w:p>
      <w:pPr>
        <w:spacing w:before="130"/>
        <w:ind w:left="71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</w:t>
      </w:r>
    </w:p>
    <w:p>
      <w:pPr>
        <w:spacing w:before="129"/>
        <w:ind w:left="71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</w:t>
      </w:r>
    </w:p>
    <w:p>
      <w:pPr>
        <w:spacing w:before="131"/>
        <w:ind w:left="71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</w:t>
      </w:r>
    </w:p>
    <w:p>
      <w:pPr>
        <w:spacing w:before="129"/>
        <w:ind w:left="805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>
      <w:pPr>
        <w:pStyle w:val="BodyTex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8"/>
        <w:rPr>
          <w:rFonts w:ascii="Calibri"/>
          <w:sz w:val="23"/>
        </w:rPr>
      </w:pPr>
    </w:p>
    <w:p>
      <w:pPr>
        <w:spacing w:before="0"/>
        <w:ind w:left="379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World</w:t>
      </w:r>
    </w:p>
    <w:p>
      <w:pPr>
        <w:spacing w:before="118"/>
        <w:ind w:left="379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Sub-Saharan</w:t>
      </w:r>
      <w:r>
        <w:rPr>
          <w:rFonts w:ascii="Calibri"/>
          <w:color w:val="585858"/>
          <w:spacing w:val="-5"/>
          <w:sz w:val="18"/>
        </w:rPr>
        <w:t> </w:t>
      </w:r>
      <w:r>
        <w:rPr>
          <w:rFonts w:ascii="Calibri"/>
          <w:color w:val="585858"/>
          <w:sz w:val="18"/>
        </w:rPr>
        <w:t>Africa</w:t>
      </w:r>
    </w:p>
    <w:p>
      <w:pPr>
        <w:spacing w:line="369" w:lineRule="auto" w:before="118"/>
        <w:ind w:left="379" w:right="326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Middle East &amp; North Africa</w:t>
      </w:r>
      <w:r>
        <w:rPr>
          <w:rFonts w:ascii="Calibri"/>
          <w:color w:val="585858"/>
          <w:spacing w:val="-39"/>
          <w:sz w:val="18"/>
        </w:rPr>
        <w:t> </w:t>
      </w:r>
      <w:r>
        <w:rPr>
          <w:rFonts w:ascii="Calibri"/>
          <w:color w:val="585858"/>
          <w:sz w:val="18"/>
        </w:rPr>
        <w:t>East</w:t>
      </w:r>
      <w:r>
        <w:rPr>
          <w:rFonts w:ascii="Calibri"/>
          <w:color w:val="585858"/>
          <w:spacing w:val="-1"/>
          <w:sz w:val="18"/>
        </w:rPr>
        <w:t> </w:t>
      </w:r>
      <w:r>
        <w:rPr>
          <w:rFonts w:ascii="Calibri"/>
          <w:color w:val="585858"/>
          <w:sz w:val="18"/>
        </w:rPr>
        <w:t>Asia</w:t>
      </w:r>
      <w:r>
        <w:rPr>
          <w:rFonts w:ascii="Calibri"/>
          <w:color w:val="585858"/>
          <w:spacing w:val="-1"/>
          <w:sz w:val="18"/>
        </w:rPr>
        <w:t> </w:t>
      </w:r>
      <w:r>
        <w:rPr>
          <w:rFonts w:ascii="Calibri"/>
          <w:color w:val="585858"/>
          <w:sz w:val="18"/>
        </w:rPr>
        <w:t>&amp;</w:t>
      </w:r>
      <w:r>
        <w:rPr>
          <w:rFonts w:ascii="Calibri"/>
          <w:color w:val="585858"/>
          <w:spacing w:val="-1"/>
          <w:sz w:val="18"/>
        </w:rPr>
        <w:t> </w:t>
      </w:r>
      <w:r>
        <w:rPr>
          <w:rFonts w:ascii="Calibri"/>
          <w:color w:val="585858"/>
          <w:sz w:val="18"/>
        </w:rPr>
        <w:t>Pacific</w:t>
      </w:r>
    </w:p>
    <w:p>
      <w:pPr>
        <w:spacing w:after="0" w:line="369" w:lineRule="auto"/>
        <w:jc w:val="left"/>
        <w:rPr>
          <w:rFonts w:ascii="Calibri"/>
          <w:sz w:val="18"/>
        </w:rPr>
        <w:sectPr>
          <w:pgSz w:w="12240" w:h="15840"/>
          <w:pgMar w:header="0" w:footer="1015" w:top="1500" w:bottom="1200" w:left="1280" w:right="1280"/>
          <w:cols w:num="2" w:equalWidth="0">
            <w:col w:w="6955" w:space="40"/>
            <w:col w:w="2685"/>
          </w:cols>
        </w:sectPr>
      </w:pPr>
    </w:p>
    <w:p>
      <w:pPr>
        <w:tabs>
          <w:tab w:pos="2637" w:val="left" w:leader="none"/>
          <w:tab w:pos="3808" w:val="left" w:leader="none"/>
          <w:tab w:pos="4979" w:val="left" w:leader="none"/>
          <w:tab w:pos="6150" w:val="left" w:leader="none"/>
        </w:tabs>
        <w:spacing w:before="15"/>
        <w:ind w:left="1467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2000</w:t>
        <w:tab/>
        <w:t>2005</w:t>
        <w:tab/>
        <w:t>2010</w:t>
        <w:tab/>
        <w:t>2015</w:t>
        <w:tab/>
        <w:t>2017</w:t>
      </w:r>
    </w:p>
    <w:p>
      <w:pPr>
        <w:pStyle w:val="Heading4"/>
        <w:spacing w:line="274" w:lineRule="exact" w:before="128"/>
        <w:jc w:val="left"/>
      </w:pPr>
      <w:r>
        <w:rPr/>
        <w:t>Figure</w:t>
      </w:r>
      <w:r>
        <w:rPr>
          <w:spacing w:val="-2"/>
        </w:rPr>
        <w:t> </w:t>
      </w:r>
      <w:r>
        <w:rPr/>
        <w:t>2.14: Global</w:t>
      </w:r>
      <w:r>
        <w:rPr>
          <w:spacing w:val="-1"/>
        </w:rPr>
        <w:t> </w:t>
      </w:r>
      <w:r>
        <w:rPr/>
        <w:t>Comparative</w:t>
      </w:r>
      <w:r>
        <w:rPr>
          <w:spacing w:val="-2"/>
        </w:rPr>
        <w:t> </w:t>
      </w:r>
      <w:r>
        <w:rPr/>
        <w:t>of Longevity</w:t>
      </w:r>
    </w:p>
    <w:p>
      <w:pPr>
        <w:spacing w:line="274" w:lineRule="exact" w:before="0"/>
        <w:ind w:left="160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World Bank (2019)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360" w:lineRule="auto"/>
        <w:ind w:left="160" w:right="155"/>
        <w:jc w:val="both"/>
      </w:pPr>
      <w:r>
        <w:rPr/>
        <w:pict>
          <v:group style="position:absolute;margin-left:71.639999pt;margin-top:124.073112pt;width:465pt;height:187.45pt;mso-position-horizontal-relative:page;mso-position-vertical-relative:paragraph;z-index:15742976" coordorigin="1433,2481" coordsize="9300,3749">
            <v:shape style="position:absolute;left:1432;top:2481;width:9300;height:3749" type="#_x0000_t75" stroked="false">
              <v:imagedata r:id="rId77" o:title=""/>
            </v:shape>
            <v:shape style="position:absolute;left:1994;top:2624;width:203;height:163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line="216" w:lineRule="exact" w:before="14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413;top:4103;width:11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Global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Average</w:t>
                    </w:r>
                  </w:p>
                </w:txbxContent>
              </v:textbox>
              <w10:wrap type="none"/>
            </v:shape>
            <v:shape style="position:absolute;left:1994;top:4441;width:7962;height:1270" type="#_x0000_t202" filled="false" stroked="false">
              <v:textbox inset="0,0,0,0">
                <w:txbxContent>
                  <w:p>
                    <w:pPr>
                      <w:tabs>
                        <w:tab w:pos="7418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  <w:tab/>
                      <w:t>Nigeria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16" w:lineRule="exact" w:before="144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143.183655pt;width:12pt;height:130.1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Average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Life</w:t>
                  </w:r>
                  <w:r>
                    <w:rPr>
                      <w:rFonts w:ascii="Calibri"/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Expectancy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(Years)</w:t>
                  </w:r>
                </w:p>
              </w:txbxContent>
            </v:textbox>
            <w10:wrap type="none"/>
          </v:shape>
        </w:pict>
      </w:r>
      <w:r>
        <w:rPr/>
        <w:t>Figure 2.15 reveals the average life expectancy of Nigeria and global average between 1990 and</w:t>
      </w:r>
      <w:r>
        <w:rPr>
          <w:spacing w:val="1"/>
        </w:rPr>
        <w:t> </w:t>
      </w:r>
      <w:r>
        <w:rPr/>
        <w:t>2017. For instance, the longevity for Nigeria merely increased from 46 years in 1990 to 54 years</w:t>
      </w:r>
      <w:r>
        <w:rPr>
          <w:spacing w:val="1"/>
        </w:rPr>
        <w:t> </w:t>
      </w:r>
      <w:r>
        <w:rPr/>
        <w:t>in 2017. This is compared to global average that rose rapidly from 65 years to more than 72 years</w:t>
      </w:r>
      <w:r>
        <w:rPr>
          <w:spacing w:val="-58"/>
        </w:rPr>
        <w:t> </w:t>
      </w:r>
      <w:r>
        <w:rPr/>
        <w:t>at the same periods. This show that despite being the largest economy in Africa, the average life</w:t>
      </w:r>
      <w:r>
        <w:rPr>
          <w:spacing w:val="1"/>
        </w:rPr>
        <w:t> </w:t>
      </w:r>
      <w:r>
        <w:rPr/>
        <w:t>expectancy</w:t>
      </w:r>
      <w:r>
        <w:rPr>
          <w:spacing w:val="-6"/>
        </w:rPr>
        <w:t> </w:t>
      </w:r>
      <w:r>
        <w:rPr/>
        <w:t>(at birth)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remained intriguingly</w:t>
      </w:r>
      <w:r>
        <w:rPr>
          <w:spacing w:val="-5"/>
        </w:rPr>
        <w:t> </w:t>
      </w:r>
      <w:r>
        <w:rPr/>
        <w:t>unimpressive.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Heading4"/>
        <w:spacing w:line="274" w:lineRule="exact"/>
        <w:jc w:val="left"/>
      </w:pPr>
      <w:r>
        <w:rPr/>
        <w:pict>
          <v:shape style="position:absolute;margin-left:118.370003pt;margin-top:-26.306873pt;width:329.95pt;height:20.2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1990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1991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1992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1993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1994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1995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1996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1997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1998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1999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2000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2001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2002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2003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2004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2005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2006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2007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2008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2009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2010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2011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2012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2013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2014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2015</w:t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2016</w:t>
                  </w:r>
                </w:p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2017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2"/>
        </w:rPr>
        <w:t> </w:t>
      </w:r>
      <w:r>
        <w:rPr/>
        <w:t>2.15:</w:t>
      </w:r>
      <w:r>
        <w:rPr>
          <w:spacing w:val="-1"/>
        </w:rPr>
        <w:t> </w:t>
      </w:r>
      <w:r>
        <w:rPr/>
        <w:t>Trends</w:t>
      </w:r>
      <w:r>
        <w:rPr>
          <w:spacing w:val="-1"/>
        </w:rPr>
        <w:t> </w:t>
      </w:r>
      <w:r>
        <w:rPr/>
        <w:t>of Average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Expectancy</w:t>
      </w:r>
      <w:r>
        <w:rPr>
          <w:spacing w:val="-1"/>
        </w:rPr>
        <w:t> </w:t>
      </w:r>
      <w:r>
        <w:rPr/>
        <w:t>in Nigeria</w:t>
      </w:r>
    </w:p>
    <w:p>
      <w:pPr>
        <w:spacing w:line="274" w:lineRule="exact" w:before="0"/>
        <w:ind w:left="160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1"/>
          <w:sz w:val="24"/>
        </w:rPr>
        <w:t> </w:t>
      </w:r>
      <w:r>
        <w:rPr>
          <w:sz w:val="24"/>
        </w:rPr>
        <w:t>World Bank, 2019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60" w:right="158"/>
        <w:jc w:val="both"/>
      </w:pPr>
      <w:r>
        <w:rPr/>
        <w:t>Table</w:t>
      </w:r>
      <w:r>
        <w:rPr>
          <w:spacing w:val="-8"/>
        </w:rPr>
        <w:t> </w:t>
      </w:r>
      <w:r>
        <w:rPr/>
        <w:t>2.8</w:t>
      </w:r>
      <w:r>
        <w:rPr>
          <w:spacing w:val="-4"/>
        </w:rPr>
        <w:t> </w:t>
      </w:r>
      <w:r>
        <w:rPr/>
        <w:t>further</w:t>
      </w:r>
      <w:r>
        <w:rPr>
          <w:spacing w:val="-5"/>
        </w:rPr>
        <w:t> </w:t>
      </w:r>
      <w:r>
        <w:rPr/>
        <w:t>depicts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comparative</w:t>
      </w:r>
      <w:r>
        <w:rPr>
          <w:spacing w:val="-5"/>
        </w:rPr>
        <w:t> </w:t>
      </w:r>
      <w:r>
        <w:rPr/>
        <w:t>average</w:t>
      </w:r>
      <w:r>
        <w:rPr>
          <w:spacing w:val="-5"/>
        </w:rPr>
        <w:t> </w:t>
      </w:r>
      <w:r>
        <w:rPr/>
        <w:t>life</w:t>
      </w:r>
      <w:r>
        <w:rPr>
          <w:spacing w:val="-8"/>
        </w:rPr>
        <w:t> </w:t>
      </w:r>
      <w:r>
        <w:rPr/>
        <w:t>expectancy</w:t>
      </w:r>
      <w:r>
        <w:rPr>
          <w:spacing w:val="-9"/>
        </w:rPr>
        <w:t> </w:t>
      </w:r>
      <w:r>
        <w:rPr/>
        <w:t>(at</w:t>
      </w:r>
      <w:r>
        <w:rPr>
          <w:spacing w:val="-6"/>
        </w:rPr>
        <w:t> </w:t>
      </w:r>
      <w:r>
        <w:rPr/>
        <w:t>birth)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Cote</w:t>
      </w:r>
      <w:r>
        <w:rPr>
          <w:spacing w:val="-7"/>
        </w:rPr>
        <w:t> </w:t>
      </w:r>
      <w:r>
        <w:rPr/>
        <w:t>d’Ivoire,</w:t>
      </w:r>
      <w:r>
        <w:rPr>
          <w:spacing w:val="-4"/>
        </w:rPr>
        <w:t> </w:t>
      </w:r>
      <w:r>
        <w:rPr/>
        <w:t>Ghana,</w:t>
      </w:r>
      <w:r>
        <w:rPr>
          <w:spacing w:val="-58"/>
        </w:rPr>
        <w:t> </w:t>
      </w:r>
      <w:r>
        <w:rPr/>
        <w:t>South Africa, Rwanda and Nigeria in the same SSA region. While longevity in Nigeria increased</w:t>
      </w:r>
      <w:r>
        <w:rPr>
          <w:spacing w:val="-57"/>
        </w:rPr>
        <w:t> </w:t>
      </w:r>
      <w:r>
        <w:rPr/>
        <w:t>from</w:t>
      </w:r>
      <w:r>
        <w:rPr>
          <w:spacing w:val="-4"/>
        </w:rPr>
        <w:t> </w:t>
      </w:r>
      <w:r>
        <w:rPr/>
        <w:t>43</w:t>
      </w:r>
      <w:r>
        <w:rPr>
          <w:spacing w:val="-1"/>
        </w:rPr>
        <w:t> </w:t>
      </w:r>
      <w:r>
        <w:rPr/>
        <w:t>years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1975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about</w:t>
      </w:r>
      <w:r>
        <w:rPr>
          <w:spacing w:val="-3"/>
        </w:rPr>
        <w:t> </w:t>
      </w:r>
      <w:r>
        <w:rPr/>
        <w:t>54</w:t>
      </w:r>
      <w:r>
        <w:rPr>
          <w:spacing w:val="-2"/>
        </w:rPr>
        <w:t> </w:t>
      </w:r>
      <w:r>
        <w:rPr/>
        <w:t>years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2017,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Rwanda’s</w:t>
      </w:r>
      <w:r>
        <w:rPr>
          <w:spacing w:val="-4"/>
        </w:rPr>
        <w:t> </w:t>
      </w:r>
      <w:r>
        <w:rPr/>
        <w:t>life</w:t>
      </w:r>
      <w:r>
        <w:rPr>
          <w:spacing w:val="-7"/>
        </w:rPr>
        <w:t> </w:t>
      </w:r>
      <w:r>
        <w:rPr/>
        <w:t>expectancy</w:t>
      </w:r>
      <w:r>
        <w:rPr>
          <w:spacing w:val="-7"/>
        </w:rPr>
        <w:t> </w:t>
      </w:r>
      <w:r>
        <w:rPr/>
        <w:t>rose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45</w:t>
      </w:r>
      <w:r>
        <w:rPr>
          <w:spacing w:val="-1"/>
        </w:rPr>
        <w:t> </w:t>
      </w:r>
      <w:r>
        <w:rPr/>
        <w:t>years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280" w:left="1280" w:right="1280"/>
        </w:sectPr>
      </w:pPr>
    </w:p>
    <w:p>
      <w:pPr>
        <w:pStyle w:val="BodyText"/>
        <w:spacing w:line="360" w:lineRule="auto" w:before="74"/>
        <w:ind w:left="160" w:right="152"/>
        <w:jc w:val="both"/>
      </w:pPr>
      <w:r>
        <w:rPr/>
        <w:t>to about 67 years during the same period (World Bank, 2017). For Ghana, her life expectancy</w:t>
      </w:r>
      <w:r>
        <w:rPr>
          <w:spacing w:val="1"/>
        </w:rPr>
        <w:t> </w:t>
      </w:r>
      <w:r>
        <w:rPr/>
        <w:t>increased steadily from 51 years in 1975 to 64 years in 2017. Comparatively, the average life</w:t>
      </w:r>
      <w:r>
        <w:rPr>
          <w:spacing w:val="1"/>
        </w:rPr>
        <w:t> </w:t>
      </w:r>
      <w:r>
        <w:rPr/>
        <w:t>expectancy</w:t>
      </w:r>
      <w:r>
        <w:rPr>
          <w:spacing w:val="-14"/>
        </w:rPr>
        <w:t> </w:t>
      </w:r>
      <w:r>
        <w:rPr/>
        <w:t>at</w:t>
      </w:r>
      <w:r>
        <w:rPr>
          <w:spacing w:val="-8"/>
        </w:rPr>
        <w:t> </w:t>
      </w:r>
      <w:r>
        <w:rPr/>
        <w:t>birth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lower</w:t>
      </w:r>
      <w:r>
        <w:rPr>
          <w:spacing w:val="-9"/>
        </w:rPr>
        <w:t> </w:t>
      </w:r>
      <w:r>
        <w:rPr/>
        <w:t>compared</w:t>
      </w:r>
      <w:r>
        <w:rPr>
          <w:spacing w:val="-6"/>
        </w:rPr>
        <w:t> </w:t>
      </w:r>
      <w:r>
        <w:rPr/>
        <w:t>with</w:t>
      </w:r>
      <w:r>
        <w:rPr>
          <w:spacing w:val="-9"/>
        </w:rPr>
        <w:t> </w:t>
      </w:r>
      <w:r>
        <w:rPr/>
        <w:t>Rwanda,</w:t>
      </w:r>
      <w:r>
        <w:rPr>
          <w:spacing w:val="-9"/>
        </w:rPr>
        <w:t> </w:t>
      </w:r>
      <w:r>
        <w:rPr/>
        <w:t>Ghana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South</w:t>
      </w:r>
      <w:r>
        <w:rPr>
          <w:spacing w:val="-8"/>
        </w:rPr>
        <w:t> </w:t>
      </w:r>
      <w:r>
        <w:rPr/>
        <w:t>Africa.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may</w:t>
      </w:r>
      <w:r>
        <w:rPr>
          <w:spacing w:val="-58"/>
        </w:rPr>
        <w:t> </w:t>
      </w:r>
      <w:r>
        <w:rPr/>
        <w:t>be</w:t>
      </w:r>
      <w:r>
        <w:rPr>
          <w:spacing w:val="-2"/>
        </w:rPr>
        <w:t> </w:t>
      </w:r>
      <w:r>
        <w:rPr/>
        <w:t>explained by</w:t>
      </w:r>
      <w:r>
        <w:rPr>
          <w:spacing w:val="-5"/>
        </w:rPr>
        <w:t> </w:t>
      </w:r>
      <w:r>
        <w:rPr/>
        <w:t>the sever</w:t>
      </w:r>
      <w:r>
        <w:rPr>
          <w:spacing w:val="1"/>
        </w:rPr>
        <w:t> </w:t>
      </w:r>
      <w:r>
        <w:rPr/>
        <w:t>ill-health issues in the</w:t>
      </w:r>
      <w:r>
        <w:rPr>
          <w:spacing w:val="-1"/>
        </w:rPr>
        <w:t> </w:t>
      </w:r>
      <w:r>
        <w:rPr/>
        <w:t>nation from rising</w:t>
      </w:r>
      <w:r>
        <w:rPr>
          <w:spacing w:val="-4"/>
        </w:rPr>
        <w:t> </w:t>
      </w:r>
      <w:r>
        <w:rPr/>
        <w:t>NCDs.</w:t>
      </w:r>
    </w:p>
    <w:p>
      <w:pPr>
        <w:pStyle w:val="BodyText"/>
        <w:spacing w:before="4"/>
        <w:rPr>
          <w:sz w:val="26"/>
        </w:rPr>
      </w:pPr>
    </w:p>
    <w:p>
      <w:pPr>
        <w:pStyle w:val="Heading4"/>
        <w:spacing w:after="4"/>
      </w:pPr>
      <w:r>
        <w:rPr/>
        <w:t>Table</w:t>
      </w:r>
      <w:r>
        <w:rPr>
          <w:spacing w:val="-2"/>
        </w:rPr>
        <w:t> </w:t>
      </w:r>
      <w:r>
        <w:rPr/>
        <w:t>2.8:</w:t>
      </w:r>
      <w:r>
        <w:rPr>
          <w:spacing w:val="58"/>
        </w:rPr>
        <w:t> </w:t>
      </w:r>
      <w:r>
        <w:rPr/>
        <w:t>Comparative</w:t>
      </w:r>
      <w:r>
        <w:rPr>
          <w:spacing w:val="-4"/>
        </w:rPr>
        <w:t> </w:t>
      </w:r>
      <w:r>
        <w:rPr/>
        <w:t>Average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Expectancy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birth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selected</w:t>
      </w:r>
      <w:r>
        <w:rPr>
          <w:spacing w:val="2"/>
        </w:rPr>
        <w:t> </w:t>
      </w:r>
      <w:r>
        <w:rPr/>
        <w:t>SSA</w:t>
      </w:r>
      <w:r>
        <w:rPr>
          <w:spacing w:val="-1"/>
        </w:rPr>
        <w:t> </w:t>
      </w:r>
      <w:r>
        <w:rPr/>
        <w:t>countries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838"/>
        <w:gridCol w:w="696"/>
        <w:gridCol w:w="720"/>
        <w:gridCol w:w="718"/>
        <w:gridCol w:w="720"/>
        <w:gridCol w:w="713"/>
        <w:gridCol w:w="696"/>
        <w:gridCol w:w="704"/>
        <w:gridCol w:w="696"/>
        <w:gridCol w:w="696"/>
      </w:tblGrid>
      <w:tr>
        <w:trPr>
          <w:trHeight w:val="412" w:hRule="atLeast"/>
        </w:trPr>
        <w:tc>
          <w:tcPr>
            <w:tcW w:w="215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1975</w:t>
            </w:r>
          </w:p>
        </w:tc>
        <w:tc>
          <w:tcPr>
            <w:tcW w:w="696" w:type="dxa"/>
          </w:tcPr>
          <w:p>
            <w:pPr>
              <w:pStyle w:val="TableParagraph"/>
              <w:spacing w:line="251" w:lineRule="exact"/>
              <w:ind w:left="1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1980</w:t>
            </w:r>
          </w:p>
        </w:tc>
        <w:tc>
          <w:tcPr>
            <w:tcW w:w="720" w:type="dxa"/>
          </w:tcPr>
          <w:p>
            <w:pPr>
              <w:pStyle w:val="TableParagraph"/>
              <w:spacing w:line="251" w:lineRule="exact"/>
              <w:ind w:left="1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1985</w:t>
            </w:r>
          </w:p>
        </w:tc>
        <w:tc>
          <w:tcPr>
            <w:tcW w:w="718" w:type="dxa"/>
          </w:tcPr>
          <w:p>
            <w:pPr>
              <w:pStyle w:val="TableParagraph"/>
              <w:spacing w:line="251" w:lineRule="exact"/>
              <w:ind w:left="1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1990</w:t>
            </w:r>
          </w:p>
        </w:tc>
        <w:tc>
          <w:tcPr>
            <w:tcW w:w="720" w:type="dxa"/>
          </w:tcPr>
          <w:p>
            <w:pPr>
              <w:pStyle w:val="TableParagraph"/>
              <w:spacing w:line="251" w:lineRule="exact"/>
              <w:ind w:left="1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1995</w:t>
            </w:r>
          </w:p>
        </w:tc>
        <w:tc>
          <w:tcPr>
            <w:tcW w:w="713" w:type="dxa"/>
          </w:tcPr>
          <w:p>
            <w:pPr>
              <w:pStyle w:val="TableParagraph"/>
              <w:spacing w:line="251" w:lineRule="exact"/>
              <w:ind w:left="1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2000</w:t>
            </w:r>
          </w:p>
        </w:tc>
        <w:tc>
          <w:tcPr>
            <w:tcW w:w="696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2005</w:t>
            </w:r>
          </w:p>
        </w:tc>
        <w:tc>
          <w:tcPr>
            <w:tcW w:w="704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2010</w:t>
            </w:r>
          </w:p>
        </w:tc>
        <w:tc>
          <w:tcPr>
            <w:tcW w:w="696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2015</w:t>
            </w:r>
          </w:p>
        </w:tc>
        <w:tc>
          <w:tcPr>
            <w:tcW w:w="696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2017</w:t>
            </w:r>
          </w:p>
        </w:tc>
      </w:tr>
      <w:tr>
        <w:trPr>
          <w:trHeight w:val="414" w:hRule="atLeast"/>
        </w:trPr>
        <w:tc>
          <w:tcPr>
            <w:tcW w:w="2155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Cote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d’Ivoire</w:t>
            </w:r>
          </w:p>
        </w:tc>
        <w:tc>
          <w:tcPr>
            <w:tcW w:w="83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</w:t>
            </w:r>
          </w:p>
        </w:tc>
        <w:tc>
          <w:tcPr>
            <w:tcW w:w="71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</w:tr>
      <w:tr>
        <w:trPr>
          <w:trHeight w:val="412" w:hRule="atLeast"/>
        </w:trPr>
        <w:tc>
          <w:tcPr>
            <w:tcW w:w="2155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Ghana</w:t>
            </w:r>
          </w:p>
        </w:tc>
        <w:tc>
          <w:tcPr>
            <w:tcW w:w="83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71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</w:tr>
      <w:tr>
        <w:trPr>
          <w:trHeight w:val="414" w:hRule="atLeast"/>
        </w:trPr>
        <w:tc>
          <w:tcPr>
            <w:tcW w:w="2155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South-Africa</w:t>
            </w:r>
          </w:p>
        </w:tc>
        <w:tc>
          <w:tcPr>
            <w:tcW w:w="838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718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</w:t>
            </w:r>
          </w:p>
        </w:tc>
        <w:tc>
          <w:tcPr>
            <w:tcW w:w="713" w:type="dxa"/>
          </w:tcPr>
          <w:p>
            <w:pPr>
              <w:pStyle w:val="TableParagraph"/>
              <w:spacing w:line="273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704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</w:tr>
      <w:tr>
        <w:trPr>
          <w:trHeight w:val="414" w:hRule="atLeast"/>
        </w:trPr>
        <w:tc>
          <w:tcPr>
            <w:tcW w:w="2155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Rwanda</w:t>
            </w:r>
          </w:p>
        </w:tc>
        <w:tc>
          <w:tcPr>
            <w:tcW w:w="83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71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</w:tr>
      <w:tr>
        <w:trPr>
          <w:trHeight w:val="414" w:hRule="atLeast"/>
        </w:trPr>
        <w:tc>
          <w:tcPr>
            <w:tcW w:w="2155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Nigeria</w:t>
            </w:r>
          </w:p>
        </w:tc>
        <w:tc>
          <w:tcPr>
            <w:tcW w:w="838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718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713" w:type="dxa"/>
          </w:tcPr>
          <w:p>
            <w:pPr>
              <w:pStyle w:val="TableParagraph"/>
              <w:spacing w:line="270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</w:t>
            </w:r>
          </w:p>
        </w:tc>
        <w:tc>
          <w:tcPr>
            <w:tcW w:w="696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</w:tr>
    </w:tbl>
    <w:p>
      <w:pPr>
        <w:pStyle w:val="BodyText"/>
        <w:ind w:left="160"/>
        <w:jc w:val="both"/>
      </w:pPr>
      <w:r>
        <w:rPr>
          <w:i/>
        </w:rPr>
        <w:t>Source:</w:t>
      </w:r>
      <w:r>
        <w:rPr>
          <w:i/>
          <w:spacing w:val="-3"/>
        </w:rPr>
        <w:t> </w:t>
      </w:r>
      <w:r>
        <w:rPr/>
        <w:t>Compiled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</w:t>
      </w:r>
      <w:r>
        <w:rPr>
          <w:spacing w:val="-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Indicator,</w:t>
      </w:r>
      <w:r>
        <w:rPr>
          <w:spacing w:val="-2"/>
        </w:rPr>
        <w:t> </w:t>
      </w:r>
      <w:r>
        <w:rPr/>
        <w:t>2019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0"/>
        </w:numPr>
        <w:tabs>
          <w:tab w:pos="881" w:val="left" w:leader="none"/>
        </w:tabs>
        <w:spacing w:line="240" w:lineRule="auto" w:before="153" w:after="0"/>
        <w:ind w:left="880" w:right="0" w:hanging="721"/>
        <w:jc w:val="both"/>
      </w:pPr>
      <w:bookmarkStart w:name="_TOC_250060" w:id="17"/>
      <w:r>
        <w:rPr/>
        <w:t>Health</w:t>
      </w:r>
      <w:r>
        <w:rPr>
          <w:spacing w:val="-2"/>
        </w:rPr>
        <w:t> </w:t>
      </w:r>
      <w:r>
        <w:rPr/>
        <w:t>Outcome</w:t>
      </w:r>
      <w:r>
        <w:rPr>
          <w:spacing w:val="-2"/>
        </w:rPr>
        <w:t> </w:t>
      </w:r>
      <w:r>
        <w:rPr/>
        <w:t>Issues</w:t>
      </w:r>
      <w:r>
        <w:rPr>
          <w:spacing w:val="-1"/>
        </w:rPr>
        <w:t> </w:t>
      </w:r>
      <w:r>
        <w:rPr/>
        <w:t>Across</w:t>
      </w:r>
      <w:r>
        <w:rPr>
          <w:spacing w:val="-1"/>
        </w:rPr>
        <w:t> </w:t>
      </w:r>
      <w:r>
        <w:rPr/>
        <w:t>Regions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17"/>
      <w:r>
        <w:rPr/>
        <w:t>Nigeria</w:t>
      </w:r>
    </w:p>
    <w:p>
      <w:pPr>
        <w:pStyle w:val="BodyText"/>
        <w:spacing w:line="360" w:lineRule="auto" w:before="133"/>
        <w:ind w:left="160" w:right="155"/>
        <w:jc w:val="both"/>
      </w:pPr>
      <w:r>
        <w:rPr/>
        <w:t>Compared to the Southern part of the country, ill-health is more prevalent in the Northern part of</w:t>
      </w:r>
      <w:r>
        <w:rPr>
          <w:spacing w:val="1"/>
        </w:rPr>
        <w:t> </w:t>
      </w:r>
      <w:r>
        <w:rPr/>
        <w:t>Nigeria (UNICEF, 2018). This region is associated with the highest cases of malaria, cholera,</w:t>
      </w:r>
      <w:r>
        <w:rPr>
          <w:spacing w:val="1"/>
        </w:rPr>
        <w:t> </w:t>
      </w:r>
      <w:r>
        <w:rPr/>
        <w:t>tuberculosis, HIV/AIDS, and polio (see Federal Ministry of Health, 2010; and Bello, 2015).</w:t>
      </w:r>
      <w:r>
        <w:rPr>
          <w:spacing w:val="1"/>
        </w:rPr>
        <w:t> </w:t>
      </w:r>
      <w:r>
        <w:rPr/>
        <w:t>Evidence from UNAID (2018) shows that new HIV infections decline from 250,000 (in 2005), to</w:t>
      </w:r>
      <w:r>
        <w:rPr>
          <w:spacing w:val="-57"/>
        </w:rPr>
        <w:t> </w:t>
      </w:r>
      <w:r>
        <w:rPr/>
        <w:t>220,000 (in 2010), and further fall to 210,000 (in 2017). The National Agency for the Control of</w:t>
      </w:r>
      <w:r>
        <w:rPr>
          <w:spacing w:val="1"/>
        </w:rPr>
        <w:t> </w:t>
      </w:r>
      <w:r>
        <w:rPr/>
        <w:t>AIDs (NACA) (2019) indicates that Rivers State has the highest prevalence rate of HIV/AIDs</w:t>
      </w:r>
      <w:r>
        <w:rPr>
          <w:spacing w:val="1"/>
        </w:rPr>
        <w:t> </w:t>
      </w:r>
      <w:r>
        <w:rPr/>
        <w:t>(15.2%),</w:t>
      </w:r>
      <w:r>
        <w:rPr>
          <w:spacing w:val="-8"/>
        </w:rPr>
        <w:t> </w:t>
      </w:r>
      <w:r>
        <w:rPr/>
        <w:t>while</w:t>
      </w:r>
      <w:r>
        <w:rPr>
          <w:spacing w:val="-7"/>
        </w:rPr>
        <w:t> </w:t>
      </w:r>
      <w:r>
        <w:rPr/>
        <w:t>Ekiti</w:t>
      </w:r>
      <w:r>
        <w:rPr>
          <w:spacing w:val="-6"/>
        </w:rPr>
        <w:t> </w:t>
      </w:r>
      <w:r>
        <w:rPr/>
        <w:t>State</w:t>
      </w:r>
      <w:r>
        <w:rPr>
          <w:spacing w:val="-7"/>
        </w:rPr>
        <w:t> </w:t>
      </w:r>
      <w:r>
        <w:rPr/>
        <w:t>(with</w:t>
      </w:r>
      <w:r>
        <w:rPr>
          <w:spacing w:val="-6"/>
        </w:rPr>
        <w:t> </w:t>
      </w:r>
      <w:r>
        <w:rPr/>
        <w:t>0.2%)</w:t>
      </w:r>
      <w:r>
        <w:rPr>
          <w:spacing w:val="-8"/>
        </w:rPr>
        <w:t> </w:t>
      </w:r>
      <w:r>
        <w:rPr/>
        <w:t>has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lowest</w:t>
      </w:r>
      <w:r>
        <w:rPr>
          <w:spacing w:val="-7"/>
        </w:rPr>
        <w:t> </w:t>
      </w:r>
      <w:r>
        <w:rPr/>
        <w:t>prevalence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epidemic</w:t>
      </w:r>
      <w:r>
        <w:rPr>
          <w:spacing w:val="-8"/>
        </w:rPr>
        <w:t> </w:t>
      </w:r>
      <w:r>
        <w:rPr/>
        <w:t>has</w:t>
      </w:r>
      <w:r>
        <w:rPr>
          <w:spacing w:val="-6"/>
        </w:rPr>
        <w:t> </w:t>
      </w:r>
      <w:r>
        <w:rPr/>
        <w:t>left</w:t>
      </w:r>
      <w:r>
        <w:rPr>
          <w:spacing w:val="-58"/>
        </w:rPr>
        <w:t> </w:t>
      </w:r>
      <w:r>
        <w:rPr/>
        <w:t>behind many orphans who are cared for by elderly grandparents with little or no income sources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heavily</w:t>
      </w:r>
      <w:r>
        <w:rPr>
          <w:spacing w:val="-5"/>
        </w:rPr>
        <w:t> </w:t>
      </w:r>
      <w:r>
        <w:rPr/>
        <w:t>HIV/AIDs infected states</w:t>
      </w:r>
      <w:r>
        <w:rPr>
          <w:spacing w:val="2"/>
        </w:rPr>
        <w:t> </w:t>
      </w:r>
      <w:r>
        <w:rPr/>
        <w:t>(Fagbemigbe</w:t>
      </w:r>
      <w:r>
        <w:rPr>
          <w:spacing w:val="1"/>
        </w:rPr>
        <w:t> </w:t>
      </w:r>
      <w:r>
        <w:rPr>
          <w:i/>
        </w:rPr>
        <w:t>et al</w:t>
      </w:r>
      <w:r>
        <w:rPr/>
        <w:t>. 2015).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60" w:right="154"/>
        <w:jc w:val="both"/>
      </w:pPr>
      <w:r>
        <w:rPr/>
        <w:t>The studies of Renne (2010) and Bello (2015) show that more than 95% of all polio and malaria</w:t>
      </w:r>
      <w:r>
        <w:rPr>
          <w:spacing w:val="1"/>
        </w:rPr>
        <w:t> </w:t>
      </w:r>
      <w:r>
        <w:rPr/>
        <w:t>cases</w:t>
      </w:r>
      <w:r>
        <w:rPr>
          <w:spacing w:val="-1"/>
        </w:rPr>
        <w:t> </w:t>
      </w:r>
      <w:r>
        <w:rPr/>
        <w:t>frequently</w:t>
      </w:r>
      <w:r>
        <w:rPr>
          <w:spacing w:val="-9"/>
        </w:rPr>
        <w:t> </w:t>
      </w:r>
      <w:r>
        <w:rPr/>
        <w:t>occur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Borno,</w:t>
      </w:r>
      <w:r>
        <w:rPr>
          <w:spacing w:val="-5"/>
        </w:rPr>
        <w:t> </w:t>
      </w:r>
      <w:r>
        <w:rPr/>
        <w:t>Jigawa,</w:t>
      </w:r>
      <w:r>
        <w:rPr>
          <w:spacing w:val="-4"/>
        </w:rPr>
        <w:t> </w:t>
      </w:r>
      <w:r>
        <w:rPr/>
        <w:t>Katsina, Kebbi,</w:t>
      </w:r>
      <w:r>
        <w:rPr>
          <w:spacing w:val="-3"/>
        </w:rPr>
        <w:t> </w:t>
      </w:r>
      <w:r>
        <w:rPr/>
        <w:t>Sokoto,</w:t>
      </w:r>
      <w:r>
        <w:rPr>
          <w:spacing w:val="-3"/>
        </w:rPr>
        <w:t> </w:t>
      </w:r>
      <w:r>
        <w:rPr/>
        <w:t>Yobe,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Zamfara</w:t>
      </w:r>
      <w:r>
        <w:rPr>
          <w:spacing w:val="-5"/>
        </w:rPr>
        <w:t> </w:t>
      </w:r>
      <w:r>
        <w:rPr/>
        <w:t>States.</w:t>
      </w:r>
      <w:r>
        <w:rPr>
          <w:spacing w:val="-4"/>
        </w:rPr>
        <w:t> </w:t>
      </w:r>
      <w:r>
        <w:rPr/>
        <w:t>Poor</w:t>
      </w:r>
      <w:r>
        <w:rPr>
          <w:spacing w:val="-57"/>
        </w:rPr>
        <w:t> </w:t>
      </w:r>
      <w:r>
        <w:rPr/>
        <w:t>children and adults in rural areas are at the greatest risk of deaths from malaria which, drains the</w:t>
      </w:r>
      <w:r>
        <w:rPr>
          <w:spacing w:val="1"/>
        </w:rPr>
        <w:t> </w:t>
      </w:r>
      <w:r>
        <w:rPr/>
        <w:t>resources of families (UNICEF, 2018). Importantly, malaria can strain economic growth by</w:t>
      </w:r>
      <w:r>
        <w:rPr>
          <w:spacing w:val="1"/>
        </w:rPr>
        <w:t> </w:t>
      </w:r>
      <w:r>
        <w:rPr/>
        <w:t>increasing</w:t>
      </w:r>
      <w:r>
        <w:rPr>
          <w:spacing w:val="-11"/>
        </w:rPr>
        <w:t> </w:t>
      </w:r>
      <w:r>
        <w:rPr/>
        <w:t>healthcare</w:t>
      </w:r>
      <w:r>
        <w:rPr>
          <w:spacing w:val="-10"/>
        </w:rPr>
        <w:t> </w:t>
      </w:r>
      <w:r>
        <w:rPr/>
        <w:t>expenses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citizens,</w:t>
      </w:r>
      <w:r>
        <w:rPr>
          <w:spacing w:val="-8"/>
        </w:rPr>
        <w:t> </w:t>
      </w:r>
      <w:r>
        <w:rPr/>
        <w:t>days</w:t>
      </w:r>
      <w:r>
        <w:rPr>
          <w:spacing w:val="-7"/>
        </w:rPr>
        <w:t> </w:t>
      </w:r>
      <w:r>
        <w:rPr/>
        <w:t>lost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education,</w:t>
      </w:r>
      <w:r>
        <w:rPr>
          <w:spacing w:val="-9"/>
        </w:rPr>
        <w:t> </w:t>
      </w:r>
      <w:r>
        <w:rPr/>
        <w:t>lower</w:t>
      </w:r>
      <w:r>
        <w:rPr>
          <w:spacing w:val="-9"/>
        </w:rPr>
        <w:t> </w:t>
      </w:r>
      <w:r>
        <w:rPr/>
        <w:t>output,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high</w:t>
      </w:r>
      <w:r>
        <w:rPr>
          <w:spacing w:val="-8"/>
        </w:rPr>
        <w:t> </w:t>
      </w:r>
      <w:r>
        <w:rPr/>
        <w:t>mortality</w:t>
      </w:r>
      <w:r>
        <w:rPr>
          <w:spacing w:val="-58"/>
        </w:rPr>
        <w:t> </w:t>
      </w:r>
      <w:r>
        <w:rPr/>
        <w:t>(McCord </w:t>
      </w:r>
      <w:r>
        <w:rPr>
          <w:i/>
        </w:rPr>
        <w:t>et al. </w:t>
      </w:r>
      <w:r>
        <w:rPr/>
        <w:t>2017). The under-5 deaths ranges between 89 per 1,000 live births in South-West</w:t>
      </w:r>
      <w:r>
        <w:rPr>
          <w:spacing w:val="1"/>
        </w:rPr>
        <w:t> </w:t>
      </w:r>
      <w:r>
        <w:rPr/>
        <w:t>zone</w:t>
      </w:r>
      <w:r>
        <w:rPr>
          <w:spacing w:val="-2"/>
        </w:rPr>
        <w:t> </w:t>
      </w:r>
      <w:r>
        <w:rPr/>
        <w:t>and 222 per 1,000 live</w:t>
      </w:r>
      <w:r>
        <w:rPr>
          <w:spacing w:val="-1"/>
        </w:rPr>
        <w:t> </w:t>
      </w:r>
      <w:r>
        <w:rPr/>
        <w:t>births in North-East</w:t>
      </w:r>
      <w:r>
        <w:rPr>
          <w:spacing w:val="-1"/>
        </w:rPr>
        <w:t> </w:t>
      </w:r>
      <w:r>
        <w:rPr/>
        <w:t>(see</w:t>
      </w:r>
      <w:r>
        <w:rPr>
          <w:spacing w:val="-1"/>
        </w:rPr>
        <w:t> </w:t>
      </w:r>
      <w:r>
        <w:rPr/>
        <w:t>Adedini, 2013:2).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5"/>
        <w:jc w:val="both"/>
      </w:pPr>
      <w:r>
        <w:rPr/>
        <w:t>Table 2.9 depicts the mortality statistics from all health issues across the geo-political zones in</w:t>
      </w:r>
      <w:r>
        <w:rPr>
          <w:spacing w:val="1"/>
        </w:rPr>
        <w:t> </w:t>
      </w:r>
      <w:r>
        <w:rPr/>
        <w:t>Nigeria. It shows that the North East geo-political zone has the highest under-five and maternal</w:t>
      </w:r>
      <w:r>
        <w:rPr>
          <w:spacing w:val="1"/>
        </w:rPr>
        <w:t> </w:t>
      </w:r>
      <w:r>
        <w:rPr/>
        <w:t>deaths in 2017 (UNICEF, 2018). This region accounted for 1,549 in every 100,000 live births</w:t>
      </w:r>
      <w:r>
        <w:rPr>
          <w:spacing w:val="1"/>
        </w:rPr>
        <w:t> </w:t>
      </w:r>
      <w:r>
        <w:rPr/>
        <w:t>maternal</w:t>
      </w:r>
      <w:r>
        <w:rPr>
          <w:spacing w:val="-13"/>
        </w:rPr>
        <w:t> </w:t>
      </w:r>
      <w:r>
        <w:rPr/>
        <w:t>mortalities,</w:t>
      </w:r>
      <w:r>
        <w:rPr>
          <w:spacing w:val="-13"/>
        </w:rPr>
        <w:t> </w:t>
      </w:r>
      <w:r>
        <w:rPr/>
        <w:t>compared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165</w:t>
      </w:r>
      <w:r>
        <w:rPr>
          <w:spacing w:val="-13"/>
        </w:rPr>
        <w:t> </w:t>
      </w:r>
      <w:r>
        <w:rPr/>
        <w:t>per</w:t>
      </w:r>
      <w:r>
        <w:rPr>
          <w:spacing w:val="-14"/>
        </w:rPr>
        <w:t> </w:t>
      </w:r>
      <w:r>
        <w:rPr/>
        <w:t>100,000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South</w:t>
      </w:r>
      <w:r>
        <w:rPr>
          <w:spacing w:val="-15"/>
        </w:rPr>
        <w:t> </w:t>
      </w:r>
      <w:r>
        <w:rPr/>
        <w:t>West</w:t>
      </w:r>
      <w:r>
        <w:rPr>
          <w:spacing w:val="-15"/>
        </w:rPr>
        <w:t> </w:t>
      </w:r>
      <w:r>
        <w:rPr/>
        <w:t>zone.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difference</w:t>
      </w:r>
      <w:r>
        <w:rPr>
          <w:spacing w:val="-14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these regions is almost 10-fold. There is also the case of highest under-five deaths within 28 days</w:t>
      </w:r>
      <w:r>
        <w:rPr>
          <w:spacing w:val="-57"/>
        </w:rPr>
        <w:t> </w:t>
      </w:r>
      <w:r>
        <w:rPr/>
        <w:t>of birth in the North East and North West regions. And the highest death rate of under-5 children</w:t>
      </w:r>
      <w:r>
        <w:rPr>
          <w:spacing w:val="1"/>
        </w:rPr>
        <w:t> </w:t>
      </w:r>
      <w:r>
        <w:rPr/>
        <w:t>is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North</w:t>
      </w:r>
      <w:r>
        <w:rPr>
          <w:spacing w:val="-10"/>
        </w:rPr>
        <w:t> </w:t>
      </w:r>
      <w:r>
        <w:rPr/>
        <w:t>East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North</w:t>
      </w:r>
      <w:r>
        <w:rPr>
          <w:spacing w:val="-10"/>
        </w:rPr>
        <w:t> </w:t>
      </w:r>
      <w:r>
        <w:rPr/>
        <w:t>West</w:t>
      </w:r>
      <w:r>
        <w:rPr>
          <w:spacing w:val="-10"/>
        </w:rPr>
        <w:t> </w:t>
      </w:r>
      <w:r>
        <w:rPr/>
        <w:t>regions.</w:t>
      </w:r>
      <w:r>
        <w:rPr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/>
        <w:t>further</w:t>
      </w:r>
      <w:r>
        <w:rPr>
          <w:spacing w:val="-12"/>
        </w:rPr>
        <w:t> </w:t>
      </w:r>
      <w:r>
        <w:rPr/>
        <w:t>show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some</w:t>
      </w:r>
      <w:r>
        <w:rPr>
          <w:spacing w:val="-11"/>
        </w:rPr>
        <w:t> </w:t>
      </w:r>
      <w:r>
        <w:rPr/>
        <w:t>region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nation</w:t>
      </w:r>
      <w:r>
        <w:rPr>
          <w:spacing w:val="-9"/>
        </w:rPr>
        <w:t> </w:t>
      </w:r>
      <w:r>
        <w:rPr/>
        <w:t>(such</w:t>
      </w:r>
      <w:r>
        <w:rPr>
          <w:spacing w:val="-57"/>
        </w:rPr>
        <w:t> </w:t>
      </w:r>
      <w:r>
        <w:rPr/>
        <w:t>as,</w:t>
      </w:r>
      <w:r>
        <w:rPr>
          <w:spacing w:val="-1"/>
        </w:rPr>
        <w:t> </w:t>
      </w:r>
      <w:r>
        <w:rPr/>
        <w:t>North East and North</w:t>
      </w:r>
      <w:r>
        <w:rPr>
          <w:spacing w:val="1"/>
        </w:rPr>
        <w:t> </w:t>
      </w:r>
      <w:r>
        <w:rPr/>
        <w:t>West)</w:t>
      </w:r>
      <w:r>
        <w:rPr>
          <w:spacing w:val="1"/>
        </w:rPr>
        <w:t> </w:t>
      </w:r>
      <w:r>
        <w:rPr/>
        <w:t>experiences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poor</w:t>
      </w:r>
      <w:r>
        <w:rPr>
          <w:spacing w:val="-1"/>
        </w:rPr>
        <w:t> </w:t>
      </w:r>
      <w:r>
        <w:rPr/>
        <w:t>health outcomes.</w:t>
      </w:r>
    </w:p>
    <w:p>
      <w:pPr>
        <w:pStyle w:val="Heading4"/>
        <w:spacing w:before="189" w:after="3"/>
      </w:pPr>
      <w:r>
        <w:rPr/>
        <w:t>Table</w:t>
      </w:r>
      <w:r>
        <w:rPr>
          <w:spacing w:val="-2"/>
        </w:rPr>
        <w:t> </w:t>
      </w:r>
      <w:r>
        <w:rPr/>
        <w:t>2.9:</w:t>
      </w:r>
      <w:r>
        <w:rPr>
          <w:spacing w:val="-1"/>
        </w:rPr>
        <w:t> </w:t>
      </w:r>
      <w:r>
        <w:rPr/>
        <w:t>Mortality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all</w:t>
      </w:r>
      <w:r>
        <w:rPr>
          <w:spacing w:val="-1"/>
        </w:rPr>
        <w:t> </w:t>
      </w:r>
      <w:r>
        <w:rPr/>
        <w:t>Il-health</w:t>
      </w:r>
      <w:r>
        <w:rPr>
          <w:spacing w:val="-2"/>
        </w:rPr>
        <w:t> </w:t>
      </w:r>
      <w:r>
        <w:rPr/>
        <w:t>cases</w:t>
      </w:r>
      <w:r>
        <w:rPr>
          <w:spacing w:val="-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 Geo-Political</w:t>
      </w:r>
      <w:r>
        <w:rPr>
          <w:spacing w:val="1"/>
        </w:rPr>
        <w:t> </w:t>
      </w:r>
      <w:r>
        <w:rPr/>
        <w:t>Zones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2338"/>
        <w:gridCol w:w="2338"/>
        <w:gridCol w:w="2338"/>
      </w:tblGrid>
      <w:tr>
        <w:trPr>
          <w:trHeight w:val="412" w:hRule="atLeast"/>
        </w:trPr>
        <w:tc>
          <w:tcPr>
            <w:tcW w:w="4676" w:type="dxa"/>
            <w:gridSpan w:val="2"/>
          </w:tcPr>
          <w:p>
            <w:pPr>
              <w:pStyle w:val="TableParagraph"/>
              <w:spacing w:line="275" w:lineRule="exact"/>
              <w:ind w:left="102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Under-5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Deaths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per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1,000</w:t>
            </w:r>
          </w:p>
        </w:tc>
        <w:tc>
          <w:tcPr>
            <w:tcW w:w="4676" w:type="dxa"/>
            <w:gridSpan w:val="2"/>
          </w:tcPr>
          <w:p>
            <w:pPr>
              <w:pStyle w:val="TableParagraph"/>
              <w:spacing w:line="275" w:lineRule="exact"/>
              <w:ind w:left="7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Maternal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Mortality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per 100,000</w:t>
            </w:r>
          </w:p>
        </w:tc>
      </w:tr>
      <w:tr>
        <w:trPr>
          <w:trHeight w:val="414" w:hRule="atLeast"/>
        </w:trPr>
        <w:tc>
          <w:tcPr>
            <w:tcW w:w="23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0" w:right="5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North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West</w:t>
            </w:r>
          </w:p>
        </w:tc>
        <w:tc>
          <w:tcPr>
            <w:tcW w:w="23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587" w:right="5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260</w:t>
            </w:r>
          </w:p>
        </w:tc>
        <w:tc>
          <w:tcPr>
            <w:tcW w:w="2338" w:type="dxa"/>
          </w:tcPr>
          <w:p>
            <w:pPr>
              <w:pStyle w:val="TableParagraph"/>
              <w:spacing w:line="270" w:lineRule="exact"/>
              <w:ind w:left="6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North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West</w:t>
            </w:r>
          </w:p>
        </w:tc>
        <w:tc>
          <w:tcPr>
            <w:tcW w:w="2338" w:type="dxa"/>
          </w:tcPr>
          <w:p>
            <w:pPr>
              <w:pStyle w:val="TableParagraph"/>
              <w:spacing w:line="270" w:lineRule="exact"/>
              <w:ind w:left="877" w:right="8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1,026</w:t>
            </w:r>
          </w:p>
        </w:tc>
      </w:tr>
      <w:tr>
        <w:trPr>
          <w:trHeight w:val="412" w:hRule="atLeast"/>
        </w:trPr>
        <w:tc>
          <w:tcPr>
            <w:tcW w:w="23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86" w:right="5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North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East</w:t>
            </w:r>
          </w:p>
        </w:tc>
        <w:tc>
          <w:tcPr>
            <w:tcW w:w="23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587" w:right="5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269</w:t>
            </w:r>
          </w:p>
        </w:tc>
        <w:tc>
          <w:tcPr>
            <w:tcW w:w="2338" w:type="dxa"/>
          </w:tcPr>
          <w:p>
            <w:pPr>
              <w:pStyle w:val="TableParagraph"/>
              <w:spacing w:line="270" w:lineRule="exact"/>
              <w:ind w:left="6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North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East</w:t>
            </w:r>
          </w:p>
        </w:tc>
        <w:tc>
          <w:tcPr>
            <w:tcW w:w="2338" w:type="dxa"/>
          </w:tcPr>
          <w:p>
            <w:pPr>
              <w:pStyle w:val="TableParagraph"/>
              <w:spacing w:line="270" w:lineRule="exact"/>
              <w:ind w:left="877" w:right="8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1,549</w:t>
            </w:r>
          </w:p>
        </w:tc>
      </w:tr>
      <w:tr>
        <w:trPr>
          <w:trHeight w:val="414" w:hRule="atLeast"/>
        </w:trPr>
        <w:tc>
          <w:tcPr>
            <w:tcW w:w="23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588" w:right="5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West</w:t>
            </w:r>
          </w:p>
        </w:tc>
        <w:tc>
          <w:tcPr>
            <w:tcW w:w="23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587" w:right="5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176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exact"/>
              <w:ind w:left="6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West</w:t>
            </w:r>
          </w:p>
        </w:tc>
        <w:tc>
          <w:tcPr>
            <w:tcW w:w="2338" w:type="dxa"/>
          </w:tcPr>
          <w:p>
            <w:pPr>
              <w:pStyle w:val="TableParagraph"/>
              <w:spacing w:line="273" w:lineRule="exact"/>
              <w:ind w:left="877" w:right="86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165</w:t>
            </w:r>
          </w:p>
        </w:tc>
      </w:tr>
      <w:tr>
        <w:trPr>
          <w:trHeight w:val="414" w:hRule="atLeast"/>
        </w:trPr>
        <w:tc>
          <w:tcPr>
            <w:tcW w:w="23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89" w:right="5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East</w:t>
            </w:r>
          </w:p>
        </w:tc>
        <w:tc>
          <w:tcPr>
            <w:tcW w:w="23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587" w:right="5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103</w:t>
            </w:r>
          </w:p>
        </w:tc>
        <w:tc>
          <w:tcPr>
            <w:tcW w:w="2338" w:type="dxa"/>
          </w:tcPr>
          <w:p>
            <w:pPr>
              <w:pStyle w:val="TableParagraph"/>
              <w:spacing w:line="270" w:lineRule="exact"/>
              <w:ind w:left="6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East</w:t>
            </w:r>
          </w:p>
        </w:tc>
        <w:tc>
          <w:tcPr>
            <w:tcW w:w="2338" w:type="dxa"/>
          </w:tcPr>
          <w:p>
            <w:pPr>
              <w:pStyle w:val="TableParagraph"/>
              <w:spacing w:line="270" w:lineRule="exact"/>
              <w:ind w:left="877" w:right="86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286</w:t>
            </w:r>
          </w:p>
        </w:tc>
      </w:tr>
    </w:tbl>
    <w:p>
      <w:pPr>
        <w:pStyle w:val="BodyText"/>
        <w:ind w:left="160"/>
        <w:jc w:val="both"/>
      </w:pPr>
      <w:r>
        <w:rPr>
          <w:i/>
        </w:rPr>
        <w:t>Source:</w:t>
      </w:r>
      <w:r>
        <w:rPr>
          <w:i/>
          <w:spacing w:val="57"/>
        </w:rPr>
        <w:t> </w:t>
      </w:r>
      <w:r>
        <w:rPr/>
        <w:t>UNICEF,</w:t>
      </w:r>
      <w:r>
        <w:rPr>
          <w:spacing w:val="-1"/>
        </w:rPr>
        <w:t> </w:t>
      </w:r>
      <w:r>
        <w:rPr/>
        <w:t>2018</w:t>
      </w:r>
      <w:r>
        <w:rPr>
          <w:spacing w:val="1"/>
        </w:rPr>
        <w:t> </w:t>
      </w:r>
      <w:r>
        <w:rPr/>
        <w:t>(North Central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South-South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available)</w:t>
      </w:r>
    </w:p>
    <w:p>
      <w:pPr>
        <w:pStyle w:val="BodyText"/>
        <w:spacing w:before="8"/>
        <w:rPr>
          <w:sz w:val="33"/>
        </w:rPr>
      </w:pPr>
    </w:p>
    <w:p>
      <w:pPr>
        <w:pStyle w:val="Heading4"/>
        <w:numPr>
          <w:ilvl w:val="1"/>
          <w:numId w:val="10"/>
        </w:numPr>
        <w:tabs>
          <w:tab w:pos="881" w:val="left" w:leader="none"/>
        </w:tabs>
        <w:spacing w:line="240" w:lineRule="auto" w:before="0" w:after="0"/>
        <w:ind w:left="880" w:right="0" w:hanging="721"/>
        <w:jc w:val="both"/>
      </w:pPr>
      <w:bookmarkStart w:name="_TOC_250059" w:id="18"/>
      <w:r>
        <w:rPr/>
        <w:t>Trend</w:t>
      </w:r>
      <w:r>
        <w:rPr>
          <w:spacing w:val="-2"/>
        </w:rPr>
        <w:t> </w:t>
      </w:r>
      <w:r>
        <w:rPr/>
        <w:t>of Health-Seeking</w:t>
      </w:r>
      <w:r>
        <w:rPr>
          <w:spacing w:val="-1"/>
        </w:rPr>
        <w:t> </w:t>
      </w:r>
      <w:r>
        <w:rPr/>
        <w:t>Behaviour</w:t>
      </w:r>
      <w:r>
        <w:rPr>
          <w:spacing w:val="-2"/>
        </w:rPr>
        <w:t> </w:t>
      </w:r>
      <w:bookmarkEnd w:id="18"/>
      <w:r>
        <w:rPr/>
        <w:t>in Nigeria</w:t>
      </w:r>
    </w:p>
    <w:p>
      <w:pPr>
        <w:pStyle w:val="BodyText"/>
        <w:spacing w:line="360" w:lineRule="auto" w:before="135"/>
        <w:ind w:left="160" w:right="151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trends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health</w:t>
      </w:r>
      <w:r>
        <w:rPr>
          <w:spacing w:val="-14"/>
        </w:rPr>
        <w:t> </w:t>
      </w:r>
      <w:r>
        <w:rPr/>
        <w:t>outcomes</w:t>
      </w:r>
      <w:r>
        <w:rPr>
          <w:spacing w:val="-15"/>
        </w:rPr>
        <w:t> </w:t>
      </w:r>
      <w:r>
        <w:rPr/>
        <w:t>above</w:t>
      </w:r>
      <w:r>
        <w:rPr>
          <w:spacing w:val="-16"/>
        </w:rPr>
        <w:t> </w:t>
      </w:r>
      <w:r>
        <w:rPr/>
        <w:t>then</w:t>
      </w:r>
      <w:r>
        <w:rPr>
          <w:spacing w:val="-15"/>
        </w:rPr>
        <w:t> </w:t>
      </w:r>
      <w:r>
        <w:rPr/>
        <w:t>suggests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there</w:t>
      </w:r>
      <w:r>
        <w:rPr>
          <w:spacing w:val="-16"/>
        </w:rPr>
        <w:t> </w:t>
      </w:r>
      <w:r>
        <w:rPr/>
        <w:t>could</w:t>
      </w:r>
      <w:r>
        <w:rPr>
          <w:spacing w:val="-14"/>
        </w:rPr>
        <w:t> </w:t>
      </w:r>
      <w:r>
        <w:rPr/>
        <w:t>be</w:t>
      </w:r>
      <w:r>
        <w:rPr>
          <w:spacing w:val="-15"/>
        </w:rPr>
        <w:t> </w:t>
      </w:r>
      <w:r>
        <w:rPr/>
        <w:t>weak</w:t>
      </w:r>
      <w:r>
        <w:rPr>
          <w:spacing w:val="-12"/>
        </w:rPr>
        <w:t> </w:t>
      </w:r>
      <w:r>
        <w:rPr/>
        <w:t>appropriate</w:t>
      </w:r>
      <w:r>
        <w:rPr>
          <w:spacing w:val="-15"/>
        </w:rPr>
        <w:t> </w:t>
      </w:r>
      <w:r>
        <w:rPr/>
        <w:t>healthcare-</w:t>
      </w:r>
      <w:r>
        <w:rPr>
          <w:spacing w:val="-57"/>
        </w:rPr>
        <w:t> </w:t>
      </w:r>
      <w:r>
        <w:rPr/>
        <w:t>seeking</w:t>
      </w:r>
      <w:r>
        <w:rPr>
          <w:spacing w:val="-6"/>
        </w:rPr>
        <w:t> </w:t>
      </w:r>
      <w:r>
        <w:rPr/>
        <w:t>behaviour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nation.</w:t>
      </w:r>
      <w:r>
        <w:rPr>
          <w:spacing w:val="-2"/>
        </w:rPr>
        <w:t> </w:t>
      </w:r>
      <w:r>
        <w:rPr/>
        <w:t>Inappropriate</w:t>
      </w:r>
      <w:r>
        <w:rPr>
          <w:spacing w:val="-5"/>
        </w:rPr>
        <w:t> </w:t>
      </w:r>
      <w:r>
        <w:rPr/>
        <w:t>HSB</w:t>
      </w:r>
      <w:r>
        <w:rPr>
          <w:spacing w:val="-3"/>
        </w:rPr>
        <w:t> </w:t>
      </w:r>
      <w:r>
        <w:rPr/>
        <w:t>greatly</w:t>
      </w:r>
      <w:r>
        <w:rPr>
          <w:spacing w:val="-8"/>
        </w:rPr>
        <w:t> </w:t>
      </w:r>
      <w:r>
        <w:rPr/>
        <w:t>worsens</w:t>
      </w:r>
      <w:r>
        <w:rPr>
          <w:spacing w:val="-4"/>
        </w:rPr>
        <w:t> </w:t>
      </w:r>
      <w:r>
        <w:rPr/>
        <w:t>health</w:t>
      </w:r>
      <w:r>
        <w:rPr>
          <w:spacing w:val="-1"/>
        </w:rPr>
        <w:t> </w:t>
      </w:r>
      <w:r>
        <w:rPr/>
        <w:t>outcomes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partly</w:t>
      </w:r>
      <w:r>
        <w:rPr>
          <w:spacing w:val="-58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 poorer health statistics (Novignon</w:t>
      </w:r>
      <w:r>
        <w:rPr>
          <w:spacing w:val="4"/>
        </w:rPr>
        <w:t> </w:t>
      </w:r>
      <w:r>
        <w:rPr>
          <w:i/>
        </w:rPr>
        <w:t>et al. </w:t>
      </w:r>
      <w:r>
        <w:rPr/>
        <w:t>2017).</w:t>
      </w:r>
    </w:p>
    <w:p>
      <w:pPr>
        <w:pStyle w:val="BodyText"/>
        <w:spacing w:line="360" w:lineRule="auto" w:before="184"/>
        <w:ind w:left="160" w:right="153"/>
        <w:jc w:val="both"/>
      </w:pPr>
      <w:r>
        <w:rPr/>
        <w:t>Table 2.10 indicates a steady decline among those who consult appropriate healthcare services in</w:t>
      </w:r>
      <w:r>
        <w:rPr>
          <w:spacing w:val="-57"/>
        </w:rPr>
        <w:t> </w:t>
      </w:r>
      <w:r>
        <w:rPr/>
        <w:t>Nigeria.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instance,</w:t>
      </w:r>
      <w:r>
        <w:rPr>
          <w:spacing w:val="-11"/>
        </w:rPr>
        <w:t> </w:t>
      </w:r>
      <w:r>
        <w:rPr/>
        <w:t>more</w:t>
      </w:r>
      <w:r>
        <w:rPr>
          <w:spacing w:val="-12"/>
        </w:rPr>
        <w:t> </w:t>
      </w:r>
      <w:r>
        <w:rPr/>
        <w:t>than</w:t>
      </w:r>
      <w:r>
        <w:rPr>
          <w:spacing w:val="-12"/>
        </w:rPr>
        <w:t> </w:t>
      </w:r>
      <w:r>
        <w:rPr/>
        <w:t>half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households</w:t>
      </w:r>
      <w:r>
        <w:rPr>
          <w:spacing w:val="-8"/>
        </w:rPr>
        <w:t> </w:t>
      </w:r>
      <w:r>
        <w:rPr/>
        <w:t>(53.05%)</w:t>
      </w:r>
      <w:r>
        <w:rPr>
          <w:spacing w:val="-12"/>
        </w:rPr>
        <w:t> </w:t>
      </w:r>
      <w:r>
        <w:rPr/>
        <w:t>seek</w:t>
      </w:r>
      <w:r>
        <w:rPr>
          <w:spacing w:val="-10"/>
        </w:rPr>
        <w:t> </w:t>
      </w:r>
      <w:r>
        <w:rPr/>
        <w:t>healthcare</w:t>
      </w:r>
      <w:r>
        <w:rPr>
          <w:spacing w:val="-12"/>
        </w:rPr>
        <w:t> </w:t>
      </w:r>
      <w:r>
        <w:rPr/>
        <w:t>services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skilled</w:t>
      </w:r>
      <w:r>
        <w:rPr>
          <w:spacing w:val="-58"/>
        </w:rPr>
        <w:t> </w:t>
      </w:r>
      <w:r>
        <w:rPr/>
        <w:t>medical</w:t>
      </w:r>
      <w:r>
        <w:rPr>
          <w:spacing w:val="-7"/>
        </w:rPr>
        <w:t> </w:t>
      </w:r>
      <w:r>
        <w:rPr/>
        <w:t>doctors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other</w:t>
      </w:r>
      <w:r>
        <w:rPr>
          <w:spacing w:val="-7"/>
        </w:rPr>
        <w:t> </w:t>
      </w:r>
      <w:r>
        <w:rPr/>
        <w:t>health</w:t>
      </w:r>
      <w:r>
        <w:rPr>
          <w:spacing w:val="-6"/>
        </w:rPr>
        <w:t> </w:t>
      </w:r>
      <w:r>
        <w:rPr/>
        <w:t>workers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2013</w:t>
      </w:r>
      <w:r>
        <w:rPr>
          <w:spacing w:val="-2"/>
        </w:rPr>
        <w:t> </w:t>
      </w:r>
      <w:r>
        <w:rPr/>
        <w:t>(NBS,</w:t>
      </w:r>
      <w:r>
        <w:rPr>
          <w:spacing w:val="-6"/>
        </w:rPr>
        <w:t> </w:t>
      </w:r>
      <w:r>
        <w:rPr/>
        <w:t>2013).</w:t>
      </w:r>
      <w:r>
        <w:rPr>
          <w:spacing w:val="-3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statistic</w:t>
      </w:r>
      <w:r>
        <w:rPr>
          <w:spacing w:val="-7"/>
        </w:rPr>
        <w:t> </w:t>
      </w:r>
      <w:r>
        <w:rPr/>
        <w:t>declined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31.9%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2019</w:t>
      </w:r>
      <w:r>
        <w:rPr>
          <w:spacing w:val="2"/>
        </w:rPr>
        <w:t> </w:t>
      </w:r>
      <w:r>
        <w:rPr/>
        <w:t>(NBS,</w:t>
      </w:r>
      <w:r>
        <w:rPr>
          <w:spacing w:val="2"/>
        </w:rPr>
        <w:t> </w:t>
      </w:r>
      <w:r>
        <w:rPr/>
        <w:t>2019).</w:t>
      </w:r>
      <w:r>
        <w:rPr>
          <w:spacing w:val="1"/>
        </w:rPr>
        <w:t> </w:t>
      </w:r>
      <w:r>
        <w:rPr/>
        <w:t>Only</w:t>
      </w:r>
      <w:r>
        <w:rPr>
          <w:spacing w:val="-3"/>
        </w:rPr>
        <w:t> </w:t>
      </w:r>
      <w:r>
        <w:rPr/>
        <w:t>31.9%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households</w:t>
      </w:r>
      <w:r>
        <w:rPr>
          <w:spacing w:val="2"/>
        </w:rPr>
        <w:t> </w:t>
      </w:r>
      <w:r>
        <w:rPr/>
        <w:t>(the</w:t>
      </w:r>
      <w:r>
        <w:rPr>
          <w:spacing w:val="1"/>
        </w:rPr>
        <w:t> </w:t>
      </w:r>
      <w:r>
        <w:rPr/>
        <w:t>lowest</w:t>
      </w:r>
      <w:r>
        <w:rPr>
          <w:spacing w:val="2"/>
        </w:rPr>
        <w:t> </w:t>
      </w:r>
      <w:r>
        <w:rPr/>
        <w:t>between</w:t>
      </w:r>
      <w:r>
        <w:rPr>
          <w:spacing w:val="2"/>
        </w:rPr>
        <w:t> </w:t>
      </w:r>
      <w:r>
        <w:rPr/>
        <w:t>2013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2019)</w:t>
      </w:r>
      <w:r>
        <w:rPr>
          <w:spacing w:val="1"/>
        </w:rPr>
        <w:t> </w:t>
      </w:r>
      <w:r>
        <w:rPr/>
        <w:t>had</w:t>
      </w:r>
    </w:p>
    <w:p>
      <w:pPr>
        <w:pStyle w:val="BodyText"/>
        <w:ind w:left="160"/>
        <w:jc w:val="both"/>
      </w:pPr>
      <w:r>
        <w:rPr/>
        <w:t>appropriate</w:t>
      </w:r>
      <w:r>
        <w:rPr>
          <w:spacing w:val="-1"/>
        </w:rPr>
        <w:t> </w:t>
      </w:r>
      <w:r>
        <w:rPr/>
        <w:t>HSB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2019</w:t>
      </w:r>
      <w:r>
        <w:rPr>
          <w:spacing w:val="1"/>
        </w:rPr>
        <w:t> </w:t>
      </w:r>
      <w:r>
        <w:rPr/>
        <w:t>(NBS,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spacing w:before="6"/>
        <w:rPr>
          <w:sz w:val="30"/>
        </w:rPr>
      </w:pPr>
    </w:p>
    <w:p>
      <w:pPr>
        <w:pStyle w:val="Heading4"/>
      </w:pPr>
      <w:r>
        <w:rPr/>
        <w:t>Table</w:t>
      </w:r>
      <w:r>
        <w:rPr>
          <w:spacing w:val="-2"/>
        </w:rPr>
        <w:t> </w:t>
      </w:r>
      <w:r>
        <w:rPr/>
        <w:t>2.10:</w:t>
      </w:r>
      <w:r>
        <w:rPr>
          <w:spacing w:val="-1"/>
        </w:rPr>
        <w:t> </w:t>
      </w:r>
      <w:r>
        <w:rPr/>
        <w:t>Trend</w:t>
      </w:r>
      <w:r>
        <w:rPr>
          <w:spacing w:val="-2"/>
        </w:rPr>
        <w:t> </w:t>
      </w:r>
      <w:r>
        <w:rPr/>
        <w:t>of Healthcare</w:t>
      </w:r>
      <w:r>
        <w:rPr>
          <w:spacing w:val="-2"/>
        </w:rPr>
        <w:t> </w:t>
      </w:r>
      <w:r>
        <w:rPr/>
        <w:t>Consultation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illness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7"/>
        <w:gridCol w:w="1169"/>
        <w:gridCol w:w="1171"/>
        <w:gridCol w:w="1169"/>
        <w:gridCol w:w="1255"/>
      </w:tblGrid>
      <w:tr>
        <w:trPr>
          <w:trHeight w:val="275" w:hRule="atLeast"/>
        </w:trPr>
        <w:tc>
          <w:tcPr>
            <w:tcW w:w="458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190" w:right="188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2013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193" w:right="188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2015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190" w:right="188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2017</w:t>
            </w:r>
          </w:p>
        </w:tc>
        <w:tc>
          <w:tcPr>
            <w:tcW w:w="1255" w:type="dxa"/>
          </w:tcPr>
          <w:p>
            <w:pPr>
              <w:pStyle w:val="TableParagraph"/>
              <w:spacing w:line="256" w:lineRule="exact"/>
              <w:ind w:right="376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2019</w:t>
            </w:r>
          </w:p>
        </w:tc>
      </w:tr>
      <w:tr>
        <w:trPr>
          <w:trHeight w:val="952" w:hRule="atLeast"/>
        </w:trPr>
        <w:tc>
          <w:tcPr>
            <w:tcW w:w="4587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Appropriate</w:t>
            </w:r>
            <w:r>
              <w:rPr>
                <w:rFonts w:ascii="Times New Roman"/>
                <w:spacing w:val="5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Healthcare</w:t>
            </w:r>
            <w:r>
              <w:rPr>
                <w:rFonts w:ascii="Times New Roman"/>
                <w:spacing w:val="1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consultation</w:t>
            </w:r>
            <w:r>
              <w:rPr>
                <w:rFonts w:ascii="Times New Roman"/>
                <w:spacing w:val="1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</w:t>
            </w:r>
          </w:p>
          <w:p>
            <w:pPr>
              <w:pStyle w:val="TableParagraph"/>
              <w:spacing w:line="310" w:lineRule="atLeast" w:before="7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nurses,</w:t>
            </w:r>
            <w:r>
              <w:rPr>
                <w:rFonts w:ascii="Times New Roman"/>
                <w:spacing w:val="2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medical</w:t>
            </w:r>
            <w:r>
              <w:rPr>
                <w:rFonts w:ascii="Times New Roman"/>
                <w:spacing w:val="2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doctors</w:t>
            </w:r>
            <w:r>
              <w:rPr>
                <w:rFonts w:ascii="Times New Roman"/>
                <w:spacing w:val="2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2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other</w:t>
            </w:r>
            <w:r>
              <w:rPr>
                <w:rFonts w:ascii="Times New Roman"/>
                <w:spacing w:val="2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skilled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workers</w:t>
            </w:r>
          </w:p>
        </w:tc>
        <w:tc>
          <w:tcPr>
            <w:tcW w:w="1169" w:type="dxa"/>
          </w:tcPr>
          <w:p>
            <w:pPr>
              <w:pStyle w:val="TableParagraph"/>
              <w:spacing w:line="270" w:lineRule="exact"/>
              <w:ind w:left="190" w:right="18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53.05%</w:t>
            </w:r>
          </w:p>
        </w:tc>
        <w:tc>
          <w:tcPr>
            <w:tcW w:w="1171" w:type="dxa"/>
          </w:tcPr>
          <w:p>
            <w:pPr>
              <w:pStyle w:val="TableParagraph"/>
              <w:spacing w:line="270" w:lineRule="exact"/>
              <w:ind w:left="193" w:right="18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48.95%</w:t>
            </w:r>
          </w:p>
        </w:tc>
        <w:tc>
          <w:tcPr>
            <w:tcW w:w="1169" w:type="dxa"/>
          </w:tcPr>
          <w:p>
            <w:pPr>
              <w:pStyle w:val="TableParagraph"/>
              <w:spacing w:line="270" w:lineRule="exact"/>
              <w:ind w:left="190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47.39%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right="3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31.9%</w:t>
            </w:r>
          </w:p>
        </w:tc>
      </w:tr>
      <w:tr>
        <w:trPr>
          <w:trHeight w:val="318" w:hRule="atLeast"/>
        </w:trPr>
        <w:tc>
          <w:tcPr>
            <w:tcW w:w="458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Inappropriate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Healthcare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consultation</w:t>
            </w:r>
          </w:p>
        </w:tc>
        <w:tc>
          <w:tcPr>
            <w:tcW w:w="1169" w:type="dxa"/>
          </w:tcPr>
          <w:p>
            <w:pPr>
              <w:pStyle w:val="TableParagraph"/>
              <w:spacing w:line="268" w:lineRule="exact"/>
              <w:ind w:left="190" w:right="18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46.73%</w:t>
            </w:r>
          </w:p>
        </w:tc>
        <w:tc>
          <w:tcPr>
            <w:tcW w:w="1171" w:type="dxa"/>
          </w:tcPr>
          <w:p>
            <w:pPr>
              <w:pStyle w:val="TableParagraph"/>
              <w:spacing w:line="268" w:lineRule="exact"/>
              <w:ind w:left="193" w:right="18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50.52%</w:t>
            </w:r>
          </w:p>
        </w:tc>
        <w:tc>
          <w:tcPr>
            <w:tcW w:w="1169" w:type="dxa"/>
          </w:tcPr>
          <w:p>
            <w:pPr>
              <w:pStyle w:val="TableParagraph"/>
              <w:spacing w:line="268" w:lineRule="exact"/>
              <w:ind w:left="190" w:right="1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52.13%</w:t>
            </w:r>
          </w:p>
        </w:tc>
        <w:tc>
          <w:tcPr>
            <w:tcW w:w="1255" w:type="dxa"/>
          </w:tcPr>
          <w:p>
            <w:pPr>
              <w:pStyle w:val="TableParagraph"/>
              <w:spacing w:line="268" w:lineRule="exact"/>
              <w:ind w:right="3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68.1%</w:t>
            </w:r>
          </w:p>
        </w:tc>
      </w:tr>
    </w:tbl>
    <w:p>
      <w:pPr>
        <w:pStyle w:val="BodyText"/>
        <w:ind w:left="160"/>
        <w:jc w:val="both"/>
      </w:pPr>
      <w:r>
        <w:rPr>
          <w:i/>
        </w:rPr>
        <w:t>Source:</w:t>
      </w:r>
      <w:r>
        <w:rPr>
          <w:i/>
          <w:spacing w:val="-3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Bureau of</w:t>
      </w:r>
      <w:r>
        <w:rPr>
          <w:spacing w:val="-2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(for</w:t>
      </w:r>
      <w:r>
        <w:rPr>
          <w:spacing w:val="-1"/>
        </w:rPr>
        <w:t> </w:t>
      </w:r>
      <w:r>
        <w:rPr/>
        <w:t>various years)</w:t>
      </w:r>
    </w:p>
    <w:p>
      <w:pPr>
        <w:spacing w:after="0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4"/>
        <w:jc w:val="both"/>
      </w:pPr>
      <w:r>
        <w:rPr/>
        <w:t>While the percentage of people seeking healthcare services from unskilled and/or inappropriate</w:t>
      </w:r>
      <w:r>
        <w:rPr>
          <w:spacing w:val="1"/>
        </w:rPr>
        <w:t> </w:t>
      </w:r>
      <w:r>
        <w:rPr/>
        <w:t>sources,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chemist,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healer,</w:t>
      </w:r>
      <w:r>
        <w:rPr>
          <w:spacing w:val="1"/>
        </w:rPr>
        <w:t> </w:t>
      </w:r>
      <w:r>
        <w:rPr/>
        <w:t>spiritualist,</w:t>
      </w:r>
      <w:r>
        <w:rPr>
          <w:spacing w:val="1"/>
        </w:rPr>
        <w:t> </w:t>
      </w:r>
      <w:r>
        <w:rPr/>
        <w:t>patent</w:t>
      </w:r>
      <w:r>
        <w:rPr>
          <w:spacing w:val="1"/>
        </w:rPr>
        <w:t> </w:t>
      </w:r>
      <w:r>
        <w:rPr/>
        <w:t>vendor,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self-medication</w:t>
      </w:r>
      <w:r>
        <w:rPr>
          <w:spacing w:val="1"/>
        </w:rPr>
        <w:t> </w:t>
      </w:r>
      <w:r>
        <w:rPr/>
        <w:t>increase</w:t>
      </w:r>
      <w:r>
        <w:rPr>
          <w:spacing w:val="-11"/>
        </w:rPr>
        <w:t> </w:t>
      </w:r>
      <w:r>
        <w:rPr/>
        <w:t>from</w:t>
      </w:r>
      <w:r>
        <w:rPr>
          <w:spacing w:val="-8"/>
        </w:rPr>
        <w:t> </w:t>
      </w:r>
      <w:r>
        <w:rPr/>
        <w:t>46.73%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2013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68.1%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2019.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evidences</w:t>
      </w:r>
      <w:r>
        <w:rPr>
          <w:spacing w:val="-8"/>
        </w:rPr>
        <w:t> </w:t>
      </w:r>
      <w:r>
        <w:rPr/>
        <w:t>(as</w:t>
      </w:r>
      <w:r>
        <w:rPr>
          <w:spacing w:val="-8"/>
        </w:rPr>
        <w:t> </w:t>
      </w:r>
      <w:r>
        <w:rPr/>
        <w:t>presented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Table</w:t>
      </w:r>
      <w:r>
        <w:rPr>
          <w:spacing w:val="-9"/>
        </w:rPr>
        <w:t> </w:t>
      </w:r>
      <w:r>
        <w:rPr/>
        <w:t>2.10)</w:t>
      </w:r>
      <w:r>
        <w:rPr>
          <w:spacing w:val="-8"/>
        </w:rPr>
        <w:t> </w:t>
      </w:r>
      <w:r>
        <w:rPr/>
        <w:t>also</w:t>
      </w:r>
      <w:r>
        <w:rPr>
          <w:spacing w:val="-58"/>
        </w:rPr>
        <w:t> </w:t>
      </w:r>
      <w:r>
        <w:rPr/>
        <w:t>indicates that with the rise in the number of public, private </w:t>
      </w:r>
      <w:r>
        <w:rPr>
          <w:sz w:val="22"/>
        </w:rPr>
        <w:t>and </w:t>
      </w:r>
      <w:r>
        <w:rPr/>
        <w:t>non-governmental health facilities</w:t>
      </w:r>
      <w:r>
        <w:rPr>
          <w:spacing w:val="-57"/>
        </w:rPr>
        <w:t> </w:t>
      </w:r>
      <w:r>
        <w:rPr/>
        <w:t>between 1980 and 2019, the trend of appropriate healthcare-seeking behaviour (seeking medical-</w:t>
      </w:r>
      <w:r>
        <w:rPr>
          <w:spacing w:val="-57"/>
        </w:rPr>
        <w:t> </w:t>
      </w:r>
      <w:r>
        <w:rPr/>
        <w:t>care</w:t>
      </w:r>
      <w:r>
        <w:rPr>
          <w:spacing w:val="-1"/>
        </w:rPr>
        <w:t> </w:t>
      </w:r>
      <w:r>
        <w:rPr/>
        <w:t>from skilled doctors</w:t>
      </w:r>
      <w:r>
        <w:rPr>
          <w:spacing w:val="2"/>
        </w:rPr>
        <w:t> </w:t>
      </w:r>
      <w:r>
        <w:rPr/>
        <w:t>and nurses) is</w:t>
      </w:r>
      <w:r>
        <w:rPr>
          <w:spacing w:val="-1"/>
        </w:rPr>
        <w:t> </w:t>
      </w:r>
      <w:r>
        <w:rPr/>
        <w:t>weak in Nigeria.</w:t>
      </w:r>
    </w:p>
    <w:p>
      <w:pPr>
        <w:pStyle w:val="BodyText"/>
        <w:spacing w:line="360" w:lineRule="auto" w:before="229"/>
        <w:ind w:left="160" w:right="153"/>
        <w:jc w:val="both"/>
      </w:pPr>
      <w:r>
        <w:rPr/>
        <w:pict>
          <v:group style="position:absolute;margin-left:71.639999pt;margin-top:247.033142pt;width:472.45pt;height:246pt;mso-position-horizontal-relative:page;mso-position-vertical-relative:paragraph;z-index:15745024" coordorigin="1433,4941" coordsize="9449,4920">
            <v:shape style="position:absolute;left:2676;top:7071;width:6478;height:764" coordorigin="2676,7072" coordsize="6478,764" path="m2676,7835l9154,7835m2676,7453l9154,7453m2676,7072l9154,7072e" filled="false" stroked="true" strokeweight=".72pt" strokecolor="#d9d9d9">
              <v:path arrowok="t"/>
              <v:stroke dashstyle="solid"/>
            </v:shape>
            <v:shape style="position:absolute;left:2733;top:6805;width:384;height:1424" type="#_x0000_t75" stroked="false">
              <v:imagedata r:id="rId78" o:title=""/>
            </v:shape>
            <v:shape style="position:absolute;left:3542;top:7542;width:384;height:687" type="#_x0000_t75" stroked="false">
              <v:imagedata r:id="rId79" o:title=""/>
            </v:shape>
            <v:shape style="position:absolute;left:2676;top:6311;width:6478;height:382" coordorigin="2676,6311" coordsize="6478,382" path="m2676,6693l9154,6693m2676,6311l9154,6311e" filled="false" stroked="true" strokeweight=".72pt" strokecolor="#d9d9d9">
              <v:path arrowok="t"/>
              <v:stroke dashstyle="solid"/>
            </v:shape>
            <v:shape style="position:absolute;left:4353;top:6164;width:384;height:2064" type="#_x0000_t75" stroked="false">
              <v:imagedata r:id="rId80" o:title=""/>
            </v:shape>
            <v:shape style="position:absolute;left:5162;top:7067;width:384;height:1162" type="#_x0000_t75" stroked="false">
              <v:imagedata r:id="rId81" o:title=""/>
            </v:shape>
            <v:shape style="position:absolute;left:5985;top:7866;width:358;height:363" type="#_x0000_t75" stroked="false">
              <v:imagedata r:id="rId82" o:title=""/>
            </v:shape>
            <v:shape style="position:absolute;left:6796;top:7949;width:356;height:279" type="#_x0000_t75" stroked="false">
              <v:imagedata r:id="rId83" o:title=""/>
            </v:shape>
            <v:shape style="position:absolute;left:7605;top:8113;width:356;height:116" type="#_x0000_t75" stroked="false">
              <v:imagedata r:id="rId84" o:title=""/>
            </v:shape>
            <v:shape style="position:absolute;left:8402;top:6404;width:384;height:1824" type="#_x0000_t75" stroked="false">
              <v:imagedata r:id="rId85" o:title=""/>
            </v:shape>
            <v:shape style="position:absolute;left:3043;top:7391;width:384;height:838" type="#_x0000_t75" stroked="false">
              <v:imagedata r:id="rId86" o:title=""/>
            </v:shape>
            <v:shape style="position:absolute;left:3852;top:7760;width:387;height:468" type="#_x0000_t75" stroked="false">
              <v:imagedata r:id="rId87" o:title=""/>
            </v:shape>
            <v:shape style="position:absolute;left:4663;top:6968;width:384;height:1260" type="#_x0000_t75" stroked="false">
              <v:imagedata r:id="rId88" o:title=""/>
            </v:shape>
            <v:shape style="position:absolute;left:5472;top:6611;width:384;height:1618" type="#_x0000_t75" stroked="false">
              <v:imagedata r:id="rId89" o:title=""/>
            </v:shape>
            <v:shape style="position:absolute;left:6283;top:7799;width:384;height:430" type="#_x0000_t75" stroked="false">
              <v:imagedata r:id="rId90" o:title=""/>
            </v:shape>
            <v:shape style="position:absolute;left:7092;top:7683;width:384;height:545" type="#_x0000_t75" stroked="false">
              <v:imagedata r:id="rId91" o:title=""/>
            </v:shape>
            <v:shape style="position:absolute;left:2676;top:5550;width:6478;height:380" coordorigin="2676,5550" coordsize="6478,380" path="m2676,5929l9154,5929m2676,5550l9154,5550e" filled="false" stroked="true" strokeweight=".72pt" strokecolor="#d9d9d9">
              <v:path arrowok="t"/>
              <v:stroke dashstyle="solid"/>
            </v:shape>
            <v:shape style="position:absolute;left:8712;top:5591;width:384;height:2638" type="#_x0000_t75" stroked="false">
              <v:imagedata r:id="rId92" o:title=""/>
            </v:shape>
            <v:shape style="position:absolute;left:2793;top:6829;width:264;height:1392" type="#_x0000_t75" stroked="false">
              <v:imagedata r:id="rId93" o:title=""/>
            </v:shape>
            <v:shape style="position:absolute;left:7653;top:8046;width:632;height:183" type="#_x0000_t75" stroked="false">
              <v:imagedata r:id="rId94" o:title=""/>
            </v:shape>
            <v:shape style="position:absolute;left:3604;top:7566;width:262;height:656" type="#_x0000_t75" stroked="false">
              <v:imagedata r:id="rId95" o:title=""/>
            </v:shape>
            <v:shape style="position:absolute;left:4413;top:6188;width:262;height:2033" type="#_x0000_t75" stroked="false">
              <v:imagedata r:id="rId96" o:title=""/>
            </v:shape>
            <v:shape style="position:absolute;left:5224;top:7093;width:262;height:1128" type="#_x0000_t75" stroked="false">
              <v:imagedata r:id="rId97" o:title=""/>
            </v:shape>
            <v:shape style="position:absolute;left:6033;top:7878;width:262;height:344" type="#_x0000_t75" stroked="false">
              <v:imagedata r:id="rId98" o:title=""/>
            </v:shape>
            <v:shape style="position:absolute;left:6842;top:7959;width:262;height:262" type="#_x0000_t75" stroked="false">
              <v:imagedata r:id="rId99" o:title=""/>
            </v:shape>
            <v:shape style="position:absolute;left:8462;top:6428;width:262;height:1793" type="#_x0000_t75" stroked="false">
              <v:imagedata r:id="rId100" o:title=""/>
            </v:shape>
            <v:shape style="position:absolute;left:3105;top:7417;width:262;height:804" type="#_x0000_t75" stroked="false">
              <v:imagedata r:id="rId101" o:title=""/>
            </v:shape>
            <v:shape style="position:absolute;left:3914;top:7787;width:262;height:435" type="#_x0000_t75" stroked="false">
              <v:imagedata r:id="rId102" o:title=""/>
            </v:shape>
            <v:shape style="position:absolute;left:4723;top:6995;width:262;height:1227" type="#_x0000_t75" stroked="false">
              <v:imagedata r:id="rId103" o:title=""/>
            </v:shape>
            <v:shape style="position:absolute;left:5534;top:6637;width:262;height:1584" type="#_x0000_t75" stroked="false">
              <v:imagedata r:id="rId104" o:title=""/>
            </v:shape>
            <v:shape style="position:absolute;left:6343;top:7825;width:262;height:396" type="#_x0000_t75" stroked="false">
              <v:imagedata r:id="rId105" o:title=""/>
            </v:shape>
            <v:shape style="position:absolute;left:7152;top:7710;width:264;height:512" type="#_x0000_t75" stroked="false">
              <v:imagedata r:id="rId106" o:title=""/>
            </v:shape>
            <v:shape style="position:absolute;left:7963;top:8072;width:262;height:149" type="#_x0000_t75" stroked="false">
              <v:imagedata r:id="rId107" o:title=""/>
            </v:shape>
            <v:shape style="position:absolute;left:8772;top:5615;width:262;height:2607" type="#_x0000_t75" stroked="false">
              <v:imagedata r:id="rId108" o:title=""/>
            </v:shape>
            <v:line style="position:absolute" from="2676,8214" to="9154,8214" stroked="true" strokeweight=".96pt" strokecolor="#d9d9d9">
              <v:stroke dashstyle="solid"/>
            </v:line>
            <v:line style="position:absolute" from="2676,5169" to="9154,5169" stroked="true" strokeweight=".72pt" strokecolor="#d9d9d9">
              <v:stroke dashstyle="solid"/>
            </v:line>
            <v:shape style="position:absolute;left:2326;top:8395;width:772;height:772" type="#_x0000_t75" stroked="false">
              <v:imagedata r:id="rId109" o:title=""/>
            </v:shape>
            <v:shape style="position:absolute;left:3509;top:8391;width:1216;height:1184" type="#_x0000_t75" stroked="false">
              <v:imagedata r:id="rId110" o:title=""/>
            </v:shape>
            <v:shape style="position:absolute;left:5026;top:8403;width:2135;height:986" type="#_x0000_t75" stroked="false">
              <v:imagedata r:id="rId111" o:title=""/>
            </v:shape>
            <v:shape style="position:absolute;left:7319;top:8392;width:1453;height:1270" type="#_x0000_t75" stroked="false">
              <v:imagedata r:id="rId112" o:title=""/>
            </v:shape>
            <v:shape style="position:absolute;left:9468;top:7184;width:106;height:104" type="#_x0000_t75" stroked="false">
              <v:imagedata r:id="rId113" o:title=""/>
            </v:shape>
            <v:shape style="position:absolute;left:9468;top:7520;width:106;height:106" type="#_x0000_t75" stroked="false">
              <v:imagedata r:id="rId114" o:title=""/>
            </v:shape>
            <v:rect style="position:absolute;left:1440;top:4947;width:9435;height:4906" filled="false" stroked="true" strokeweight=".72pt" strokecolor="#d9d9d9">
              <v:stroke dashstyle="solid"/>
            </v:rect>
            <v:shape style="position:absolute;left:1969;top:5085;width:560;height:246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80.00%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70.00%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60.00%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50.00%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40.00%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30.00%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20.00%</w:t>
                    </w:r>
                  </w:p>
                </w:txbxContent>
              </v:textbox>
              <w10:wrap type="none"/>
            </v:shape>
            <v:shape style="position:absolute;left:9610;top:7149;width:1085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(2010)</w:t>
                    </w:r>
                  </w:p>
                  <w:p>
                    <w:pPr>
                      <w:spacing w:line="216" w:lineRule="exact"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(2019)</w:t>
                    </w:r>
                  </w:p>
                </w:txbxContent>
              </v:textbox>
              <w10:wrap type="none"/>
            </v:shape>
            <v:shape style="position:absolute;left:1969;top:7751;width:560;height:56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10.00%</w:t>
                    </w:r>
                  </w:p>
                  <w:p>
                    <w:pPr>
                      <w:spacing w:line="217" w:lineRule="exact" w:before="16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0.00%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297997pt;margin-top:306.082184pt;width:11pt;height:57.3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Percentage</w:t>
                  </w:r>
                  <w:r>
                    <w:rPr>
                      <w:rFonts w:ascii="Calibri"/>
                      <w:color w:val="585858"/>
                      <w:spacing w:val="-2"/>
                      <w:sz w:val="18"/>
                    </w:rPr>
                    <w:t> </w:t>
                  </w:r>
                  <w:r>
                    <w:rPr>
                      <w:rFonts w:ascii="Calibri"/>
                      <w:color w:val="585858"/>
                      <w:sz w:val="1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Figure 2.6 presents the percentages of health-seeking behaviour in Nigeria from the households’</w:t>
      </w:r>
      <w:r>
        <w:rPr>
          <w:spacing w:val="1"/>
        </w:rPr>
        <w:t> </w:t>
      </w:r>
      <w:r>
        <w:rPr/>
        <w:t>responds. For instance, in Wave 1 (2010/2011) and Wave 4 (2018/2019) more than two-thirds</w:t>
      </w:r>
      <w:r>
        <w:rPr>
          <w:spacing w:val="1"/>
        </w:rPr>
        <w:t> </w:t>
      </w:r>
      <w:r>
        <w:rPr/>
        <w:t>(about</w:t>
      </w:r>
      <w:r>
        <w:rPr>
          <w:spacing w:val="-12"/>
        </w:rPr>
        <w:t> </w:t>
      </w:r>
      <w:r>
        <w:rPr/>
        <w:t>68.1%)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country’s</w:t>
      </w:r>
      <w:r>
        <w:rPr>
          <w:spacing w:val="-12"/>
        </w:rPr>
        <w:t> </w:t>
      </w:r>
      <w:r>
        <w:rPr/>
        <w:t>households</w:t>
      </w:r>
      <w:r>
        <w:rPr>
          <w:spacing w:val="-12"/>
        </w:rPr>
        <w:t> </w:t>
      </w:r>
      <w:r>
        <w:rPr/>
        <w:t>relied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inappropriate</w:t>
      </w:r>
      <w:r>
        <w:rPr>
          <w:spacing w:val="-12"/>
        </w:rPr>
        <w:t> </w:t>
      </w:r>
      <w:r>
        <w:rPr/>
        <w:t>healthcare</w:t>
      </w:r>
      <w:r>
        <w:rPr>
          <w:spacing w:val="-12"/>
        </w:rPr>
        <w:t> </w:t>
      </w:r>
      <w:r>
        <w:rPr/>
        <w:t>services</w:t>
      </w:r>
      <w:r>
        <w:rPr>
          <w:spacing w:val="-12"/>
        </w:rPr>
        <w:t> </w:t>
      </w:r>
      <w:r>
        <w:rPr/>
        <w:t>(NBS,</w:t>
      </w:r>
      <w:r>
        <w:rPr>
          <w:spacing w:val="-12"/>
        </w:rPr>
        <w:t> </w:t>
      </w:r>
      <w:r>
        <w:rPr/>
        <w:t>2013,</w:t>
      </w:r>
      <w:r>
        <w:rPr>
          <w:spacing w:val="-57"/>
        </w:rPr>
        <w:t> </w:t>
      </w:r>
      <w:r>
        <w:rPr/>
        <w:t>2019). The figure indicates that the percentages of Nigerians with appropriate HSB in 2019 is</w:t>
      </w:r>
      <w:r>
        <w:rPr>
          <w:spacing w:val="1"/>
        </w:rPr>
        <w:t> </w:t>
      </w:r>
      <w:r>
        <w:rPr/>
        <w:t>46.73%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quite</w:t>
      </w:r>
      <w:r>
        <w:rPr>
          <w:spacing w:val="-2"/>
        </w:rPr>
        <w:t> </w:t>
      </w:r>
      <w:r>
        <w:rPr/>
        <w:t>low</w:t>
      </w:r>
      <w:r>
        <w:rPr>
          <w:spacing w:val="-2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</w:t>
      </w:r>
      <w:r>
        <w:rPr>
          <w:spacing w:val="-1"/>
        </w:rPr>
        <w:t> </w:t>
      </w:r>
      <w:r>
        <w:rPr/>
        <w:t>recorded</w:t>
      </w:r>
      <w:r>
        <w:rPr>
          <w:spacing w:val="-2"/>
        </w:rPr>
        <w:t> </w:t>
      </w:r>
      <w:r>
        <w:rPr/>
        <w:t>53.05%.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percentages</w:t>
      </w:r>
      <w:r>
        <w:rPr>
          <w:spacing w:val="-1"/>
        </w:rPr>
        <w:t> </w:t>
      </w:r>
      <w:r>
        <w:rPr/>
        <w:t>of</w:t>
      </w:r>
      <w:r>
        <w:rPr>
          <w:spacing w:val="-58"/>
        </w:rPr>
        <w:t> </w:t>
      </w:r>
      <w:r>
        <w:rPr/>
        <w:t>those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seek</w:t>
      </w:r>
      <w:r>
        <w:rPr>
          <w:spacing w:val="-8"/>
        </w:rPr>
        <w:t> </w:t>
      </w:r>
      <w:r>
        <w:rPr/>
        <w:t>appropriate</w:t>
      </w:r>
      <w:r>
        <w:rPr>
          <w:spacing w:val="-11"/>
        </w:rPr>
        <w:t> </w:t>
      </w:r>
      <w:r>
        <w:rPr/>
        <w:t>healthcare</w:t>
      </w:r>
      <w:r>
        <w:rPr>
          <w:spacing w:val="-12"/>
        </w:rPr>
        <w:t> </w:t>
      </w:r>
      <w:r>
        <w:rPr/>
        <w:t>from</w:t>
      </w:r>
      <w:r>
        <w:rPr>
          <w:spacing w:val="-10"/>
        </w:rPr>
        <w:t> </w:t>
      </w:r>
      <w:r>
        <w:rPr/>
        <w:t>medical</w:t>
      </w:r>
      <w:r>
        <w:rPr>
          <w:spacing w:val="-10"/>
        </w:rPr>
        <w:t> </w:t>
      </w:r>
      <w:r>
        <w:rPr/>
        <w:t>doctor</w:t>
      </w:r>
      <w:r>
        <w:rPr>
          <w:spacing w:val="-10"/>
        </w:rPr>
        <w:t> </w:t>
      </w:r>
      <w:r>
        <w:rPr/>
        <w:t>declines</w:t>
      </w:r>
      <w:r>
        <w:rPr>
          <w:spacing w:val="-8"/>
        </w:rPr>
        <w:t> </w:t>
      </w:r>
      <w:r>
        <w:rPr/>
        <w:t>from</w:t>
      </w:r>
      <w:r>
        <w:rPr>
          <w:spacing w:val="-10"/>
        </w:rPr>
        <w:t> </w:t>
      </w:r>
      <w:r>
        <w:rPr/>
        <w:t>36.2%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20.8%</w:t>
      </w:r>
      <w:r>
        <w:rPr>
          <w:spacing w:val="-9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2010 and 2019. Similar trend was found for HSB from skilled nurses, as it decline from 16.85%</w:t>
      </w:r>
      <w:r>
        <w:rPr>
          <w:spacing w:val="1"/>
        </w:rPr>
        <w:t> </w:t>
      </w:r>
      <w:r>
        <w:rPr/>
        <w:t>to 11.1% over the same periods. However, more households had inappropriate HSB as the</w:t>
      </w:r>
      <w:r>
        <w:rPr>
          <w:spacing w:val="1"/>
        </w:rPr>
        <w:t> </w:t>
      </w:r>
      <w:r>
        <w:rPr/>
        <w:t>percentages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those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seek</w:t>
      </w:r>
      <w:r>
        <w:rPr>
          <w:spacing w:val="-4"/>
        </w:rPr>
        <w:t> </w:t>
      </w:r>
      <w:r>
        <w:rPr/>
        <w:t>medical-care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chemists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those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resort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self-medication</w:t>
      </w:r>
      <w:r>
        <w:rPr>
          <w:spacing w:val="-57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29.3%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6.53%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2010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41.3%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13.1%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2019,</w:t>
      </w:r>
      <w:r>
        <w:rPr>
          <w:spacing w:val="-3"/>
        </w:rPr>
        <w:t> </w:t>
      </w:r>
      <w:r>
        <w:rPr/>
        <w:t>respectively.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indicates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HSB</w:t>
      </w:r>
      <w:r>
        <w:rPr>
          <w:spacing w:val="-2"/>
        </w:rPr>
        <w:t> </w:t>
      </w:r>
      <w:r>
        <w:rPr/>
        <w:t>is very</w:t>
      </w:r>
      <w:r>
        <w:rPr>
          <w:spacing w:val="-5"/>
        </w:rPr>
        <w:t> </w:t>
      </w:r>
      <w:r>
        <w:rPr/>
        <w:t>weak.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4"/>
        <w:spacing w:line="274" w:lineRule="exact"/>
      </w:pPr>
      <w:r>
        <w:rPr/>
        <w:t>Figure</w:t>
      </w:r>
      <w:r>
        <w:rPr>
          <w:spacing w:val="-3"/>
        </w:rPr>
        <w:t> </w:t>
      </w:r>
      <w:r>
        <w:rPr/>
        <w:t>2.16:</w:t>
      </w:r>
      <w:r>
        <w:rPr>
          <w:spacing w:val="-2"/>
        </w:rPr>
        <w:t> </w:t>
      </w:r>
      <w:r>
        <w:rPr/>
        <w:t>Health-Seeking</w:t>
      </w:r>
      <w:r>
        <w:rPr>
          <w:spacing w:val="-1"/>
        </w:rPr>
        <w:t> </w:t>
      </w:r>
      <w:r>
        <w:rPr/>
        <w:t>Behaviour</w:t>
      </w:r>
      <w:r>
        <w:rPr>
          <w:spacing w:val="-3"/>
        </w:rPr>
        <w:t> </w:t>
      </w:r>
      <w:r>
        <w:rPr/>
        <w:t>in Nigeria</w:t>
      </w:r>
      <w:r>
        <w:rPr>
          <w:spacing w:val="-1"/>
        </w:rPr>
        <w:t> </w:t>
      </w:r>
      <w:r>
        <w:rPr/>
        <w:t>(2010-2019)</w:t>
      </w:r>
    </w:p>
    <w:p>
      <w:pPr>
        <w:pStyle w:val="BodyText"/>
        <w:spacing w:line="274" w:lineRule="exact"/>
        <w:ind w:left="160"/>
        <w:jc w:val="both"/>
      </w:pPr>
      <w:r>
        <w:rPr>
          <w:i/>
        </w:rPr>
        <w:t>Source:</w:t>
      </w:r>
      <w:r>
        <w:rPr>
          <w:i/>
          <w:spacing w:val="-3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Bureau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(2013,</w:t>
      </w:r>
      <w:r>
        <w:rPr>
          <w:spacing w:val="-1"/>
        </w:rPr>
        <w:t> </w:t>
      </w:r>
      <w:r>
        <w:rPr/>
        <w:t>2019)</w:t>
      </w:r>
    </w:p>
    <w:p>
      <w:pPr>
        <w:spacing w:after="0" w:line="274" w:lineRule="exact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9"/>
        <w:jc w:val="both"/>
      </w:pPr>
      <w:r>
        <w:rPr/>
        <w:pict>
          <v:group style="position:absolute;margin-left:71.639999pt;margin-top:139.323120pt;width:459.75pt;height:216.75pt;mso-position-horizontal-relative:page;mso-position-vertical-relative:paragraph;z-index:15746048" coordorigin="1433,2786" coordsize="9195,4335">
            <v:shape style="position:absolute;left:2954;top:4603;width:1042;height:1453" type="#_x0000_t75" stroked="false">
              <v:imagedata r:id="rId115" o:title=""/>
            </v:shape>
            <v:shape style="position:absolute;left:3876;top:5097;width:1071;height:958" type="#_x0000_t75" stroked="false">
              <v:imagedata r:id="rId116" o:title=""/>
            </v:shape>
            <v:shape style="position:absolute;left:3000;top:4612;width:948;height:1436" type="#_x0000_t75" stroked="false">
              <v:imagedata r:id="rId117" o:title=""/>
            </v:shape>
            <v:shape style="position:absolute;left:3936;top:5124;width:951;height:924" type="#_x0000_t75" stroked="false">
              <v:imagedata r:id="rId118" o:title=""/>
            </v:shape>
            <v:shape style="position:absolute;left:5529;top:4332;width:1042;height:1724" type="#_x0000_t75" stroked="false">
              <v:imagedata r:id="rId119" o:title=""/>
            </v:shape>
            <v:shape style="position:absolute;left:6451;top:3578;width:1071;height:2477" type="#_x0000_t75" stroked="false">
              <v:imagedata r:id="rId120" o:title=""/>
            </v:shape>
            <v:shape style="position:absolute;left:5575;top:4344;width:948;height:1704" type="#_x0000_t75" stroked="false">
              <v:imagedata r:id="rId121" o:title=""/>
            </v:shape>
            <v:shape style="position:absolute;left:6511;top:3604;width:948;height:2444" type="#_x0000_t75" stroked="false">
              <v:imagedata r:id="rId122" o:title=""/>
            </v:shape>
            <v:shape style="position:absolute;left:8102;top:5733;width:1045;height:322" type="#_x0000_t75" stroked="false">
              <v:imagedata r:id="rId123" o:title=""/>
            </v:shape>
            <v:shape style="position:absolute;left:9026;top:5332;width:1071;height:723" type="#_x0000_t75" stroked="false">
              <v:imagedata r:id="rId124" o:title=""/>
            </v:shape>
            <v:shape style="position:absolute;left:8150;top:5745;width:948;height:303" type="#_x0000_t75" stroked="false">
              <v:imagedata r:id="rId125" o:title=""/>
            </v:shape>
            <v:shape style="position:absolute;left:9086;top:5356;width:948;height:692" type="#_x0000_t75" stroked="false">
              <v:imagedata r:id="rId126" o:title=""/>
            </v:shape>
            <v:line style="position:absolute" from="2654,6041" to="10380,6041" stroked="true" strokeweight=".96pt" strokecolor="#d9d9d9">
              <v:stroke dashstyle="solid"/>
            </v:line>
            <v:shape style="position:absolute;left:4749;top:6775;width:104;height:106" type="#_x0000_t75" stroked="false">
              <v:imagedata r:id="rId127" o:title=""/>
            </v:shape>
            <v:shape style="position:absolute;left:6180;top:6775;width:104;height:106" type="#_x0000_t75" stroked="false">
              <v:imagedata r:id="rId128" o:title=""/>
            </v:shape>
            <v:rect style="position:absolute;left:1440;top:2793;width:9180;height:4320" filled="false" stroked="true" strokeweight=".72pt" strokecolor="#d9d9d9">
              <v:stroke dashstyle="solid"/>
            </v:rect>
            <v:shape style="position:absolute;left:1950;top:2899;width:560;height:69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60.00%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50.00%</w:t>
                    </w:r>
                  </w:p>
                </w:txbxContent>
              </v:textbox>
              <w10:wrap type="none"/>
            </v:shape>
            <v:shape style="position:absolute;left:6717;top:3336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47.70%</w:t>
                    </w:r>
                  </w:p>
                </w:txbxContent>
              </v:textbox>
              <w10:wrap type="none"/>
            </v:shape>
            <v:shape style="position:absolute;left:1950;top:3919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40.00%</w:t>
                    </w:r>
                  </w:p>
                </w:txbxContent>
              </v:textbox>
              <w10:wrap type="none"/>
            </v:shape>
            <v:shape style="position:absolute;left:5780;top:4075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33.20%</w:t>
                    </w:r>
                  </w:p>
                </w:txbxContent>
              </v:textbox>
              <w10:wrap type="none"/>
            </v:shape>
            <v:shape style="position:absolute;left:1950;top:4428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30.00%</w:t>
                    </w:r>
                  </w:p>
                </w:txbxContent>
              </v:textbox>
              <w10:wrap type="none"/>
            </v:shape>
            <v:shape style="position:absolute;left:3205;top:4345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27.90%</w:t>
                    </w:r>
                  </w:p>
                </w:txbxContent>
              </v:textbox>
              <w10:wrap type="none"/>
            </v:shape>
            <v:shape style="position:absolute;left:1950;top:4938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20.00%</w:t>
                    </w:r>
                  </w:p>
                </w:txbxContent>
              </v:textbox>
              <w10:wrap type="none"/>
            </v:shape>
            <v:shape style="position:absolute;left:4142;top:4855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17.90%</w:t>
                    </w:r>
                  </w:p>
                </w:txbxContent>
              </v:textbox>
              <w10:wrap type="none"/>
            </v:shape>
            <v:shape style="position:absolute;left:9292;top:5090;width:56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13.30%</w:t>
                    </w:r>
                  </w:p>
                </w:txbxContent>
              </v:textbox>
              <w10:wrap type="none"/>
            </v:shape>
            <v:shape style="position:absolute;left:1950;top:5448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10.00%</w:t>
                    </w:r>
                  </w:p>
                </w:txbxContent>
              </v:textbox>
              <w10:wrap type="none"/>
            </v:shape>
            <v:shape style="position:absolute;left:8401;top:5477;width:4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5.70%</w:t>
                    </w:r>
                  </w:p>
                </w:txbxContent>
              </v:textbox>
              <w10:wrap type="none"/>
            </v:shape>
            <v:shape style="position:absolute;left:2041;top:5958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0.00%</w:t>
                    </w:r>
                  </w:p>
                </w:txbxContent>
              </v:textbox>
              <w10:wrap type="none"/>
            </v:shape>
            <v:shape style="position:absolute;left:2958;top:6192;width:198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Hospital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(Appropriate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HSB)</w:t>
                    </w:r>
                  </w:p>
                </w:txbxContent>
              </v:textbox>
              <w10:wrap type="none"/>
            </v:shape>
            <v:shape style="position:absolute;left:5439;top:6192;width:4802;height:400" type="#_x0000_t202" filled="false" stroked="false">
              <v:textbox inset="0,0,0,0">
                <w:txbxContent>
                  <w:p>
                    <w:pPr>
                      <w:tabs>
                        <w:tab w:pos="2524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Chemists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(Inappropriate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HSB)</w:t>
                      <w:tab/>
                      <w:t>Self-Medication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(Inappropriate</w:t>
                    </w:r>
                  </w:p>
                  <w:p>
                    <w:pPr>
                      <w:spacing w:line="216" w:lineRule="exact" w:before="0"/>
                      <w:ind w:left="0" w:right="97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HSB)</w:t>
                    </w:r>
                  </w:p>
                </w:txbxContent>
              </v:textbox>
              <w10:wrap type="none"/>
            </v:shape>
            <v:shape style="position:absolute;left:4890;top:6741;width:2514;height:180" type="#_x0000_t202" filled="false" stroked="false">
              <v:textbox inset="0,0,0,0">
                <w:txbxContent>
                  <w:p>
                    <w:pPr>
                      <w:tabs>
                        <w:tab w:pos="142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(2016)</w:t>
                      <w:tab/>
                      <w:t>Wave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(2019)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4.290001pt;margin-top:195.322159pt;width:11pt;height:60.9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Percentages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 </w:t>
                  </w:r>
                  <w:r>
                    <w:rPr>
                      <w:rFonts w:ascii="Calibri"/>
                      <w:color w:val="585858"/>
                      <w:sz w:val="1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These findings are not surprising as it corresponds with the reports of NBS on HSB in Nigeria.</w:t>
      </w:r>
      <w:r>
        <w:rPr>
          <w:spacing w:val="1"/>
        </w:rPr>
        <w:t> </w:t>
      </w:r>
      <w:r>
        <w:rPr/>
        <w:t>Figure 2.17 shows that only 27.9% of men have access to appropriate medical services from the</w:t>
      </w:r>
      <w:r>
        <w:rPr>
          <w:spacing w:val="1"/>
        </w:rPr>
        <w:t> </w:t>
      </w:r>
      <w:r>
        <w:rPr/>
        <w:t>hospital</w:t>
      </w:r>
      <w:r>
        <w:rPr>
          <w:spacing w:val="-4"/>
        </w:rPr>
        <w:t> </w:t>
      </w:r>
      <w:r>
        <w:rPr/>
        <w:t>facilities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2016.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decrease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17.9%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2019.</w:t>
      </w:r>
      <w:r>
        <w:rPr>
          <w:spacing w:val="-3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several</w:t>
      </w:r>
      <w:r>
        <w:rPr>
          <w:spacing w:val="-2"/>
        </w:rPr>
        <w:t> </w:t>
      </w:r>
      <w:r>
        <w:rPr/>
        <w:t>men</w:t>
      </w:r>
      <w:r>
        <w:rPr>
          <w:spacing w:val="-3"/>
        </w:rPr>
        <w:t> </w:t>
      </w:r>
      <w:r>
        <w:rPr/>
        <w:t>seek</w:t>
      </w:r>
      <w:r>
        <w:rPr>
          <w:spacing w:val="-2"/>
        </w:rPr>
        <w:t> </w:t>
      </w:r>
      <w:r>
        <w:rPr/>
        <w:t>healthcare</w:t>
      </w:r>
      <w:r>
        <w:rPr>
          <w:spacing w:val="-57"/>
        </w:rPr>
        <w:t> </w:t>
      </w:r>
      <w:r>
        <w:rPr/>
        <w:t>inappropriately from</w:t>
      </w:r>
      <w:r>
        <w:rPr>
          <w:spacing w:val="1"/>
        </w:rPr>
        <w:t> </w:t>
      </w:r>
      <w:r>
        <w:rPr/>
        <w:t>chemists, which increase from 33.2% in 2016 to 47.7% in 2019. The</w:t>
      </w:r>
      <w:r>
        <w:rPr>
          <w:spacing w:val="1"/>
        </w:rPr>
        <w:t> </w:t>
      </w:r>
      <w:r>
        <w:rPr/>
        <w:t>percentage of men that resort to self-medication also increase from 5.7% to 13.3% between 2016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2019. This further reveal that HSB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men is</w:t>
      </w:r>
      <w:r>
        <w:rPr>
          <w:spacing w:val="-1"/>
        </w:rPr>
        <w:t> </w:t>
      </w:r>
      <w:r>
        <w:rPr/>
        <w:t>very weak in 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spacing w:line="274" w:lineRule="exact" w:before="204"/>
        <w:jc w:val="left"/>
      </w:pPr>
      <w:r>
        <w:rPr/>
        <w:t>Figure</w:t>
      </w:r>
      <w:r>
        <w:rPr>
          <w:spacing w:val="-3"/>
        </w:rPr>
        <w:t> </w:t>
      </w:r>
      <w:r>
        <w:rPr/>
        <w:t>2.17:</w:t>
      </w:r>
      <w:r>
        <w:rPr>
          <w:spacing w:val="-2"/>
        </w:rPr>
        <w:t> </w:t>
      </w:r>
      <w:r>
        <w:rPr/>
        <w:t>Healthcare-Seeking</w:t>
      </w:r>
      <w:r>
        <w:rPr>
          <w:spacing w:val="-1"/>
        </w:rPr>
        <w:t> </w:t>
      </w:r>
      <w:r>
        <w:rPr/>
        <w:t>among</w:t>
      </w:r>
      <w:r>
        <w:rPr>
          <w:spacing w:val="-1"/>
        </w:rPr>
        <w:t> </w:t>
      </w:r>
      <w:r>
        <w:rPr/>
        <w:t>Men</w:t>
      </w:r>
      <w:r>
        <w:rPr>
          <w:spacing w:val="-2"/>
        </w:rPr>
        <w:t> </w:t>
      </w:r>
      <w:r>
        <w:rPr/>
        <w:t>reporting</w:t>
      </w:r>
      <w:r>
        <w:rPr>
          <w:spacing w:val="-1"/>
        </w:rPr>
        <w:t> </w:t>
      </w:r>
      <w:r>
        <w:rPr/>
        <w:t>Illness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line="274" w:lineRule="exact"/>
        <w:ind w:left="160"/>
      </w:pPr>
      <w:r>
        <w:rPr/>
        <w:pict>
          <v:group style="position:absolute;margin-left:71.639999pt;margin-top:27.453724pt;width:467.2pt;height:221.2pt;mso-position-horizontal-relative:page;mso-position-vertical-relative:paragraph;z-index:15746560" coordorigin="1433,549" coordsize="9344,4424">
            <v:shape style="position:absolute;left:2980;top:2082;width:1061;height:1755" type="#_x0000_t75" stroked="false">
              <v:imagedata r:id="rId129" o:title=""/>
            </v:shape>
            <v:shape style="position:absolute;left:3921;top:2627;width:1088;height:1210" type="#_x0000_t75" stroked="false">
              <v:imagedata r:id="rId130" o:title=""/>
            </v:shape>
            <v:shape style="position:absolute;left:3026;top:2092;width:968;height:1738" type="#_x0000_t75" stroked="false">
              <v:imagedata r:id="rId131" o:title=""/>
            </v:shape>
            <v:shape style="position:absolute;left:3981;top:2653;width:968;height:1176" type="#_x0000_t75" stroked="false">
              <v:imagedata r:id="rId132" o:title=""/>
            </v:shape>
            <v:shape style="position:absolute;left:5606;top:1643;width:1059;height:2194" type="#_x0000_t75" stroked="false">
              <v:imagedata r:id="rId133" o:title=""/>
            </v:shape>
            <v:shape style="position:absolute;left:6544;top:976;width:1090;height:2861" type="#_x0000_t75" stroked="false">
              <v:imagedata r:id="rId134" o:title=""/>
            </v:shape>
            <v:shape style="position:absolute;left:5652;top:1653;width:968;height:2177" type="#_x0000_t75" stroked="false">
              <v:imagedata r:id="rId135" o:title=""/>
            </v:shape>
            <v:shape style="position:absolute;left:6607;top:1000;width:968;height:2830" type="#_x0000_t75" stroked="false">
              <v:imagedata r:id="rId136" o:title=""/>
            </v:shape>
            <v:shape style="position:absolute;left:8229;top:3527;width:1061;height:310" type="#_x0000_t75" stroked="false">
              <v:imagedata r:id="rId137" o:title=""/>
            </v:shape>
            <v:shape style="position:absolute;left:9170;top:3030;width:1090;height:807" type="#_x0000_t75" stroked="false">
              <v:imagedata r:id="rId138" o:title=""/>
            </v:shape>
            <v:shape style="position:absolute;left:8277;top:3537;width:965;height:293" type="#_x0000_t75" stroked="false">
              <v:imagedata r:id="rId139" o:title=""/>
            </v:shape>
            <v:shape style="position:absolute;left:9230;top:3057;width:968;height:773" type="#_x0000_t75" stroked="false">
              <v:imagedata r:id="rId140" o:title=""/>
            </v:shape>
            <v:line style="position:absolute" from="2676,3825" to="10550,3825" stroked="true" strokeweight=".96pt" strokecolor="#d9d9d9">
              <v:stroke dashstyle="solid"/>
            </v:line>
            <v:shape style="position:absolute;left:4824;top:4629;width:106;height:104" type="#_x0000_t75" stroked="false">
              <v:imagedata r:id="rId113" o:title=""/>
            </v:shape>
            <v:shape style="position:absolute;left:6254;top:4629;width:104;height:104" type="#_x0000_t75" stroked="false">
              <v:imagedata r:id="rId141" o:title=""/>
            </v:shape>
            <v:rect style="position:absolute;left:1440;top:556;width:9329;height:4409" filled="false" stroked="true" strokeweight=".72pt" strokecolor="#d9d9d9">
              <v:stroke dashstyle="solid"/>
            </v:rect>
            <v:shape style="position:absolute;left:1969;top:692;width:560;height:4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50.00%</w:t>
                    </w:r>
                  </w:p>
                  <w:p>
                    <w:pPr>
                      <w:spacing w:line="216" w:lineRule="exact" w:before="8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45.00%</w:t>
                    </w:r>
                  </w:p>
                </w:txbxContent>
              </v:textbox>
              <w10:wrap type="none"/>
            </v:shape>
            <v:shape style="position:absolute;left:6820;top:734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46.20%</w:t>
                    </w:r>
                  </w:p>
                </w:txbxContent>
              </v:textbox>
              <w10:wrap type="none"/>
            </v:shape>
            <v:shape style="position:absolute;left:1969;top:1302;width:560;height:262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40.00%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35.00%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30.00%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25.00%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20.00%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15.00%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10.00%</w:t>
                    </w:r>
                  </w:p>
                  <w:p>
                    <w:pPr>
                      <w:spacing w:before="85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5.00%</w:t>
                    </w:r>
                  </w:p>
                  <w:p>
                    <w:pPr>
                      <w:spacing w:line="216" w:lineRule="exact" w:before="85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0.00%</w:t>
                    </w:r>
                  </w:p>
                </w:txbxContent>
              </v:textbox>
              <w10:wrap type="none"/>
            </v:shape>
            <v:shape style="position:absolute;left:5866;top:1387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35.50%</w:t>
                    </w:r>
                  </w:p>
                </w:txbxContent>
              </v:textbox>
              <w10:wrap type="none"/>
            </v:shape>
            <v:shape style="position:absolute;left:3241;top:1825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28.30%</w:t>
                    </w:r>
                  </w:p>
                </w:txbxContent>
              </v:textbox>
              <w10:wrap type="none"/>
            </v:shape>
            <v:shape style="position:absolute;left:4195;top:2386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19.10%</w:t>
                    </w:r>
                  </w:p>
                </w:txbxContent>
              </v:textbox>
              <w10:wrap type="none"/>
            </v:shape>
            <v:shape style="position:absolute;left:9446;top:2789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12.50%</w:t>
                    </w:r>
                  </w:p>
                </w:txbxContent>
              </v:textbox>
              <w10:wrap type="none"/>
            </v:shape>
            <v:shape style="position:absolute;left:8536;top:3270;width:47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4.60%</w:t>
                    </w:r>
                  </w:p>
                </w:txbxContent>
              </v:textbox>
              <w10:wrap type="none"/>
            </v:shape>
            <v:shape style="position:absolute;left:3003;top:3975;width:7384;height:799" type="#_x0000_t202" filled="false" stroked="false">
              <v:textbox inset="0,0,0,0">
                <w:txbxContent>
                  <w:p>
                    <w:pPr>
                      <w:tabs>
                        <w:tab w:pos="2531" w:val="left" w:leader="none"/>
                        <w:tab w:pos="5105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Hospital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(Appropriate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HSB)</w:t>
                      <w:tab/>
                      <w:t>Chemists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(Inappropriate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HSB)</w:t>
                      <w:tab/>
                      <w:t>Self-Medication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(Inappropriate</w:t>
                    </w:r>
                  </w:p>
                  <w:p>
                    <w:pPr>
                      <w:spacing w:before="0"/>
                      <w:ind w:left="0" w:right="972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HSB)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tabs>
                        <w:tab w:pos="3392" w:val="left" w:leader="none"/>
                      </w:tabs>
                      <w:spacing w:line="216" w:lineRule="exact" w:before="0"/>
                      <w:ind w:left="196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(2016)</w:t>
                      <w:tab/>
                      <w:t>Wave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(2019)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297997pt;margin-top:84.74276pt;width:11pt;height:60.9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Percentages</w:t>
                  </w:r>
                  <w:r>
                    <w:rPr>
                      <w:rFonts w:ascii="Calibri"/>
                      <w:color w:val="585858"/>
                      <w:spacing w:val="-1"/>
                      <w:sz w:val="18"/>
                    </w:rPr>
                    <w:t> </w:t>
                  </w:r>
                  <w:r>
                    <w:rPr>
                      <w:rFonts w:ascii="Calibri"/>
                      <w:color w:val="585858"/>
                      <w:sz w:val="1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i/>
        </w:rPr>
        <w:t>Source:</w:t>
      </w:r>
      <w:r>
        <w:rPr>
          <w:i/>
          <w:spacing w:val="-3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Bureau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(2017,</w:t>
      </w:r>
      <w:r>
        <w:rPr>
          <w:spacing w:val="-1"/>
        </w:rPr>
        <w:t> </w:t>
      </w:r>
      <w:r>
        <w:rPr/>
        <w:t>2019)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spacing w:line="274" w:lineRule="exact" w:before="206"/>
        <w:jc w:val="left"/>
      </w:pPr>
      <w:r>
        <w:rPr/>
        <w:t>Figure</w:t>
      </w:r>
      <w:r>
        <w:rPr>
          <w:spacing w:val="-3"/>
        </w:rPr>
        <w:t> </w:t>
      </w:r>
      <w:r>
        <w:rPr/>
        <w:t>2.18:</w:t>
      </w:r>
      <w:r>
        <w:rPr>
          <w:spacing w:val="-3"/>
        </w:rPr>
        <w:t> </w:t>
      </w:r>
      <w:r>
        <w:rPr/>
        <w:t>Healthcare-Seeking</w:t>
      </w:r>
      <w:r>
        <w:rPr>
          <w:spacing w:val="-2"/>
        </w:rPr>
        <w:t> </w:t>
      </w:r>
      <w:r>
        <w:rPr/>
        <w:t>among</w:t>
      </w:r>
      <w:r>
        <w:rPr>
          <w:spacing w:val="1"/>
        </w:rPr>
        <w:t> </w:t>
      </w:r>
      <w:r>
        <w:rPr/>
        <w:t>Females</w:t>
      </w:r>
      <w:r>
        <w:rPr>
          <w:spacing w:val="-1"/>
        </w:rPr>
        <w:t> </w:t>
      </w:r>
      <w:r>
        <w:rPr/>
        <w:t>reporting</w:t>
      </w:r>
      <w:r>
        <w:rPr>
          <w:spacing w:val="-2"/>
        </w:rPr>
        <w:t> </w:t>
      </w:r>
      <w:r>
        <w:rPr/>
        <w:t>Illness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line="274" w:lineRule="exact"/>
        <w:ind w:left="160"/>
      </w:pPr>
      <w:r>
        <w:rPr>
          <w:i/>
        </w:rPr>
        <w:t>Source:</w:t>
      </w:r>
      <w:r>
        <w:rPr>
          <w:i/>
          <w:spacing w:val="-3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Bureau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(2017,</w:t>
      </w:r>
      <w:r>
        <w:rPr>
          <w:spacing w:val="-1"/>
        </w:rPr>
        <w:t> </w:t>
      </w:r>
      <w:r>
        <w:rPr/>
        <w:t>2019)</w:t>
      </w:r>
    </w:p>
    <w:p>
      <w:pPr>
        <w:spacing w:after="0" w:line="274" w:lineRule="exact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6"/>
        <w:jc w:val="both"/>
      </w:pPr>
      <w:r>
        <w:rPr/>
        <w:t>The percentages of females with appropriate HSB also declines from 28.3% to 19.1% from 2016</w:t>
      </w:r>
      <w:r>
        <w:rPr>
          <w:spacing w:val="1"/>
        </w:rPr>
        <w:t> </w:t>
      </w:r>
      <w:r>
        <w:rPr/>
        <w:t>to 2019 in Nigeria (see Figure 2.18). Several females seek healthcare services from chemist in</w:t>
      </w:r>
      <w:r>
        <w:rPr>
          <w:spacing w:val="1"/>
        </w:rPr>
        <w:t> </w:t>
      </w:r>
      <w:r>
        <w:rPr/>
        <w:t>2019</w:t>
      </w:r>
      <w:r>
        <w:rPr>
          <w:spacing w:val="-10"/>
        </w:rPr>
        <w:t> </w:t>
      </w:r>
      <w:r>
        <w:rPr/>
        <w:t>compare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2016’s</w:t>
      </w:r>
      <w:r>
        <w:rPr>
          <w:spacing w:val="-9"/>
        </w:rPr>
        <w:t> </w:t>
      </w:r>
      <w:r>
        <w:rPr/>
        <w:t>statistics,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percentages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HSB</w:t>
      </w:r>
      <w:r>
        <w:rPr>
          <w:spacing w:val="-11"/>
        </w:rPr>
        <w:t> </w:t>
      </w:r>
      <w:r>
        <w:rPr/>
        <w:t>from</w:t>
      </w:r>
      <w:r>
        <w:rPr>
          <w:spacing w:val="-6"/>
        </w:rPr>
        <w:t> </w:t>
      </w:r>
      <w:r>
        <w:rPr/>
        <w:t>chemists</w:t>
      </w:r>
      <w:r>
        <w:rPr>
          <w:spacing w:val="-8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35.5%</w:t>
      </w:r>
      <w:r>
        <w:rPr>
          <w:spacing w:val="-58"/>
        </w:rPr>
        <w:t> </w:t>
      </w:r>
      <w:r>
        <w:rPr/>
        <w:t>to 46.2% between 2016 and 2019. Figure 2.17 further shows that 4.6% of females resort to self-</w:t>
      </w:r>
      <w:r>
        <w:rPr>
          <w:spacing w:val="1"/>
        </w:rPr>
        <w:t> </w:t>
      </w:r>
      <w:r>
        <w:rPr>
          <w:spacing w:val="-1"/>
        </w:rPr>
        <w:t>medication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2016.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inappropriate</w:t>
      </w:r>
      <w:r>
        <w:rPr>
          <w:spacing w:val="-13"/>
        </w:rPr>
        <w:t> </w:t>
      </w:r>
      <w:r>
        <w:rPr/>
        <w:t>HSB</w:t>
      </w:r>
      <w:r>
        <w:rPr>
          <w:spacing w:val="-14"/>
        </w:rPr>
        <w:t> </w:t>
      </w:r>
      <w:r>
        <w:rPr/>
        <w:t>increased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12.5%</w:t>
      </w:r>
      <w:r>
        <w:rPr>
          <w:spacing w:val="-12"/>
        </w:rPr>
        <w:t> </w:t>
      </w:r>
      <w:r>
        <w:rPr/>
        <w:t>in</w:t>
      </w:r>
      <w:r>
        <w:rPr>
          <w:spacing w:val="-14"/>
        </w:rPr>
        <w:t> </w:t>
      </w:r>
      <w:r>
        <w:rPr/>
        <w:t>2019.</w:t>
      </w:r>
      <w:r>
        <w:rPr>
          <w:spacing w:val="-10"/>
        </w:rPr>
        <w:t> </w:t>
      </w:r>
      <w:r>
        <w:rPr/>
        <w:t>The</w:t>
      </w:r>
      <w:r>
        <w:rPr>
          <w:spacing w:val="-16"/>
        </w:rPr>
        <w:t> </w:t>
      </w:r>
      <w:r>
        <w:rPr/>
        <w:t>weak</w:t>
      </w:r>
      <w:r>
        <w:rPr>
          <w:spacing w:val="-12"/>
        </w:rPr>
        <w:t> </w:t>
      </w:r>
      <w:r>
        <w:rPr/>
        <w:t>HSB</w:t>
      </w:r>
      <w:r>
        <w:rPr>
          <w:spacing w:val="-16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could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leads to poorer health outcomes.</w:t>
      </w:r>
    </w:p>
    <w:p>
      <w:pPr>
        <w:pStyle w:val="BodyText"/>
        <w:spacing w:line="360" w:lineRule="auto" w:before="161"/>
        <w:ind w:left="160" w:right="153"/>
        <w:jc w:val="both"/>
      </w:pPr>
      <w:r>
        <w:rPr/>
        <w:t>Conclusively, the trend analyses in this chapter clearly revealed that poor health outcomes, such</w:t>
      </w:r>
      <w:r>
        <w:rPr>
          <w:spacing w:val="1"/>
        </w:rPr>
        <w:t> </w:t>
      </w:r>
      <w:r>
        <w:rPr/>
        <w:t>as, illnesses and deaths from NCDs are rising in Nigeria. This perhaps accounts for poor health</w:t>
      </w:r>
      <w:r>
        <w:rPr>
          <w:spacing w:val="1"/>
        </w:rPr>
        <w:t> </w:t>
      </w:r>
      <w:r>
        <w:rPr/>
        <w:t>indicators (infant, under-five, maternal and adults deaths) in the nation comparatively. These</w:t>
      </w:r>
      <w:r>
        <w:rPr>
          <w:spacing w:val="1"/>
        </w:rPr>
        <w:t> </w:t>
      </w:r>
      <w:r>
        <w:rPr/>
        <w:t>findings were consistent with previous literature, such as, Adedini, 2013; Novignon </w:t>
      </w:r>
      <w:r>
        <w:rPr>
          <w:i/>
        </w:rPr>
        <w:t>et al. </w:t>
      </w:r>
      <w:r>
        <w:rPr/>
        <w:t>2015;</w:t>
      </w:r>
      <w:r>
        <w:rPr>
          <w:spacing w:val="1"/>
        </w:rPr>
        <w:t> </w:t>
      </w:r>
      <w:r>
        <w:rPr/>
        <w:t>and UNICEF, 2018. More so, this study found that Nigeria is characterized with weak health-</w:t>
      </w:r>
      <w:r>
        <w:rPr>
          <w:spacing w:val="1"/>
        </w:rPr>
        <w:t> </w:t>
      </w:r>
      <w:r>
        <w:rPr/>
        <w:t>seeking behavior between 2010 and 2019. This is also in line with prior literature on HSB, such</w:t>
      </w:r>
      <w:r>
        <w:rPr>
          <w:spacing w:val="1"/>
        </w:rPr>
        <w:t> </w:t>
      </w:r>
      <w:r>
        <w:rPr/>
        <w:t>as,</w:t>
      </w:r>
      <w:r>
        <w:rPr>
          <w:spacing w:val="-1"/>
        </w:rPr>
        <w:t> </w:t>
      </w:r>
      <w:r>
        <w:rPr/>
        <w:t>Fagbemigbe, 2015 and Abiola</w:t>
      </w:r>
      <w:r>
        <w:rPr>
          <w:spacing w:val="1"/>
        </w:rPr>
        <w:t> </w:t>
      </w:r>
      <w:r>
        <w:rPr>
          <w:i/>
        </w:rPr>
        <w:t>et al. </w:t>
      </w:r>
      <w:r>
        <w:rPr/>
        <w:t>2018.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1"/>
          <w:numId w:val="11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  <w:rPr>
          <w:b/>
          <w:sz w:val="24"/>
        </w:rPr>
      </w:pPr>
      <w:bookmarkStart w:name="_TOC_250058" w:id="19"/>
      <w:bookmarkEnd w:id="19"/>
      <w:r>
        <w:rPr>
          <w:b/>
          <w:sz w:val="24"/>
        </w:rPr>
        <w:t>Introduction</w:t>
      </w:r>
    </w:p>
    <w:p>
      <w:pPr>
        <w:pStyle w:val="Heading1"/>
        <w:spacing w:line="259" w:lineRule="auto" w:before="75"/>
        <w:ind w:left="160" w:right="3288" w:firstLine="336"/>
        <w:jc w:val="left"/>
      </w:pPr>
      <w:r>
        <w:rPr>
          <w:b w:val="0"/>
        </w:rPr>
        <w:br w:type="column"/>
      </w:r>
      <w:r>
        <w:rPr/>
        <w:t>CHAPTER THREE</w:t>
      </w:r>
      <w:r>
        <w:rPr>
          <w:spacing w:val="1"/>
        </w:rPr>
        <w:t> </w:t>
      </w:r>
      <w:r>
        <w:rPr/>
        <w:t>LITERATURE</w:t>
      </w:r>
      <w:r>
        <w:rPr>
          <w:spacing w:val="-12"/>
        </w:rPr>
        <w:t> </w:t>
      </w:r>
      <w:r>
        <w:rPr/>
        <w:t>REVIEW</w:t>
      </w:r>
    </w:p>
    <w:p>
      <w:pPr>
        <w:spacing w:after="0" w:line="259" w:lineRule="auto"/>
        <w:jc w:val="left"/>
        <w:sectPr>
          <w:pgSz w:w="12240" w:h="15840"/>
          <w:pgMar w:header="0" w:footer="1015" w:top="1360" w:bottom="1200" w:left="1280" w:right="1280"/>
          <w:cols w:num="2" w:equalWidth="0">
            <w:col w:w="2227" w:space="908"/>
            <w:col w:w="6545"/>
          </w:cols>
        </w:sectPr>
      </w:pPr>
    </w:p>
    <w:p>
      <w:pPr>
        <w:pStyle w:val="BodyText"/>
        <w:spacing w:line="360" w:lineRule="auto" w:before="19"/>
        <w:ind w:left="160" w:right="156"/>
        <w:jc w:val="both"/>
      </w:pPr>
      <w:r>
        <w:rPr/>
        <w:t>The existing state of knowledge has consistently established that health indices in Nigeria are</w:t>
      </w:r>
      <w:r>
        <w:rPr>
          <w:spacing w:val="1"/>
        </w:rPr>
        <w:t> </w:t>
      </w:r>
      <w:r>
        <w:rPr>
          <w:spacing w:val="-1"/>
        </w:rPr>
        <w:t>generally</w:t>
      </w:r>
      <w:r>
        <w:rPr>
          <w:spacing w:val="-17"/>
        </w:rPr>
        <w:t> </w:t>
      </w:r>
      <w:r>
        <w:rPr/>
        <w:t>poor.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addition,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level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income</w:t>
      </w:r>
      <w:r>
        <w:rPr>
          <w:spacing w:val="-11"/>
        </w:rPr>
        <w:t> </w:t>
      </w:r>
      <w:r>
        <w:rPr/>
        <w:t>disparity</w:t>
      </w:r>
      <w:r>
        <w:rPr>
          <w:spacing w:val="-17"/>
        </w:rPr>
        <w:t> </w:t>
      </w:r>
      <w:r>
        <w:rPr/>
        <w:t>in</w:t>
      </w:r>
      <w:r>
        <w:rPr>
          <w:spacing w:val="-10"/>
        </w:rPr>
        <w:t> </w:t>
      </w:r>
      <w:r>
        <w:rPr/>
        <w:t>Nigeria</w:t>
      </w:r>
      <w:r>
        <w:rPr>
          <w:spacing w:val="-11"/>
        </w:rPr>
        <w:t> </w:t>
      </w:r>
      <w:r>
        <w:rPr/>
        <w:t>remains</w:t>
      </w:r>
      <w:r>
        <w:rPr>
          <w:spacing w:val="-9"/>
        </w:rPr>
        <w:t> </w:t>
      </w:r>
      <w:r>
        <w:rPr/>
        <w:t>high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recent</w:t>
      </w:r>
      <w:r>
        <w:rPr>
          <w:spacing w:val="-12"/>
        </w:rPr>
        <w:t> </w:t>
      </w:r>
      <w:r>
        <w:rPr/>
        <w:t>decades.</w:t>
      </w:r>
      <w:r>
        <w:rPr>
          <w:spacing w:val="-57"/>
        </w:rPr>
        <w:t> </w:t>
      </w:r>
      <w:r>
        <w:rPr/>
        <w:t>However, the extent to which income inequality affects health outcomes and health-seeking</w:t>
      </w:r>
      <w:r>
        <w:rPr>
          <w:spacing w:val="1"/>
        </w:rPr>
        <w:t> </w:t>
      </w:r>
      <w:r>
        <w:rPr/>
        <w:t>behavior remains understudied. This chapter thus focused on a review of conceptual, theoretical,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empirical literature</w:t>
      </w:r>
      <w:r>
        <w:rPr>
          <w:spacing w:val="1"/>
        </w:rPr>
        <w:t> </w:t>
      </w:r>
      <w:r>
        <w:rPr/>
        <w:t>with a</w:t>
      </w:r>
      <w:r>
        <w:rPr>
          <w:spacing w:val="-1"/>
        </w:rPr>
        <w:t> </w:t>
      </w:r>
      <w:r>
        <w:rPr/>
        <w:t>view to identifying</w:t>
      </w:r>
      <w:r>
        <w:rPr>
          <w:spacing w:val="1"/>
        </w:rPr>
        <w:t> </w:t>
      </w:r>
      <w:r>
        <w:rPr/>
        <w:t>gaps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extant studies.</w:t>
      </w:r>
    </w:p>
    <w:p>
      <w:pPr>
        <w:pStyle w:val="BodyText"/>
        <w:spacing w:before="5"/>
      </w:pPr>
    </w:p>
    <w:p>
      <w:pPr>
        <w:pStyle w:val="Heading4"/>
        <w:numPr>
          <w:ilvl w:val="1"/>
          <w:numId w:val="11"/>
        </w:numPr>
        <w:tabs>
          <w:tab w:pos="881" w:val="left" w:leader="none"/>
        </w:tabs>
        <w:spacing w:line="240" w:lineRule="auto" w:before="0" w:after="0"/>
        <w:ind w:left="880" w:right="0" w:hanging="721"/>
        <w:jc w:val="both"/>
      </w:pPr>
      <w:r>
        <w:rPr/>
        <w:t>Conceptual</w:t>
      </w:r>
      <w:r>
        <w:rPr>
          <w:spacing w:val="-2"/>
        </w:rPr>
        <w:t> </w:t>
      </w:r>
      <w:r>
        <w:rPr/>
        <w:t>Review</w:t>
      </w:r>
    </w:p>
    <w:p>
      <w:pPr>
        <w:pStyle w:val="ListParagraph"/>
        <w:numPr>
          <w:ilvl w:val="2"/>
          <w:numId w:val="11"/>
        </w:numPr>
        <w:tabs>
          <w:tab w:pos="881" w:val="left" w:leader="none"/>
        </w:tabs>
        <w:spacing w:line="240" w:lineRule="auto" w:before="134" w:after="0"/>
        <w:ind w:left="880" w:right="0" w:hanging="721"/>
        <w:jc w:val="both"/>
        <w:rPr>
          <w:i/>
          <w:sz w:val="24"/>
        </w:rPr>
      </w:pPr>
      <w:r>
        <w:rPr>
          <w:i/>
          <w:sz w:val="24"/>
        </w:rPr>
        <w:t>Income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Inequality</w:t>
      </w:r>
    </w:p>
    <w:p>
      <w:pPr>
        <w:pStyle w:val="BodyText"/>
        <w:spacing w:line="360" w:lineRule="auto" w:before="137"/>
        <w:ind w:left="160" w:right="158"/>
        <w:jc w:val="both"/>
      </w:pPr>
      <w:r>
        <w:rPr>
          <w:spacing w:val="-1"/>
        </w:rPr>
        <w:t>Income</w:t>
      </w:r>
      <w:r>
        <w:rPr>
          <w:spacing w:val="-15"/>
        </w:rPr>
        <w:t> </w:t>
      </w:r>
      <w:r>
        <w:rPr>
          <w:spacing w:val="-1"/>
        </w:rPr>
        <w:t>inequality</w:t>
      </w:r>
      <w:r>
        <w:rPr>
          <w:spacing w:val="-20"/>
        </w:rPr>
        <w:t> </w:t>
      </w:r>
      <w:r>
        <w:rPr/>
        <w:t>simply</w:t>
      </w:r>
      <w:r>
        <w:rPr>
          <w:spacing w:val="-16"/>
        </w:rPr>
        <w:t> </w:t>
      </w:r>
      <w:r>
        <w:rPr/>
        <w:t>means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disparity</w:t>
      </w:r>
      <w:r>
        <w:rPr>
          <w:spacing w:val="-20"/>
        </w:rPr>
        <w:t> </w:t>
      </w:r>
      <w:r>
        <w:rPr/>
        <w:t>or</w:t>
      </w:r>
      <w:r>
        <w:rPr>
          <w:spacing w:val="-13"/>
        </w:rPr>
        <w:t> </w:t>
      </w:r>
      <w:r>
        <w:rPr/>
        <w:t>gap</w:t>
      </w:r>
      <w:r>
        <w:rPr>
          <w:spacing w:val="-14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rich</w:t>
      </w:r>
      <w:r>
        <w:rPr>
          <w:spacing w:val="-11"/>
        </w:rPr>
        <w:t> </w:t>
      </w:r>
      <w:r>
        <w:rPr/>
        <w:t>and</w:t>
      </w:r>
      <w:r>
        <w:rPr>
          <w:spacing w:val="-15"/>
        </w:rPr>
        <w:t> </w:t>
      </w:r>
      <w:r>
        <w:rPr/>
        <w:t>poor</w:t>
      </w:r>
      <w:r>
        <w:rPr>
          <w:spacing w:val="-12"/>
        </w:rPr>
        <w:t> </w:t>
      </w:r>
      <w:r>
        <w:rPr/>
        <w:t>citizens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an</w:t>
      </w:r>
      <w:r>
        <w:rPr>
          <w:spacing w:val="-15"/>
        </w:rPr>
        <w:t> </w:t>
      </w:r>
      <w:r>
        <w:rPr/>
        <w:t>economy,</w:t>
      </w:r>
      <w:r>
        <w:rPr>
          <w:spacing w:val="-58"/>
        </w:rPr>
        <w:t> </w:t>
      </w:r>
      <w:r>
        <w:rPr/>
        <w:t>society or nation (Wilkinson and Pickett, 2006). It resembles a </w:t>
      </w:r>
      <w:r>
        <w:rPr>
          <w:i/>
        </w:rPr>
        <w:t>champagne glass </w:t>
      </w:r>
      <w:r>
        <w:rPr/>
        <w:t>in which a large</w:t>
      </w:r>
      <w:r>
        <w:rPr>
          <w:spacing w:val="-57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income trickles down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top to</w:t>
      </w:r>
      <w:r>
        <w:rPr>
          <w:spacing w:val="2"/>
        </w:rPr>
        <w:t> </w:t>
      </w:r>
      <w:r>
        <w:rPr/>
        <w:t>bottom (Ortiz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Cammins, 2011).</w:t>
      </w:r>
    </w:p>
    <w:p>
      <w:pPr>
        <w:pStyle w:val="BodyText"/>
        <w:spacing w:line="360" w:lineRule="auto" w:before="184"/>
        <w:ind w:left="160" w:right="153"/>
        <w:jc w:val="both"/>
      </w:pPr>
      <w:r>
        <w:rPr/>
        <w:t>The concept of income inequality is often used by economists to describe a situation in a society</w:t>
      </w:r>
      <w:r>
        <w:rPr>
          <w:spacing w:val="1"/>
        </w:rPr>
        <w:t> </w:t>
      </w:r>
      <w:r>
        <w:rPr/>
        <w:t>or country where there is absence of equality (and fairness) in the distribution of economic and</w:t>
      </w:r>
      <w:r>
        <w:rPr>
          <w:spacing w:val="1"/>
        </w:rPr>
        <w:t> </w:t>
      </w:r>
      <w:r>
        <w:rPr/>
        <w:t>non-economic well-being indicators (Isah, 2011:43). However, Sutter (2013) explains income</w:t>
      </w:r>
      <w:r>
        <w:rPr>
          <w:spacing w:val="1"/>
        </w:rPr>
        <w:t> </w:t>
      </w:r>
      <w:r>
        <w:rPr/>
        <w:t>inequality</w:t>
      </w:r>
      <w:r>
        <w:rPr>
          <w:spacing w:val="-17"/>
        </w:rPr>
        <w:t> </w:t>
      </w:r>
      <w:r>
        <w:rPr/>
        <w:t>as</w:t>
      </w:r>
      <w:r>
        <w:rPr>
          <w:spacing w:val="-12"/>
        </w:rPr>
        <w:t> </w:t>
      </w:r>
      <w:r>
        <w:rPr/>
        <w:t>how</w:t>
      </w:r>
      <w:r>
        <w:rPr>
          <w:spacing w:val="-13"/>
        </w:rPr>
        <w:t> </w:t>
      </w:r>
      <w:r>
        <w:rPr/>
        <w:t>evenly</w:t>
      </w:r>
      <w:r>
        <w:rPr>
          <w:spacing w:val="-15"/>
        </w:rPr>
        <w:t> </w:t>
      </w:r>
      <w:r>
        <w:rPr/>
        <w:t>or</w:t>
      </w:r>
      <w:r>
        <w:rPr>
          <w:spacing w:val="-13"/>
        </w:rPr>
        <w:t> </w:t>
      </w:r>
      <w:r>
        <w:rPr/>
        <w:t>unevenly</w:t>
      </w:r>
      <w:r>
        <w:rPr>
          <w:spacing w:val="-20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distributed</w:t>
      </w:r>
      <w:r>
        <w:rPr>
          <w:spacing w:val="-12"/>
        </w:rPr>
        <w:t> </w:t>
      </w:r>
      <w:r>
        <w:rPr/>
        <w:t>among</w:t>
      </w:r>
      <w:r>
        <w:rPr>
          <w:spacing w:val="-14"/>
        </w:rPr>
        <w:t> </w:t>
      </w:r>
      <w:r>
        <w:rPr/>
        <w:t>individuals,</w:t>
      </w:r>
      <w:r>
        <w:rPr>
          <w:spacing w:val="-12"/>
        </w:rPr>
        <w:t> </w:t>
      </w:r>
      <w:r>
        <w:rPr/>
        <w:t>societies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nations.</w:t>
      </w:r>
      <w:r>
        <w:rPr>
          <w:spacing w:val="-57"/>
        </w:rPr>
        <w:t> </w:t>
      </w:r>
      <w:r>
        <w:rPr/>
        <w:t>Afonso, LaFleur and Alarcon (2015) further conceptualized income inequality as the state of not</w:t>
      </w:r>
      <w:r>
        <w:rPr>
          <w:spacing w:val="1"/>
        </w:rPr>
        <w:t> </w:t>
      </w:r>
      <w:r>
        <w:rPr/>
        <w:t>being equal, especially in status, rights and economic opportunities. The Institute for Policy</w:t>
      </w:r>
      <w:r>
        <w:rPr>
          <w:spacing w:val="1"/>
        </w:rPr>
        <w:t> </w:t>
      </w:r>
      <w:r>
        <w:rPr/>
        <w:t>Studies</w:t>
      </w:r>
      <w:r>
        <w:rPr>
          <w:spacing w:val="-8"/>
        </w:rPr>
        <w:t> </w:t>
      </w:r>
      <w:r>
        <w:rPr/>
        <w:t>(2018)</w:t>
      </w:r>
      <w:r>
        <w:rPr>
          <w:spacing w:val="-8"/>
        </w:rPr>
        <w:t> </w:t>
      </w:r>
      <w:r>
        <w:rPr/>
        <w:t>explains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extent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income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distributed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an</w:t>
      </w:r>
      <w:r>
        <w:rPr>
          <w:spacing w:val="-4"/>
        </w:rPr>
        <w:t> </w:t>
      </w:r>
      <w:r>
        <w:rPr/>
        <w:t>uneven</w:t>
      </w:r>
      <w:r>
        <w:rPr>
          <w:spacing w:val="-8"/>
        </w:rPr>
        <w:t> </w:t>
      </w:r>
      <w:r>
        <w:rPr/>
        <w:t>manner</w:t>
      </w:r>
      <w:r>
        <w:rPr>
          <w:spacing w:val="-6"/>
        </w:rPr>
        <w:t> </w:t>
      </w:r>
      <w:r>
        <w:rPr/>
        <w:t>among</w:t>
      </w:r>
      <w:r>
        <w:rPr>
          <w:spacing w:val="-58"/>
        </w:rPr>
        <w:t> </w:t>
      </w:r>
      <w:r>
        <w:rPr/>
        <w:t>a population. The concept is also regarded as how material resources are distributed in a society,</w:t>
      </w:r>
      <w:r>
        <w:rPr>
          <w:spacing w:val="1"/>
        </w:rPr>
        <w:t> </w:t>
      </w:r>
      <w:r>
        <w:rPr>
          <w:spacing w:val="-1"/>
        </w:rPr>
        <w:t>state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nation</w:t>
      </w:r>
      <w:r>
        <w:rPr>
          <w:spacing w:val="-13"/>
        </w:rPr>
        <w:t> </w:t>
      </w:r>
      <w:r>
        <w:rPr/>
        <w:t>(Organization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Economic</w:t>
      </w:r>
      <w:r>
        <w:rPr>
          <w:spacing w:val="-13"/>
        </w:rPr>
        <w:t> </w:t>
      </w:r>
      <w:r>
        <w:rPr/>
        <w:t>Cooperation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Development</w:t>
      </w:r>
      <w:r>
        <w:rPr>
          <w:spacing w:val="-9"/>
        </w:rPr>
        <w:t> </w:t>
      </w:r>
      <w:r>
        <w:rPr/>
        <w:t>–</w:t>
      </w:r>
      <w:r>
        <w:rPr>
          <w:spacing w:val="-11"/>
        </w:rPr>
        <w:t> </w:t>
      </w:r>
      <w:r>
        <w:rPr/>
        <w:t>OECD,</w:t>
      </w:r>
      <w:r>
        <w:rPr>
          <w:spacing w:val="-14"/>
        </w:rPr>
        <w:t> </w:t>
      </w:r>
      <w:r>
        <w:rPr/>
        <w:t>2018;</w:t>
      </w:r>
      <w:r>
        <w:rPr>
          <w:spacing w:val="-12"/>
        </w:rPr>
        <w:t> </w:t>
      </w:r>
      <w:r>
        <w:rPr/>
        <w:t>Deprez,</w:t>
      </w:r>
      <w:r>
        <w:rPr>
          <w:spacing w:val="-58"/>
        </w:rPr>
        <w:t> </w:t>
      </w:r>
      <w:r>
        <w:rPr/>
        <w:t>2018).</w:t>
      </w:r>
    </w:p>
    <w:p>
      <w:pPr>
        <w:pStyle w:val="BodyText"/>
        <w:spacing w:line="360" w:lineRule="auto" w:before="186"/>
        <w:ind w:left="160" w:right="157"/>
        <w:jc w:val="both"/>
      </w:pPr>
      <w:r>
        <w:rPr/>
        <w:t>These</w:t>
      </w:r>
      <w:r>
        <w:rPr>
          <w:spacing w:val="1"/>
        </w:rPr>
        <w:t> </w:t>
      </w:r>
      <w:r>
        <w:rPr/>
        <w:t>conceptualizations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underpin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converging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income</w:t>
      </w:r>
      <w:r>
        <w:rPr>
          <w:spacing w:val="-57"/>
        </w:rPr>
        <w:t> </w:t>
      </w:r>
      <w:r>
        <w:rPr/>
        <w:t>inequality, as the difference between the income of the rich and the poor citizens in a given</w:t>
      </w:r>
      <w:r>
        <w:rPr>
          <w:spacing w:val="1"/>
        </w:rPr>
        <w:t> </w:t>
      </w:r>
      <w:r>
        <w:rPr/>
        <w:t>economy. In general terms, income inequality is the gap between rich and poor and unequal</w:t>
      </w:r>
      <w:r>
        <w:rPr>
          <w:spacing w:val="1"/>
        </w:rPr>
        <w:t> </w:t>
      </w:r>
      <w:r>
        <w:rPr/>
        <w:t>distribution of wealth in any economies. It is also a broader concept than poverty in that it is</w:t>
      </w:r>
      <w:r>
        <w:rPr>
          <w:spacing w:val="1"/>
        </w:rPr>
        <w:t> </w:t>
      </w:r>
      <w:r>
        <w:rPr/>
        <w:t>defined</w:t>
      </w:r>
      <w:r>
        <w:rPr>
          <w:spacing w:val="-13"/>
        </w:rPr>
        <w:t> </w:t>
      </w:r>
      <w:r>
        <w:rPr/>
        <w:t>over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entire</w:t>
      </w:r>
      <w:r>
        <w:rPr>
          <w:spacing w:val="-13"/>
        </w:rPr>
        <w:t> </w:t>
      </w:r>
      <w:r>
        <w:rPr/>
        <w:t>population,</w:t>
      </w:r>
      <w:r>
        <w:rPr>
          <w:spacing w:val="-12"/>
        </w:rPr>
        <w:t> </w:t>
      </w:r>
      <w:r>
        <w:rPr/>
        <w:t>not</w:t>
      </w:r>
      <w:r>
        <w:rPr>
          <w:spacing w:val="-13"/>
        </w:rPr>
        <w:t> </w:t>
      </w:r>
      <w:r>
        <w:rPr/>
        <w:t>just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portion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population</w:t>
      </w:r>
      <w:r>
        <w:rPr>
          <w:spacing w:val="-12"/>
        </w:rPr>
        <w:t> </w:t>
      </w:r>
      <w:r>
        <w:rPr/>
        <w:t>below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certain</w:t>
      </w:r>
      <w:r>
        <w:rPr>
          <w:spacing w:val="-13"/>
        </w:rPr>
        <w:t> </w:t>
      </w:r>
      <w:r>
        <w:rPr/>
        <w:t>quintile</w:t>
      </w:r>
      <w:r>
        <w:rPr>
          <w:spacing w:val="-57"/>
        </w:rPr>
        <w:t> </w:t>
      </w:r>
      <w:r>
        <w:rPr/>
        <w:t>(World</w:t>
      </w:r>
      <w:r>
        <w:rPr>
          <w:spacing w:val="-1"/>
        </w:rPr>
        <w:t> </w:t>
      </w:r>
      <w:r>
        <w:rPr/>
        <w:t>Bank, 2004; Tan</w:t>
      </w:r>
      <w:r>
        <w:rPr>
          <w:spacing w:val="3"/>
        </w:rPr>
        <w:t> </w:t>
      </w:r>
      <w:r>
        <w:rPr>
          <w:i/>
        </w:rPr>
        <w:t>et al., </w:t>
      </w:r>
      <w:r>
        <w:rPr/>
        <w:t>2018).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280" w:left="1280" w:right="1280"/>
        </w:sectPr>
      </w:pPr>
    </w:p>
    <w:p>
      <w:pPr>
        <w:pStyle w:val="BodyText"/>
        <w:spacing w:line="360" w:lineRule="auto" w:before="74"/>
        <w:ind w:left="160" w:right="153"/>
        <w:jc w:val="both"/>
      </w:pPr>
      <w:r>
        <w:rPr/>
        <w:t>Wilkinson and Pickett (2006) suggest that most people consider increasing income inequality as</w:t>
      </w:r>
      <w:r>
        <w:rPr>
          <w:spacing w:val="1"/>
        </w:rPr>
        <w:t> </w:t>
      </w:r>
      <w:r>
        <w:rPr/>
        <w:t>morally undesirable and bad for instrumental reasons – causing conflict, limiting co-operation or</w:t>
      </w:r>
      <w:r>
        <w:rPr>
          <w:spacing w:val="1"/>
        </w:rPr>
        <w:t> </w:t>
      </w:r>
      <w:r>
        <w:rPr/>
        <w:t>creating psychological and health stresses. This is because, income inequality often raises the</w:t>
      </w:r>
      <w:r>
        <w:rPr>
          <w:spacing w:val="1"/>
        </w:rPr>
        <w:t> </w:t>
      </w:r>
      <w:r>
        <w:rPr/>
        <w:t>purchasing power disparities among citizens (Brockway </w:t>
      </w:r>
      <w:r>
        <w:rPr>
          <w:i/>
        </w:rPr>
        <w:t>et al. </w:t>
      </w:r>
      <w:r>
        <w:rPr/>
        <w:t>2014). Similarly, income disparity</w:t>
      </w:r>
      <w:r>
        <w:rPr>
          <w:spacing w:val="1"/>
        </w:rPr>
        <w:t> </w:t>
      </w:r>
      <w:r>
        <w:rPr/>
        <w:t>influence housing condition, clothing and other factors that affect health outcomes (Benzeval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2014; Liu, 2017). This implies that there will be fewer economic resources among the poorest</w:t>
      </w:r>
      <w:r>
        <w:rPr>
          <w:spacing w:val="-57"/>
        </w:rPr>
        <w:t> </w:t>
      </w:r>
      <w:r>
        <w:rPr/>
        <w:t>individuals, resulting in lessened ability to avoid risks, cure injury or diseases, and/or prevent</w:t>
      </w:r>
      <w:r>
        <w:rPr>
          <w:spacing w:val="1"/>
        </w:rPr>
        <w:t> </w:t>
      </w:r>
      <w:r>
        <w:rPr/>
        <w:t>illness</w:t>
      </w:r>
      <w:r>
        <w:rPr>
          <w:spacing w:val="-1"/>
        </w:rPr>
        <w:t> </w:t>
      </w:r>
      <w:r>
        <w:rPr/>
        <w:t>(Macinko </w:t>
      </w:r>
      <w:r>
        <w:rPr>
          <w:i/>
        </w:rPr>
        <w:t>et al. </w:t>
      </w:r>
      <w:r>
        <w:rPr/>
        <w:t>2003).</w:t>
      </w:r>
    </w:p>
    <w:p>
      <w:pPr>
        <w:pStyle w:val="BodyText"/>
        <w:spacing w:line="360" w:lineRule="auto" w:before="117"/>
        <w:ind w:left="160" w:right="156"/>
        <w:jc w:val="both"/>
      </w:pPr>
      <w:r>
        <w:rPr/>
        <w:t>The</w:t>
      </w:r>
      <w:r>
        <w:rPr>
          <w:spacing w:val="-5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income</w:t>
      </w:r>
      <w:r>
        <w:rPr>
          <w:spacing w:val="-4"/>
        </w:rPr>
        <w:t> </w:t>
      </w:r>
      <w:r>
        <w:rPr/>
        <w:t>inequality</w:t>
      </w:r>
      <w:r>
        <w:rPr>
          <w:spacing w:val="-8"/>
        </w:rPr>
        <w:t> </w:t>
      </w:r>
      <w:r>
        <w:rPr/>
        <w:t>in the global</w:t>
      </w:r>
      <w:r>
        <w:rPr>
          <w:spacing w:val="-2"/>
        </w:rPr>
        <w:t> </w:t>
      </w:r>
      <w:r>
        <w:rPr/>
        <w:t>economy</w:t>
      </w:r>
      <w:r>
        <w:rPr>
          <w:spacing w:val="-8"/>
        </w:rPr>
        <w:t> </w:t>
      </w:r>
      <w:r>
        <w:rPr/>
        <w:t>is among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2"/>
        </w:rPr>
        <w:t> </w:t>
      </w:r>
      <w:r>
        <w:rPr/>
        <w:t>pressing,</w:t>
      </w:r>
      <w:r>
        <w:rPr>
          <w:spacing w:val="-1"/>
        </w:rPr>
        <w:t> </w:t>
      </w:r>
      <w:r>
        <w:rPr/>
        <w:t>disturbing,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challenging issues. This often result to social tension and conflicts (Kakwani and Hyun, 2015). It</w:t>
      </w:r>
      <w:r>
        <w:rPr>
          <w:spacing w:val="-57"/>
        </w:rPr>
        <w:t> </w:t>
      </w:r>
      <w:r>
        <w:rPr/>
        <w:t>also</w:t>
      </w:r>
      <w:r>
        <w:rPr>
          <w:spacing w:val="-7"/>
        </w:rPr>
        <w:t> </w:t>
      </w:r>
      <w:r>
        <w:rPr/>
        <w:t>raises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problems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affects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well-being,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ability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borrow</w:t>
      </w:r>
      <w:r>
        <w:rPr>
          <w:spacing w:val="-7"/>
        </w:rPr>
        <w:t> </w:t>
      </w:r>
      <w:r>
        <w:rPr/>
        <w:t>(Thompson,</w:t>
      </w:r>
      <w:r>
        <w:rPr>
          <w:spacing w:val="-6"/>
        </w:rPr>
        <w:t> </w:t>
      </w:r>
      <w:r>
        <w:rPr/>
        <w:t>2016).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line with Barro (2008), Kakwani and Hyun (2015) and Thompson (2016) income inequality</w:t>
      </w:r>
      <w:r>
        <w:rPr>
          <w:spacing w:val="1"/>
        </w:rPr>
        <w:t> </w:t>
      </w:r>
      <w:r>
        <w:rPr/>
        <w:t>concerns credit-market imperfections, social unrest and low saving rates. They also corroborate</w:t>
      </w:r>
      <w:r>
        <w:rPr>
          <w:spacing w:val="1"/>
        </w:rPr>
        <w:t> </w:t>
      </w:r>
      <w:r>
        <w:rPr/>
        <w:t>that low-income citizens often face imperfect credit market </w:t>
      </w:r>
      <w:r>
        <w:rPr>
          <w:sz w:val="22"/>
        </w:rPr>
        <w:t>and </w:t>
      </w:r>
      <w:r>
        <w:rPr/>
        <w:t>lack collateral to start or expand</w:t>
      </w:r>
      <w:r>
        <w:rPr>
          <w:spacing w:val="1"/>
        </w:rPr>
        <w:t> </w:t>
      </w:r>
      <w:r>
        <w:rPr/>
        <w:t>business. This suggest that the low-level of income could prevent people from seizing investment</w:t>
      </w:r>
      <w:r>
        <w:rPr>
          <w:spacing w:val="-57"/>
        </w:rPr>
        <w:t> </w:t>
      </w:r>
      <w:r>
        <w:rPr/>
        <w:t>opportunities that would benefit themselves, their children and households. Barro (2008) further</w:t>
      </w:r>
      <w:r>
        <w:rPr>
          <w:spacing w:val="1"/>
        </w:rPr>
        <w:t> </w:t>
      </w:r>
      <w:r>
        <w:rPr/>
        <w:t>demonstrate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low-income</w:t>
      </w:r>
      <w:r>
        <w:rPr>
          <w:spacing w:val="-9"/>
        </w:rPr>
        <w:t> </w:t>
      </w:r>
      <w:r>
        <w:rPr/>
        <w:t>households</w:t>
      </w:r>
      <w:r>
        <w:rPr>
          <w:spacing w:val="-7"/>
        </w:rPr>
        <w:t> </w:t>
      </w:r>
      <w:r>
        <w:rPr/>
        <w:t>might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able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offer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/>
        <w:t>children</w:t>
      </w:r>
      <w:r>
        <w:rPr>
          <w:spacing w:val="-9"/>
        </w:rPr>
        <w:t> </w:t>
      </w:r>
      <w:r>
        <w:rPr/>
        <w:t>healthy</w:t>
      </w:r>
      <w:r>
        <w:rPr>
          <w:spacing w:val="-13"/>
        </w:rPr>
        <w:t> </w:t>
      </w:r>
      <w:r>
        <w:rPr/>
        <w:t>food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cannot</w:t>
      </w:r>
      <w:r>
        <w:rPr>
          <w:spacing w:val="-1"/>
        </w:rPr>
        <w:t> </w:t>
      </w:r>
      <w:r>
        <w:rPr/>
        <w:t>afford health insurance.</w:t>
      </w:r>
    </w:p>
    <w:p>
      <w:pPr>
        <w:pStyle w:val="BodyText"/>
        <w:spacing w:line="360" w:lineRule="auto" w:before="115"/>
        <w:ind w:left="160" w:right="155"/>
        <w:jc w:val="both"/>
      </w:pPr>
      <w:r>
        <w:rPr/>
        <w:t>In addition, with high income disparities among households, the overall savings rate becomes</w:t>
      </w:r>
      <w:r>
        <w:rPr>
          <w:spacing w:val="1"/>
        </w:rPr>
        <w:t> </w:t>
      </w:r>
      <w:r>
        <w:rPr/>
        <w:t>lower. This is because higher rate of marginal saving is usually found among the </w:t>
      </w:r>
      <w:r>
        <w:rPr>
          <w:i/>
        </w:rPr>
        <w:t>middle-income</w:t>
      </w:r>
      <w:r>
        <w:rPr>
          <w:i/>
          <w:spacing w:val="1"/>
        </w:rPr>
        <w:t> </w:t>
      </w:r>
      <w:r>
        <w:rPr>
          <w:i/>
        </w:rPr>
        <w:t>class </w:t>
      </w:r>
      <w:r>
        <w:rPr/>
        <w:t>as high-income earners spend much of their income on imported luxury goods (Bricker and</w:t>
      </w:r>
      <w:r>
        <w:rPr>
          <w:spacing w:val="-57"/>
        </w:rPr>
        <w:t> </w:t>
      </w:r>
      <w:r>
        <w:rPr/>
        <w:t>Krimmel, 2014). Income inequality also associates with lack of income mobility and a reflection</w:t>
      </w:r>
      <w:r>
        <w:rPr>
          <w:spacing w:val="1"/>
        </w:rPr>
        <w:t> </w:t>
      </w:r>
      <w:r>
        <w:rPr/>
        <w:t>of persistent disadvantage of poorer households (Dabla-Norris </w:t>
      </w:r>
      <w:r>
        <w:rPr>
          <w:i/>
        </w:rPr>
        <w:t>et al., </w:t>
      </w:r>
      <w:r>
        <w:rPr/>
        <w:t>2015). This is because high</w:t>
      </w:r>
      <w:r>
        <w:rPr>
          <w:spacing w:val="1"/>
        </w:rPr>
        <w:t> </w:t>
      </w:r>
      <w:r>
        <w:rPr/>
        <w:t>income disparities could deprive the ability of lower-income households to stay healthy and</w:t>
      </w:r>
      <w:r>
        <w:rPr>
          <w:spacing w:val="1"/>
        </w:rPr>
        <w:t> </w:t>
      </w:r>
      <w:r>
        <w:rPr/>
        <w:t>accumulate human capital needed for better economic growth (Galor and Moav, 2004). For</w:t>
      </w:r>
      <w:r>
        <w:rPr>
          <w:spacing w:val="1"/>
        </w:rPr>
        <w:t> </w:t>
      </w:r>
      <w:r>
        <w:rPr/>
        <w:t>instance, income inequality might lead to under-investment even in education. As children of the</w:t>
      </w:r>
      <w:r>
        <w:rPr>
          <w:spacing w:val="1"/>
        </w:rPr>
        <w:t> </w:t>
      </w:r>
      <w:r>
        <w:rPr>
          <w:spacing w:val="-1"/>
        </w:rPr>
        <w:t>low-income</w:t>
      </w:r>
      <w:r>
        <w:rPr>
          <w:spacing w:val="-16"/>
        </w:rPr>
        <w:t> </w:t>
      </w:r>
      <w:r>
        <w:rPr/>
        <w:t>households</w:t>
      </w:r>
      <w:r>
        <w:rPr>
          <w:spacing w:val="-12"/>
        </w:rPr>
        <w:t> </w:t>
      </w:r>
      <w:r>
        <w:rPr/>
        <w:t>might</w:t>
      </w:r>
      <w:r>
        <w:rPr>
          <w:spacing w:val="-13"/>
        </w:rPr>
        <w:t> </w:t>
      </w:r>
      <w:r>
        <w:rPr/>
        <w:t>end</w:t>
      </w:r>
      <w:r>
        <w:rPr>
          <w:spacing w:val="-15"/>
        </w:rPr>
        <w:t> </w:t>
      </w:r>
      <w:r>
        <w:rPr/>
        <w:t>up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lower-quality</w:t>
      </w:r>
      <w:r>
        <w:rPr>
          <w:spacing w:val="-20"/>
        </w:rPr>
        <w:t> </w:t>
      </w:r>
      <w:r>
        <w:rPr/>
        <w:t>schools,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are</w:t>
      </w:r>
      <w:r>
        <w:rPr>
          <w:spacing w:val="-16"/>
        </w:rPr>
        <w:t> </w:t>
      </w:r>
      <w:r>
        <w:rPr/>
        <w:t>unable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move</w:t>
      </w:r>
      <w:r>
        <w:rPr>
          <w:spacing w:val="-15"/>
        </w:rPr>
        <w:t> </w:t>
      </w:r>
      <w:r>
        <w:rPr/>
        <w:t>on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higher</w:t>
      </w:r>
      <w:r>
        <w:rPr>
          <w:spacing w:val="-57"/>
        </w:rPr>
        <w:t> </w:t>
      </w:r>
      <w:r>
        <w:rPr/>
        <w:t>institutions,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circle of</w:t>
      </w:r>
      <w:r>
        <w:rPr>
          <w:spacing w:val="-2"/>
        </w:rPr>
        <w:t> </w:t>
      </w:r>
      <w:r>
        <w:rPr/>
        <w:t>lower welfare and</w:t>
      </w:r>
      <w:r>
        <w:rPr>
          <w:spacing w:val="-1"/>
        </w:rPr>
        <w:t> </w:t>
      </w:r>
      <w:r>
        <w:rPr/>
        <w:t>poor health status</w:t>
      </w:r>
      <w:r>
        <w:rPr>
          <w:spacing w:val="-1"/>
        </w:rPr>
        <w:t> </w:t>
      </w:r>
      <w:r>
        <w:rPr/>
        <w:t>(Wilkinson, 2010).</w:t>
      </w:r>
    </w:p>
    <w:p>
      <w:pPr>
        <w:pStyle w:val="BodyText"/>
        <w:spacing w:line="360" w:lineRule="auto" w:before="114"/>
        <w:ind w:left="160" w:right="163"/>
        <w:jc w:val="both"/>
      </w:pPr>
      <w:r>
        <w:rPr/>
        <w:t>The question of effects of income inequality has since dominated economic researches. This is</w:t>
      </w:r>
      <w:r>
        <w:rPr>
          <w:spacing w:val="1"/>
        </w:rPr>
        <w:t> </w:t>
      </w:r>
      <w:r>
        <w:rPr/>
        <w:t>because</w:t>
      </w:r>
      <w:r>
        <w:rPr>
          <w:spacing w:val="-5"/>
        </w:rPr>
        <w:t> </w:t>
      </w:r>
      <w:r>
        <w:rPr/>
        <w:t>individuals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stressing</w:t>
      </w:r>
      <w:r>
        <w:rPr>
          <w:spacing w:val="-9"/>
        </w:rPr>
        <w:t> </w:t>
      </w:r>
      <w:r>
        <w:rPr/>
        <w:t>or</w:t>
      </w:r>
      <w:r>
        <w:rPr>
          <w:spacing w:val="-4"/>
        </w:rPr>
        <w:t> </w:t>
      </w:r>
      <w:r>
        <w:rPr/>
        <w:t>struggling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maintain</w:t>
      </w:r>
      <w:r>
        <w:rPr>
          <w:spacing w:val="-6"/>
        </w:rPr>
        <w:t> </w:t>
      </w:r>
      <w:r>
        <w:rPr/>
        <w:t>(or</w:t>
      </w:r>
      <w:r>
        <w:rPr>
          <w:spacing w:val="-6"/>
        </w:rPr>
        <w:t> </w:t>
      </w:r>
      <w:r>
        <w:rPr/>
        <w:t>improve)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/>
        <w:t>welfare</w:t>
      </w:r>
      <w:r>
        <w:rPr>
          <w:spacing w:val="-5"/>
        </w:rPr>
        <w:t> </w:t>
      </w:r>
      <w:r>
        <w:rPr/>
        <w:t>status</w:t>
      </w:r>
      <w:r>
        <w:rPr>
          <w:spacing w:val="-6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6"/>
        <w:jc w:val="both"/>
      </w:pPr>
      <w:r>
        <w:rPr/>
        <w:t>the social hierarchy in nations with wide gaps between the rich and poor, will often experience</w:t>
      </w:r>
      <w:r>
        <w:rPr>
          <w:spacing w:val="1"/>
        </w:rPr>
        <w:t> </w:t>
      </w:r>
      <w:r>
        <w:rPr/>
        <w:t>increased numbers of ill-health (Black, 2010; Liu, 2017; Hill </w:t>
      </w:r>
      <w:r>
        <w:rPr>
          <w:i/>
        </w:rPr>
        <w:t>et al. </w:t>
      </w:r>
      <w:r>
        <w:rPr/>
        <w:t>2019). This perhaps suggests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possibility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child and</w:t>
      </w:r>
      <w:r>
        <w:rPr>
          <w:spacing w:val="-1"/>
        </w:rPr>
        <w:t> </w:t>
      </w:r>
      <w:r>
        <w:rPr/>
        <w:t>mother</w:t>
      </w:r>
      <w:r>
        <w:rPr>
          <w:spacing w:val="-1"/>
        </w:rPr>
        <w:t> </w:t>
      </w:r>
      <w:r>
        <w:rPr/>
        <w:t>deaths,</w:t>
      </w:r>
      <w:r>
        <w:rPr>
          <w:spacing w:val="-1"/>
        </w:rPr>
        <w:t> </w:t>
      </w:r>
      <w:r>
        <w:rPr/>
        <w:t>because the</w:t>
      </w:r>
      <w:r>
        <w:rPr>
          <w:spacing w:val="-1"/>
        </w:rPr>
        <w:t> </w:t>
      </w:r>
      <w:r>
        <w:rPr/>
        <w:t>stress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acquire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income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pregnant</w:t>
      </w:r>
      <w:r>
        <w:rPr>
          <w:spacing w:val="-58"/>
        </w:rPr>
        <w:t> </w:t>
      </w:r>
      <w:r>
        <w:rPr/>
        <w:t>women are</w:t>
      </w:r>
      <w:r>
        <w:rPr>
          <w:spacing w:val="1"/>
        </w:rPr>
        <w:t> </w:t>
      </w:r>
      <w:r>
        <w:rPr/>
        <w:t>attributed to</w:t>
      </w:r>
      <w:r>
        <w:rPr>
          <w:spacing w:val="1"/>
        </w:rPr>
        <w:t> </w:t>
      </w:r>
      <w:r>
        <w:rPr/>
        <w:t>pre-term births</w:t>
      </w:r>
      <w:r>
        <w:rPr>
          <w:spacing w:val="1"/>
        </w:rPr>
        <w:t> </w:t>
      </w:r>
      <w:r>
        <w:rPr/>
        <w:t>and short gestational length</w:t>
      </w:r>
      <w:r>
        <w:rPr>
          <w:spacing w:val="1"/>
        </w:rPr>
        <w:t> </w:t>
      </w:r>
      <w:r>
        <w:rPr/>
        <w:t>and possibility of low</w:t>
      </w:r>
      <w:r>
        <w:rPr>
          <w:spacing w:val="1"/>
        </w:rPr>
        <w:t> </w:t>
      </w:r>
      <w:r>
        <w:rPr/>
        <w:t>longevity</w:t>
      </w:r>
      <w:r>
        <w:rPr>
          <w:spacing w:val="-8"/>
        </w:rPr>
        <w:t> </w:t>
      </w:r>
      <w:r>
        <w:rPr/>
        <w:t>(Klabber,</w:t>
      </w:r>
      <w:r>
        <w:rPr>
          <w:spacing w:val="-1"/>
        </w:rPr>
        <w:t> </w:t>
      </w:r>
      <w:r>
        <w:rPr/>
        <w:t>2009).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relates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longer</w:t>
      </w:r>
      <w:r>
        <w:rPr>
          <w:spacing w:val="-4"/>
        </w:rPr>
        <w:t> </w:t>
      </w:r>
      <w:r>
        <w:rPr/>
        <w:t>work</w:t>
      </w:r>
      <w:r>
        <w:rPr>
          <w:spacing w:val="-4"/>
        </w:rPr>
        <w:t> </w:t>
      </w:r>
      <w:r>
        <w:rPr/>
        <w:t>hours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possibility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low</w:t>
      </w:r>
      <w:r>
        <w:rPr>
          <w:spacing w:val="-57"/>
        </w:rPr>
        <w:t> </w:t>
      </w:r>
      <w:r>
        <w:rPr/>
        <w:t>social life; by implication, citizens might be forced to spend longer time working than raising or</w:t>
      </w:r>
      <w:r>
        <w:rPr>
          <w:spacing w:val="1"/>
        </w:rPr>
        <w:t> </w:t>
      </w:r>
      <w:r>
        <w:rPr/>
        <w:t>caring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offspring</w:t>
      </w:r>
      <w:r>
        <w:rPr>
          <w:spacing w:val="-1"/>
        </w:rPr>
        <w:t> </w:t>
      </w:r>
      <w:r>
        <w:rPr/>
        <w:t>and their</w:t>
      </w:r>
      <w:r>
        <w:rPr>
          <w:spacing w:val="-1"/>
        </w:rPr>
        <w:t> </w:t>
      </w:r>
      <w:r>
        <w:rPr/>
        <w:t>welfare (Lynch</w:t>
      </w:r>
      <w:r>
        <w:rPr>
          <w:spacing w:val="2"/>
        </w:rPr>
        <w:t> </w:t>
      </w:r>
      <w:r>
        <w:rPr>
          <w:i/>
        </w:rPr>
        <w:t>et al.</w:t>
      </w:r>
      <w:r>
        <w:rPr>
          <w:i/>
          <w:spacing w:val="2"/>
        </w:rPr>
        <w:t> </w:t>
      </w:r>
      <w:r>
        <w:rPr/>
        <w:t>2010).</w:t>
      </w:r>
    </w:p>
    <w:p>
      <w:pPr>
        <w:pStyle w:val="BodyText"/>
        <w:spacing w:line="360" w:lineRule="auto" w:before="115"/>
        <w:ind w:left="160" w:right="154"/>
        <w:jc w:val="both"/>
      </w:pPr>
      <w:r>
        <w:rPr/>
        <w:t>Clearly, income inequality is the concentration of citizens either at the top or at the bottom of the</w:t>
      </w:r>
      <w:r>
        <w:rPr>
          <w:spacing w:val="1"/>
        </w:rPr>
        <w:t> </w:t>
      </w:r>
      <w:r>
        <w:rPr/>
        <w:t>distribution. It also implies the hollowing out of middle-income group in the society. Most often,</w:t>
      </w:r>
      <w:r>
        <w:rPr>
          <w:spacing w:val="1"/>
        </w:rPr>
        <w:t> </w:t>
      </w:r>
      <w:r>
        <w:rPr/>
        <w:t>the extent, pattern, level and magnitude affect economic growth and development, social capital,</w:t>
      </w:r>
      <w:r>
        <w:rPr>
          <w:spacing w:val="1"/>
        </w:rPr>
        <w:t> </w:t>
      </w:r>
      <w:r>
        <w:rPr/>
        <w:t>cohesion, education, health and longevity (Desbordes, 2011; Benzeval </w:t>
      </w:r>
      <w:r>
        <w:rPr>
          <w:i/>
        </w:rPr>
        <w:t>et al., </w:t>
      </w:r>
      <w:r>
        <w:rPr/>
        <w:t>2014; Rebeira </w:t>
      </w:r>
      <w:r>
        <w:rPr>
          <w:i/>
        </w:rPr>
        <w:t>et al.</w:t>
      </w:r>
      <w:r>
        <w:rPr>
          <w:i/>
          <w:spacing w:val="-57"/>
        </w:rPr>
        <w:t> </w:t>
      </w:r>
      <w:r>
        <w:rPr>
          <w:spacing w:val="-1"/>
        </w:rPr>
        <w:t>2017).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instance,</w:t>
      </w:r>
      <w:r>
        <w:rPr>
          <w:spacing w:val="-11"/>
        </w:rPr>
        <w:t> </w:t>
      </w:r>
      <w:r>
        <w:rPr/>
        <w:t>high</w:t>
      </w:r>
      <w:r>
        <w:rPr>
          <w:spacing w:val="-9"/>
        </w:rPr>
        <w:t> </w:t>
      </w:r>
      <w:r>
        <w:rPr/>
        <w:t>level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income</w:t>
      </w:r>
      <w:r>
        <w:rPr>
          <w:spacing w:val="-12"/>
        </w:rPr>
        <w:t> </w:t>
      </w:r>
      <w:r>
        <w:rPr/>
        <w:t>inequality</w:t>
      </w:r>
      <w:r>
        <w:rPr>
          <w:spacing w:val="-13"/>
        </w:rPr>
        <w:t> </w:t>
      </w:r>
      <w:r>
        <w:rPr/>
        <w:t>frequently</w:t>
      </w:r>
      <w:r>
        <w:rPr>
          <w:spacing w:val="-17"/>
        </w:rPr>
        <w:t> </w:t>
      </w:r>
      <w:r>
        <w:rPr/>
        <w:t>produces</w:t>
      </w:r>
      <w:r>
        <w:rPr>
          <w:spacing w:val="-11"/>
        </w:rPr>
        <w:t> </w:t>
      </w:r>
      <w:r>
        <w:rPr/>
        <w:t>unfavorable</w:t>
      </w:r>
      <w:r>
        <w:rPr>
          <w:spacing w:val="-10"/>
        </w:rPr>
        <w:t> </w:t>
      </w:r>
      <w:r>
        <w:rPr/>
        <w:t>environment,</w:t>
      </w:r>
      <w:r>
        <w:rPr>
          <w:spacing w:val="-58"/>
        </w:rPr>
        <w:t> </w:t>
      </w:r>
      <w:r>
        <w:rPr>
          <w:spacing w:val="-1"/>
        </w:rPr>
        <w:t>such</w:t>
      </w:r>
      <w:r>
        <w:rPr>
          <w:spacing w:val="-12"/>
        </w:rPr>
        <w:t> </w:t>
      </w:r>
      <w:r>
        <w:rPr>
          <w:spacing w:val="-1"/>
        </w:rPr>
        <w:t>as,</w:t>
      </w:r>
      <w:r>
        <w:rPr>
          <w:spacing w:val="-12"/>
        </w:rPr>
        <w:t> </w:t>
      </w:r>
      <w:r>
        <w:rPr>
          <w:spacing w:val="-1"/>
        </w:rPr>
        <w:t>political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opportunity</w:t>
      </w:r>
      <w:r>
        <w:rPr>
          <w:spacing w:val="-17"/>
        </w:rPr>
        <w:t> </w:t>
      </w:r>
      <w:r>
        <w:rPr/>
        <w:t>captures,</w:t>
      </w:r>
      <w:r>
        <w:rPr>
          <w:spacing w:val="-9"/>
        </w:rPr>
        <w:t> </w:t>
      </w:r>
      <w:r>
        <w:rPr/>
        <w:t>that</w:t>
      </w:r>
      <w:r>
        <w:rPr>
          <w:spacing w:val="-12"/>
        </w:rPr>
        <w:t> </w:t>
      </w:r>
      <w:r>
        <w:rPr/>
        <w:t>affect</w:t>
      </w:r>
      <w:r>
        <w:rPr>
          <w:spacing w:val="-12"/>
        </w:rPr>
        <w:t> </w:t>
      </w:r>
      <w:r>
        <w:rPr/>
        <w:t>economic</w:t>
      </w:r>
      <w:r>
        <w:rPr>
          <w:spacing w:val="-10"/>
        </w:rPr>
        <w:t> </w:t>
      </w:r>
      <w:r>
        <w:rPr/>
        <w:t>activities.</w:t>
      </w:r>
      <w:r>
        <w:rPr>
          <w:spacing w:val="-10"/>
        </w:rPr>
        <w:t> </w:t>
      </w:r>
      <w:r>
        <w:rPr/>
        <w:t>Its</w:t>
      </w:r>
      <w:r>
        <w:rPr>
          <w:spacing w:val="-12"/>
        </w:rPr>
        <w:t> </w:t>
      </w:r>
      <w:r>
        <w:rPr/>
        <w:t>pattern</w:t>
      </w:r>
      <w:r>
        <w:rPr>
          <w:spacing w:val="-12"/>
        </w:rPr>
        <w:t> </w:t>
      </w:r>
      <w:r>
        <w:rPr/>
        <w:t>often</w:t>
      </w:r>
      <w:r>
        <w:rPr>
          <w:spacing w:val="-10"/>
        </w:rPr>
        <w:t> </w:t>
      </w:r>
      <w:r>
        <w:rPr/>
        <w:t>aroused</w:t>
      </w:r>
      <w:r>
        <w:rPr>
          <w:spacing w:val="-57"/>
        </w:rPr>
        <w:t> </w:t>
      </w:r>
      <w:r>
        <w:rPr/>
        <w:t>serious</w:t>
      </w:r>
      <w:r>
        <w:rPr>
          <w:spacing w:val="-7"/>
        </w:rPr>
        <w:t> </w:t>
      </w:r>
      <w:r>
        <w:rPr/>
        <w:t>welfare,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living-hood</w:t>
      </w:r>
      <w:r>
        <w:rPr>
          <w:spacing w:val="-6"/>
        </w:rPr>
        <w:t> </w:t>
      </w:r>
      <w:r>
        <w:rPr/>
        <w:t>concerns.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linked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households’</w:t>
      </w:r>
      <w:r>
        <w:rPr>
          <w:spacing w:val="-7"/>
        </w:rPr>
        <w:t> </w:t>
      </w:r>
      <w:r>
        <w:rPr/>
        <w:t>consumption</w:t>
      </w:r>
      <w:r>
        <w:rPr>
          <w:spacing w:val="-57"/>
        </w:rPr>
        <w:t> </w:t>
      </w:r>
      <w:r>
        <w:rPr/>
        <w:t>(Bricker and Krimmer, 2014) and air-pollution (Hill </w:t>
      </w:r>
      <w:r>
        <w:rPr>
          <w:i/>
        </w:rPr>
        <w:t>et al., </w:t>
      </w:r>
      <w:r>
        <w:rPr/>
        <w:t>2019) that affect health outcomes and</w:t>
      </w:r>
      <w:r>
        <w:rPr>
          <w:spacing w:val="1"/>
        </w:rPr>
        <w:t> </w:t>
      </w:r>
      <w:r>
        <w:rPr/>
        <w:t>health-seeking</w:t>
      </w:r>
      <w:r>
        <w:rPr>
          <w:spacing w:val="-4"/>
        </w:rPr>
        <w:t> </w:t>
      </w:r>
      <w:r>
        <w:rPr/>
        <w:t>behaviour.</w:t>
      </w:r>
    </w:p>
    <w:p>
      <w:pPr>
        <w:pStyle w:val="ListParagraph"/>
        <w:numPr>
          <w:ilvl w:val="2"/>
          <w:numId w:val="11"/>
        </w:numPr>
        <w:tabs>
          <w:tab w:pos="881" w:val="left" w:leader="none"/>
        </w:tabs>
        <w:spacing w:line="240" w:lineRule="auto" w:before="177" w:after="0"/>
        <w:ind w:left="880" w:right="0" w:hanging="721"/>
        <w:jc w:val="both"/>
        <w:rPr>
          <w:i/>
          <w:sz w:val="24"/>
        </w:rPr>
      </w:pPr>
      <w:r>
        <w:rPr>
          <w:i/>
          <w:sz w:val="24"/>
        </w:rPr>
        <w:t>Health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Outcomes</w:t>
      </w:r>
    </w:p>
    <w:p>
      <w:pPr>
        <w:pStyle w:val="BodyText"/>
        <w:spacing w:line="360" w:lineRule="auto" w:before="24"/>
        <w:ind w:left="160" w:right="154"/>
        <w:jc w:val="both"/>
      </w:pPr>
      <w:r>
        <w:rPr/>
        <w:t>There has not been a general consensus on the definitions of ‘health outcomes’</w:t>
      </w:r>
      <w:r>
        <w:rPr>
          <w:i/>
        </w:rPr>
        <w:t>, </w:t>
      </w:r>
      <w:r>
        <w:rPr/>
        <w:t>even though the</w:t>
      </w:r>
      <w:r>
        <w:rPr>
          <w:spacing w:val="1"/>
        </w:rPr>
        <w:t> </w:t>
      </w:r>
      <w:r>
        <w:rPr>
          <w:spacing w:val="-1"/>
        </w:rPr>
        <w:t>concept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only</w:t>
      </w:r>
      <w:r>
        <w:rPr>
          <w:spacing w:val="-15"/>
        </w:rPr>
        <w:t> </w:t>
      </w:r>
      <w:r>
        <w:rPr/>
        <w:t>in</w:t>
      </w:r>
      <w:r>
        <w:rPr>
          <w:spacing w:val="-10"/>
        </w:rPr>
        <w:t> </w:t>
      </w:r>
      <w:r>
        <w:rPr/>
        <w:t>medical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health</w:t>
      </w:r>
      <w:r>
        <w:rPr>
          <w:spacing w:val="-11"/>
        </w:rPr>
        <w:t> </w:t>
      </w:r>
      <w:r>
        <w:rPr/>
        <w:t>science</w:t>
      </w:r>
      <w:r>
        <w:rPr>
          <w:spacing w:val="-12"/>
        </w:rPr>
        <w:t> </w:t>
      </w:r>
      <w:r>
        <w:rPr/>
        <w:t>but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health</w:t>
      </w:r>
      <w:r>
        <w:rPr>
          <w:spacing w:val="-11"/>
        </w:rPr>
        <w:t> </w:t>
      </w:r>
      <w:r>
        <w:rPr/>
        <w:t>social</w:t>
      </w:r>
      <w:r>
        <w:rPr>
          <w:spacing w:val="-10"/>
        </w:rPr>
        <w:t> </w:t>
      </w:r>
      <w:r>
        <w:rPr/>
        <w:t>sciences</w:t>
      </w:r>
      <w:r>
        <w:rPr>
          <w:spacing w:val="-11"/>
        </w:rPr>
        <w:t> </w:t>
      </w:r>
      <w:r>
        <w:rPr/>
        <w:t>(health</w:t>
      </w:r>
      <w:r>
        <w:rPr>
          <w:spacing w:val="-58"/>
        </w:rPr>
        <w:t> </w:t>
      </w:r>
      <w:r>
        <w:rPr/>
        <w:t>economics,</w:t>
      </w:r>
      <w:r>
        <w:rPr>
          <w:spacing w:val="-11"/>
        </w:rPr>
        <w:t> </w:t>
      </w:r>
      <w:r>
        <w:rPr>
          <w:sz w:val="22"/>
        </w:rPr>
        <w:t>health</w:t>
      </w:r>
      <w:r>
        <w:rPr>
          <w:spacing w:val="-5"/>
          <w:sz w:val="22"/>
        </w:rPr>
        <w:t> </w:t>
      </w:r>
      <w:r>
        <w:rPr/>
        <w:t>psychology</w:t>
      </w:r>
      <w:r>
        <w:rPr>
          <w:spacing w:val="-14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medical</w:t>
      </w:r>
      <w:r>
        <w:rPr>
          <w:spacing w:val="-4"/>
          <w:sz w:val="22"/>
        </w:rPr>
        <w:t> </w:t>
      </w:r>
      <w:r>
        <w:rPr/>
        <w:t>demography).</w:t>
      </w:r>
      <w:r>
        <w:rPr>
          <w:spacing w:val="-9"/>
        </w:rPr>
        <w:t> </w:t>
      </w:r>
      <w:r>
        <w:rPr/>
        <w:t>Perhaps</w:t>
      </w:r>
      <w:r>
        <w:rPr>
          <w:spacing w:val="-11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its</w:t>
      </w:r>
      <w:r>
        <w:rPr>
          <w:spacing w:val="-11"/>
        </w:rPr>
        <w:t> </w:t>
      </w:r>
      <w:r>
        <w:rPr/>
        <w:t>multi-dimensional,</w:t>
      </w:r>
      <w:r>
        <w:rPr>
          <w:spacing w:val="-57"/>
        </w:rPr>
        <w:t> </w:t>
      </w:r>
      <w:r>
        <w:rPr/>
        <w:t>the</w:t>
      </w:r>
      <w:r>
        <w:rPr>
          <w:spacing w:val="-5"/>
        </w:rPr>
        <w:t> </w:t>
      </w:r>
      <w:r>
        <w:rPr/>
        <w:t>concept</w:t>
      </w:r>
      <w:r>
        <w:rPr>
          <w:spacing w:val="-3"/>
        </w:rPr>
        <w:t> </w:t>
      </w:r>
      <w:r>
        <w:rPr/>
        <w:t>presents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form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ambiguity.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1948,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defined</w:t>
      </w:r>
      <w:r>
        <w:rPr>
          <w:spacing w:val="-4"/>
        </w:rPr>
        <w:t> </w:t>
      </w:r>
      <w:r>
        <w:rPr/>
        <w:t>‘health’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phrase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57"/>
        </w:rPr>
        <w:t> </w:t>
      </w:r>
      <w:r>
        <w:rPr/>
        <w:t>still used today: </w:t>
      </w:r>
      <w:r>
        <w:rPr>
          <w:i/>
        </w:rPr>
        <w:t>a state of complete physical, mental and social well-being and not merely the</w:t>
      </w:r>
      <w:r>
        <w:rPr>
          <w:i/>
          <w:spacing w:val="1"/>
        </w:rPr>
        <w:t> </w:t>
      </w:r>
      <w:r>
        <w:rPr>
          <w:i/>
        </w:rPr>
        <w:t>absence of disease or infirmity. </w:t>
      </w:r>
      <w:r>
        <w:rPr/>
        <w:t>That is, what concerns the general condition of the body or mind.</w:t>
      </w:r>
      <w:r>
        <w:rPr>
          <w:spacing w:val="-57"/>
        </w:rPr>
        <w:t> </w:t>
      </w:r>
      <w:r>
        <w:rPr/>
        <w:t>Nordenfelt (2007:16) defined ‘health’ as a state of affairs which tends to lead to a certain degree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happiness.</w:t>
      </w:r>
      <w:r>
        <w:rPr>
          <w:spacing w:val="2"/>
        </w:rPr>
        <w:t> </w:t>
      </w:r>
      <w:r>
        <w:rPr/>
        <w:t>It is the state</w:t>
      </w:r>
      <w:r>
        <w:rPr>
          <w:spacing w:val="-1"/>
        </w:rPr>
        <w:t> </w:t>
      </w:r>
      <w:r>
        <w:rPr/>
        <w:t>of being</w:t>
      </w:r>
      <w:r>
        <w:rPr>
          <w:spacing w:val="-4"/>
        </w:rPr>
        <w:t> </w:t>
      </w:r>
      <w:r>
        <w:rPr/>
        <w:t>free</w:t>
      </w:r>
      <w:r>
        <w:rPr>
          <w:spacing w:val="1"/>
        </w:rPr>
        <w:t> </w:t>
      </w:r>
      <w:r>
        <w:rPr/>
        <w:t>from illness (Rai, 2016).</w:t>
      </w:r>
    </w:p>
    <w:p>
      <w:pPr>
        <w:pStyle w:val="BodyText"/>
        <w:spacing w:line="360" w:lineRule="auto" w:before="184"/>
        <w:ind w:left="160" w:right="156"/>
        <w:jc w:val="both"/>
      </w:pPr>
      <w:r>
        <w:rPr/>
        <w:t>However, the concept ‘outcome’ is the likely final state of health, or the way health status turns</w:t>
      </w:r>
      <w:r>
        <w:rPr>
          <w:spacing w:val="1"/>
        </w:rPr>
        <w:t> </w:t>
      </w:r>
      <w:r>
        <w:rPr/>
        <w:t>out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end.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foregoing</w:t>
      </w:r>
      <w:r>
        <w:rPr>
          <w:spacing w:val="-8"/>
        </w:rPr>
        <w:t> </w:t>
      </w:r>
      <w:r>
        <w:rPr/>
        <w:t>thus</w:t>
      </w:r>
      <w:r>
        <w:rPr>
          <w:spacing w:val="-5"/>
        </w:rPr>
        <w:t> </w:t>
      </w:r>
      <w:r>
        <w:rPr/>
        <w:t>implies</w:t>
      </w:r>
      <w:r>
        <w:rPr>
          <w:spacing w:val="-5"/>
        </w:rPr>
        <w:t> </w:t>
      </w:r>
      <w:r>
        <w:rPr/>
        <w:t>that,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outcomes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changes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health</w:t>
      </w:r>
      <w:r>
        <w:rPr>
          <w:spacing w:val="-5"/>
        </w:rPr>
        <w:t> </w:t>
      </w:r>
      <w:r>
        <w:rPr/>
        <w:t>status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an</w:t>
      </w:r>
      <w:r>
        <w:rPr>
          <w:spacing w:val="-9"/>
        </w:rPr>
        <w:t> </w:t>
      </w:r>
      <w:r>
        <w:rPr/>
        <w:t>individual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household</w:t>
      </w:r>
      <w:r>
        <w:rPr>
          <w:spacing w:val="-9"/>
        </w:rPr>
        <w:t> </w:t>
      </w:r>
      <w:r>
        <w:rPr/>
        <w:t>(Bhattacharjee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</w:t>
      </w:r>
      <w:r>
        <w:rPr>
          <w:i/>
          <w:spacing w:val="-8"/>
        </w:rPr>
        <w:t> </w:t>
      </w:r>
      <w:r>
        <w:rPr/>
        <w:t>2014).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changes</w:t>
      </w:r>
      <w:r>
        <w:rPr>
          <w:spacing w:val="-8"/>
        </w:rPr>
        <w:t> </w:t>
      </w:r>
      <w:r>
        <w:rPr/>
        <w:t>often</w:t>
      </w:r>
      <w:r>
        <w:rPr>
          <w:spacing w:val="-9"/>
        </w:rPr>
        <w:t> </w:t>
      </w:r>
      <w:r>
        <w:rPr/>
        <w:t>results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illness,</w:t>
      </w:r>
      <w:r>
        <w:rPr>
          <w:spacing w:val="-9"/>
        </w:rPr>
        <w:t> </w:t>
      </w:r>
      <w:r>
        <w:rPr/>
        <w:t>deaths</w:t>
      </w:r>
      <w:r>
        <w:rPr>
          <w:spacing w:val="-58"/>
        </w:rPr>
        <w:t> </w:t>
      </w:r>
      <w:r>
        <w:rPr/>
        <w:t>or</w:t>
      </w:r>
      <w:r>
        <w:rPr>
          <w:spacing w:val="-5"/>
        </w:rPr>
        <w:t> </w:t>
      </w:r>
      <w:r>
        <w:rPr/>
        <w:t>affects</w:t>
      </w:r>
      <w:r>
        <w:rPr>
          <w:spacing w:val="-2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life</w:t>
      </w:r>
      <w:r>
        <w:rPr>
          <w:spacing w:val="-2"/>
        </w:rPr>
        <w:t> </w:t>
      </w:r>
      <w:r>
        <w:rPr/>
        <w:t>(WHO,</w:t>
      </w:r>
      <w:r>
        <w:rPr>
          <w:spacing w:val="-4"/>
        </w:rPr>
        <w:t> </w:t>
      </w:r>
      <w:r>
        <w:rPr/>
        <w:t>2018). It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quality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length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at the</w:t>
      </w:r>
      <w:r>
        <w:rPr>
          <w:spacing w:val="-5"/>
        </w:rPr>
        <w:t> </w:t>
      </w:r>
      <w:r>
        <w:rPr/>
        <w:t>micro-level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on</w:t>
      </w:r>
      <w:r>
        <w:rPr>
          <w:spacing w:val="-57"/>
        </w:rPr>
        <w:t> </w:t>
      </w:r>
      <w:r>
        <w:rPr/>
        <w:t>a</w:t>
      </w:r>
      <w:r>
        <w:rPr>
          <w:spacing w:val="18"/>
        </w:rPr>
        <w:t> </w:t>
      </w:r>
      <w:r>
        <w:rPr/>
        <w:t>comparable</w:t>
      </w:r>
      <w:r>
        <w:rPr>
          <w:spacing w:val="19"/>
        </w:rPr>
        <w:t> </w:t>
      </w:r>
      <w:r>
        <w:rPr/>
        <w:t>basis</w:t>
      </w:r>
      <w:r>
        <w:rPr>
          <w:spacing w:val="21"/>
        </w:rPr>
        <w:t> </w:t>
      </w:r>
      <w:r>
        <w:rPr/>
        <w:t>across</w:t>
      </w:r>
      <w:r>
        <w:rPr>
          <w:spacing w:val="19"/>
        </w:rPr>
        <w:t> </w:t>
      </w:r>
      <w:r>
        <w:rPr/>
        <w:t>nations</w:t>
      </w:r>
      <w:r>
        <w:rPr>
          <w:spacing w:val="20"/>
        </w:rPr>
        <w:t> </w:t>
      </w:r>
      <w:r>
        <w:rPr/>
        <w:t>(Or,</w:t>
      </w:r>
      <w:r>
        <w:rPr>
          <w:spacing w:val="19"/>
        </w:rPr>
        <w:t> </w:t>
      </w:r>
      <w:r>
        <w:rPr/>
        <w:t>2000).</w:t>
      </w:r>
      <w:r>
        <w:rPr>
          <w:spacing w:val="20"/>
        </w:rPr>
        <w:t> </w:t>
      </w:r>
      <w:r>
        <w:rPr/>
        <w:t>Health</w:t>
      </w:r>
      <w:r>
        <w:rPr>
          <w:spacing w:val="19"/>
        </w:rPr>
        <w:t> </w:t>
      </w:r>
      <w:r>
        <w:rPr/>
        <w:t>outcomes</w:t>
      </w:r>
      <w:r>
        <w:rPr>
          <w:spacing w:val="20"/>
        </w:rPr>
        <w:t> </w:t>
      </w:r>
      <w:r>
        <w:rPr/>
        <w:t>also</w:t>
      </w:r>
      <w:r>
        <w:rPr>
          <w:spacing w:val="21"/>
        </w:rPr>
        <w:t> </w:t>
      </w:r>
      <w:r>
        <w:rPr/>
        <w:t>relate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changes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health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8"/>
        <w:jc w:val="both"/>
      </w:pPr>
      <w:r>
        <w:rPr/>
        <w:t>status that result from specific healthcare investments or interventions (Kindig </w:t>
      </w:r>
      <w:r>
        <w:rPr>
          <w:i/>
        </w:rPr>
        <w:t>et al., </w:t>
      </w:r>
      <w:r>
        <w:rPr/>
        <w:t>2008).</w:t>
      </w:r>
      <w:r>
        <w:rPr>
          <w:spacing w:val="1"/>
        </w:rPr>
        <w:t> </w:t>
      </w:r>
      <w:r>
        <w:rPr/>
        <w:t>Sansoni (2016:7) conceptualizes health outcome as a change in the health status of an individual,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a group</w:t>
      </w:r>
      <w:r>
        <w:rPr>
          <w:spacing w:val="-1"/>
        </w:rPr>
        <w:t> </w:t>
      </w:r>
      <w:r>
        <w:rPr/>
        <w:t>of people or</w:t>
      </w:r>
      <w:r>
        <w:rPr>
          <w:spacing w:val="-2"/>
        </w:rPr>
        <w:t> </w:t>
      </w:r>
      <w:r>
        <w:rPr/>
        <w:t>population.</w:t>
      </w:r>
    </w:p>
    <w:p>
      <w:pPr>
        <w:pStyle w:val="BodyText"/>
        <w:spacing w:line="360" w:lineRule="auto" w:before="184"/>
        <w:ind w:left="160" w:right="153"/>
        <w:jc w:val="both"/>
      </w:pPr>
      <w:r>
        <w:rPr/>
        <w:t>The health outcomes of any citizen are classified as: </w:t>
      </w:r>
      <w:r>
        <w:rPr>
          <w:i/>
        </w:rPr>
        <w:t>poor or negative </w:t>
      </w:r>
      <w:r>
        <w:rPr/>
        <w:t>and </w:t>
      </w:r>
      <w:r>
        <w:rPr>
          <w:i/>
        </w:rPr>
        <w:t>good or positive </w:t>
      </w:r>
      <w:r>
        <w:rPr/>
        <w:t>(Or,</w:t>
      </w:r>
      <w:r>
        <w:rPr>
          <w:spacing w:val="1"/>
        </w:rPr>
        <w:t> </w:t>
      </w:r>
      <w:r>
        <w:rPr>
          <w:spacing w:val="-1"/>
        </w:rPr>
        <w:t>2000).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former</w:t>
      </w:r>
      <w:r>
        <w:rPr>
          <w:spacing w:val="-10"/>
        </w:rPr>
        <w:t> </w:t>
      </w:r>
      <w:r>
        <w:rPr/>
        <w:t>concerns</w:t>
      </w:r>
      <w:r>
        <w:rPr>
          <w:spacing w:val="-10"/>
        </w:rPr>
        <w:t> </w:t>
      </w:r>
      <w:r>
        <w:rPr/>
        <w:t>illness,</w:t>
      </w:r>
      <w:r>
        <w:rPr>
          <w:spacing w:val="-12"/>
        </w:rPr>
        <w:t> </w:t>
      </w:r>
      <w:r>
        <w:rPr/>
        <w:t>lack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well-being,</w:t>
      </w:r>
      <w:r>
        <w:rPr>
          <w:spacing w:val="-9"/>
        </w:rPr>
        <w:t> </w:t>
      </w:r>
      <w:r>
        <w:rPr/>
        <w:t>disability</w:t>
      </w:r>
      <w:r>
        <w:rPr>
          <w:spacing w:val="-16"/>
        </w:rPr>
        <w:t> </w:t>
      </w:r>
      <w:r>
        <w:rPr/>
        <w:t>or</w:t>
      </w:r>
      <w:r>
        <w:rPr>
          <w:spacing w:val="-11"/>
        </w:rPr>
        <w:t> </w:t>
      </w:r>
      <w:r>
        <w:rPr/>
        <w:t>deaths</w:t>
      </w:r>
      <w:r>
        <w:rPr>
          <w:spacing w:val="-9"/>
        </w:rPr>
        <w:t> </w:t>
      </w:r>
      <w:r>
        <w:rPr/>
        <w:t>(Pickett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Wilkinson,</w:t>
      </w:r>
      <w:r>
        <w:rPr>
          <w:spacing w:val="-57"/>
        </w:rPr>
        <w:t> </w:t>
      </w:r>
      <w:r>
        <w:rPr/>
        <w:t>2015). On the other hand, the latter relate to being alive and healthy, functioning well mentally,</w:t>
      </w:r>
      <w:r>
        <w:rPr>
          <w:spacing w:val="1"/>
        </w:rPr>
        <w:t> </w:t>
      </w:r>
      <w:r>
        <w:rPr>
          <w:spacing w:val="-1"/>
        </w:rPr>
        <w:t>physically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socially.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>
          <w:i/>
        </w:rPr>
        <w:t>poor</w:t>
      </w:r>
      <w:r>
        <w:rPr>
          <w:i/>
          <w:spacing w:val="-10"/>
        </w:rPr>
        <w:t> </w:t>
      </w:r>
      <w:r>
        <w:rPr/>
        <w:t>health</w:t>
      </w:r>
      <w:r>
        <w:rPr>
          <w:spacing w:val="-10"/>
        </w:rPr>
        <w:t> </w:t>
      </w:r>
      <w:r>
        <w:rPr/>
        <w:t>outcomes</w:t>
      </w:r>
      <w:r>
        <w:rPr>
          <w:spacing w:val="-9"/>
        </w:rPr>
        <w:t> </w:t>
      </w:r>
      <w:r>
        <w:rPr/>
        <w:t>often</w:t>
      </w:r>
      <w:r>
        <w:rPr>
          <w:spacing w:val="-10"/>
        </w:rPr>
        <w:t> </w:t>
      </w:r>
      <w:r>
        <w:rPr/>
        <w:t>affect</w:t>
      </w:r>
      <w:r>
        <w:rPr>
          <w:spacing w:val="-10"/>
        </w:rPr>
        <w:t> </w:t>
      </w:r>
      <w:r>
        <w:rPr/>
        <w:t>economic</w:t>
      </w:r>
      <w:r>
        <w:rPr>
          <w:spacing w:val="-11"/>
        </w:rPr>
        <w:t> </w:t>
      </w:r>
      <w:r>
        <w:rPr/>
        <w:t>development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reducing</w:t>
      </w:r>
      <w:r>
        <w:rPr>
          <w:spacing w:val="-57"/>
        </w:rPr>
        <w:t> </w:t>
      </w:r>
      <w:r>
        <w:rPr/>
        <w:t>households’ labour supply and their ability to effectively utilize resources (Nwanosike, 2015).</w:t>
      </w:r>
      <w:r>
        <w:rPr>
          <w:spacing w:val="1"/>
        </w:rPr>
        <w:t> </w:t>
      </w:r>
      <w:r>
        <w:rPr>
          <w:spacing w:val="-1"/>
        </w:rPr>
        <w:t>Conversely,</w:t>
      </w:r>
      <w:r>
        <w:rPr>
          <w:spacing w:val="-12"/>
        </w:rPr>
        <w:t> </w:t>
      </w:r>
      <w:r>
        <w:rPr/>
        <w:t>healthy</w:t>
      </w:r>
      <w:r>
        <w:rPr>
          <w:spacing w:val="-16"/>
        </w:rPr>
        <w:t> </w:t>
      </w:r>
      <w:r>
        <w:rPr/>
        <w:t>outcomes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key</w:t>
      </w:r>
      <w:r>
        <w:rPr>
          <w:spacing w:val="-16"/>
        </w:rPr>
        <w:t> </w:t>
      </w:r>
      <w:r>
        <w:rPr/>
        <w:t>to</w:t>
      </w:r>
      <w:r>
        <w:rPr>
          <w:spacing w:val="-11"/>
        </w:rPr>
        <w:t> </w:t>
      </w:r>
      <w:r>
        <w:rPr/>
        <w:t>human</w:t>
      </w:r>
      <w:r>
        <w:rPr>
          <w:spacing w:val="-12"/>
        </w:rPr>
        <w:t> </w:t>
      </w:r>
      <w:r>
        <w:rPr/>
        <w:t>capital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it</w:t>
      </w:r>
      <w:r>
        <w:rPr>
          <w:spacing w:val="-12"/>
        </w:rPr>
        <w:t> </w:t>
      </w:r>
      <w:r>
        <w:rPr/>
        <w:t>relates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improvement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cognitive</w:t>
      </w:r>
      <w:r>
        <w:rPr>
          <w:spacing w:val="-58"/>
        </w:rPr>
        <w:t> </w:t>
      </w:r>
      <w:r>
        <w:rPr/>
        <w:t>development, particularly in early childhood. For instance, healthy children learn fast and gain</w:t>
      </w:r>
      <w:r>
        <w:rPr>
          <w:spacing w:val="1"/>
        </w:rPr>
        <w:t> </w:t>
      </w:r>
      <w:r>
        <w:rPr>
          <w:spacing w:val="-1"/>
        </w:rPr>
        <w:t>more</w:t>
      </w:r>
      <w:r>
        <w:rPr>
          <w:spacing w:val="-11"/>
        </w:rPr>
        <w:t> </w:t>
      </w:r>
      <w:r>
        <w:rPr>
          <w:spacing w:val="-1"/>
        </w:rPr>
        <w:t>from</w:t>
      </w:r>
      <w:r>
        <w:rPr>
          <w:spacing w:val="-10"/>
        </w:rPr>
        <w:t> </w:t>
      </w:r>
      <w:r>
        <w:rPr>
          <w:spacing w:val="-1"/>
        </w:rPr>
        <w:t>school.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because,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tendency</w:t>
      </w:r>
      <w:r>
        <w:rPr>
          <w:spacing w:val="-15"/>
        </w:rPr>
        <w:t> </w:t>
      </w:r>
      <w:r>
        <w:rPr/>
        <w:t>of</w:t>
      </w:r>
      <w:r>
        <w:rPr>
          <w:spacing w:val="-8"/>
        </w:rPr>
        <w:t> </w:t>
      </w:r>
      <w:r>
        <w:rPr/>
        <w:t>having</w:t>
      </w:r>
      <w:r>
        <w:rPr>
          <w:spacing w:val="-11"/>
        </w:rPr>
        <w:t> </w:t>
      </w:r>
      <w:r>
        <w:rPr/>
        <w:t>fewer</w:t>
      </w:r>
      <w:r>
        <w:rPr>
          <w:spacing w:val="-11"/>
        </w:rPr>
        <w:t> </w:t>
      </w:r>
      <w:r>
        <w:rPr/>
        <w:t>days</w:t>
      </w:r>
      <w:r>
        <w:rPr>
          <w:spacing w:val="-10"/>
        </w:rPr>
        <w:t> </w:t>
      </w:r>
      <w:r>
        <w:rPr/>
        <w:t>absent</w:t>
      </w:r>
      <w:r>
        <w:rPr>
          <w:spacing w:val="-7"/>
        </w:rPr>
        <w:t> </w:t>
      </w:r>
      <w:r>
        <w:rPr/>
        <w:t>from</w:t>
      </w:r>
      <w:r>
        <w:rPr>
          <w:spacing w:val="-10"/>
        </w:rPr>
        <w:t> </w:t>
      </w:r>
      <w:r>
        <w:rPr/>
        <w:t>school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related</w:t>
      </w:r>
      <w:r>
        <w:rPr>
          <w:spacing w:val="-57"/>
        </w:rPr>
        <w:t> </w:t>
      </w:r>
      <w:r>
        <w:rPr/>
        <w:t>with positive health outcomes. In addition, healthy adults add to labour force and human capital</w:t>
      </w:r>
      <w:r>
        <w:rPr>
          <w:spacing w:val="1"/>
        </w:rPr>
        <w:t> </w:t>
      </w:r>
      <w:r>
        <w:rPr/>
        <w:t>(Grossman, 1972, 2000). It is often stated that healthy workers are more productive, because of</w:t>
      </w:r>
      <w:r>
        <w:rPr>
          <w:spacing w:val="1"/>
        </w:rPr>
        <w:t> </w:t>
      </w:r>
      <w:r>
        <w:rPr/>
        <w:t>fewer</w:t>
      </w:r>
      <w:r>
        <w:rPr>
          <w:spacing w:val="-1"/>
        </w:rPr>
        <w:t> </w:t>
      </w:r>
      <w:r>
        <w:rPr/>
        <w:t>days off work (Hartwing, 2010).</w:t>
      </w:r>
    </w:p>
    <w:p>
      <w:pPr>
        <w:pStyle w:val="BodyText"/>
        <w:spacing w:line="360" w:lineRule="auto" w:before="103"/>
        <w:ind w:left="160" w:right="155"/>
        <w:jc w:val="both"/>
      </w:pPr>
      <w:r>
        <w:rPr/>
        <w:t>Interestingly, healthy outcomes often contribute to economic development, since healthy people</w:t>
      </w:r>
      <w:r>
        <w:rPr>
          <w:spacing w:val="1"/>
        </w:rPr>
        <w:t> </w:t>
      </w:r>
      <w:r>
        <w:rPr/>
        <w:t>and those with healthy dependents have far greater economic opportunities than do the sick. In</w:t>
      </w:r>
      <w:r>
        <w:rPr>
          <w:spacing w:val="1"/>
        </w:rPr>
        <w:t> </w:t>
      </w:r>
      <w:r>
        <w:rPr/>
        <w:t>addition, since good health is a powerful enabler of education and income (WHO, 2002:10), it</w:t>
      </w:r>
      <w:r>
        <w:rPr>
          <w:spacing w:val="1"/>
        </w:rPr>
        <w:t> </w:t>
      </w:r>
      <w:r>
        <w:rPr/>
        <w:t>improves human capital. Finally, improving health outcomes such as, reducing infant and under-</w:t>
      </w:r>
      <w:r>
        <w:rPr>
          <w:spacing w:val="1"/>
        </w:rPr>
        <w:t> </w:t>
      </w:r>
      <w:r>
        <w:rPr/>
        <w:t>five deaths or increasing longevity, is likely to give low-income citizens choices where they have</w:t>
      </w:r>
      <w:r>
        <w:rPr>
          <w:spacing w:val="-57"/>
        </w:rPr>
        <w:t> </w:t>
      </w:r>
      <w:r>
        <w:rPr/>
        <w:t>none</w:t>
      </w:r>
      <w:r>
        <w:rPr>
          <w:spacing w:val="-2"/>
        </w:rPr>
        <w:t> </w:t>
      </w:r>
      <w:r>
        <w:rPr/>
        <w:t>(WHO, 2002:10-11; Grossman, 2017).</w:t>
      </w:r>
    </w:p>
    <w:p>
      <w:pPr>
        <w:pStyle w:val="BodyText"/>
        <w:spacing w:line="360" w:lineRule="auto" w:before="109"/>
        <w:ind w:left="160" w:right="154"/>
        <w:jc w:val="both"/>
      </w:pPr>
      <w:r>
        <w:rPr/>
        <w:t>The</w:t>
      </w:r>
      <w:r>
        <w:rPr>
          <w:spacing w:val="-7"/>
        </w:rPr>
        <w:t> </w:t>
      </w:r>
      <w:r>
        <w:rPr/>
        <w:t>foregoing</w:t>
      </w:r>
      <w:r>
        <w:rPr>
          <w:spacing w:val="-8"/>
        </w:rPr>
        <w:t> </w:t>
      </w:r>
      <w:r>
        <w:rPr/>
        <w:t>suggests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finding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appropriate</w:t>
      </w:r>
      <w:r>
        <w:rPr>
          <w:spacing w:val="-7"/>
        </w:rPr>
        <w:t> </w:t>
      </w:r>
      <w:r>
        <w:rPr/>
        <w:t>or</w:t>
      </w:r>
      <w:r>
        <w:rPr>
          <w:spacing w:val="-4"/>
        </w:rPr>
        <w:t> </w:t>
      </w:r>
      <w:r>
        <w:rPr/>
        <w:t>encompassing</w:t>
      </w:r>
      <w:r>
        <w:rPr>
          <w:spacing w:val="-9"/>
        </w:rPr>
        <w:t> </w:t>
      </w:r>
      <w:r>
        <w:rPr/>
        <w:t>definition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health</w:t>
      </w:r>
      <w:r>
        <w:rPr>
          <w:spacing w:val="-5"/>
        </w:rPr>
        <w:t> </w:t>
      </w:r>
      <w:r>
        <w:rPr/>
        <w:t>outcomes</w:t>
      </w:r>
      <w:r>
        <w:rPr>
          <w:spacing w:val="-58"/>
        </w:rPr>
        <w:t> </w:t>
      </w:r>
      <w:r>
        <w:rPr>
          <w:spacing w:val="-1"/>
        </w:rPr>
        <w:t>may</w:t>
      </w:r>
      <w:r>
        <w:rPr>
          <w:spacing w:val="-15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>
          <w:spacing w:val="-1"/>
        </w:rPr>
        <w:t>difficult.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because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absence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ailments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viewed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good</w:t>
      </w:r>
      <w:r>
        <w:rPr>
          <w:spacing w:val="-8"/>
        </w:rPr>
        <w:t> </w:t>
      </w:r>
      <w:r>
        <w:rPr/>
        <w:t>health;</w:t>
      </w:r>
      <w:r>
        <w:rPr>
          <w:spacing w:val="-10"/>
        </w:rPr>
        <w:t> </w:t>
      </w:r>
      <w:r>
        <w:rPr/>
        <w:t>but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presence</w:t>
      </w:r>
      <w:r>
        <w:rPr>
          <w:spacing w:val="-57"/>
        </w:rPr>
        <w:t> </w:t>
      </w:r>
      <w:r>
        <w:rPr/>
        <w:t>of NCDs (stroke, heart-attack or cancers) in the body implies poor health. Again, people often</w:t>
      </w:r>
      <w:r>
        <w:rPr>
          <w:spacing w:val="1"/>
        </w:rPr>
        <w:t> </w:t>
      </w:r>
      <w:r>
        <w:rPr>
          <w:spacing w:val="-1"/>
        </w:rPr>
        <w:t>differ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susceptibility</w:t>
      </w:r>
      <w:r>
        <w:rPr>
          <w:spacing w:val="-19"/>
        </w:rPr>
        <w:t> </w:t>
      </w:r>
      <w:r>
        <w:rPr/>
        <w:t>to</w:t>
      </w:r>
      <w:r>
        <w:rPr>
          <w:spacing w:val="-13"/>
        </w:rPr>
        <w:t> </w:t>
      </w:r>
      <w:r>
        <w:rPr/>
        <w:t>certain</w:t>
      </w:r>
      <w:r>
        <w:rPr>
          <w:spacing w:val="-13"/>
        </w:rPr>
        <w:t> </w:t>
      </w:r>
      <w:r>
        <w:rPr/>
        <w:t>disease</w:t>
      </w:r>
      <w:r>
        <w:rPr>
          <w:spacing w:val="-15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genetic,</w:t>
      </w:r>
      <w:r>
        <w:rPr>
          <w:spacing w:val="-14"/>
        </w:rPr>
        <w:t> </w:t>
      </w:r>
      <w:r>
        <w:rPr/>
        <w:t>biological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environmental</w:t>
      </w:r>
      <w:r>
        <w:rPr>
          <w:spacing w:val="-13"/>
        </w:rPr>
        <w:t> </w:t>
      </w:r>
      <w:r>
        <w:rPr/>
        <w:t>factors.</w:t>
      </w:r>
      <w:r>
        <w:rPr>
          <w:spacing w:val="-6"/>
        </w:rPr>
        <w:t> </w:t>
      </w:r>
      <w:r>
        <w:rPr/>
        <w:t>Thus,</w:t>
      </w:r>
      <w:r>
        <w:rPr>
          <w:spacing w:val="-58"/>
        </w:rPr>
        <w:t> </w:t>
      </w:r>
      <w:r>
        <w:rPr/>
        <w:t>both Australian Institute of Health and Wealth (2014) and Sansoni (2016) summarized the causes</w:t>
      </w:r>
      <w:r>
        <w:rPr>
          <w:spacing w:val="-57"/>
        </w:rPr>
        <w:t> </w:t>
      </w:r>
      <w:r>
        <w:rPr/>
        <w:t>of</w:t>
      </w:r>
      <w:r>
        <w:rPr>
          <w:spacing w:val="-14"/>
        </w:rPr>
        <w:t> </w:t>
      </w:r>
      <w:r>
        <w:rPr/>
        <w:t>poor</w:t>
      </w:r>
      <w:r>
        <w:rPr>
          <w:spacing w:val="-13"/>
        </w:rPr>
        <w:t> </w:t>
      </w:r>
      <w:r>
        <w:rPr/>
        <w:t>health</w:t>
      </w:r>
      <w:r>
        <w:rPr>
          <w:spacing w:val="-13"/>
        </w:rPr>
        <w:t> </w:t>
      </w:r>
      <w:r>
        <w:rPr/>
        <w:t>outcomes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those</w:t>
      </w:r>
      <w:r>
        <w:rPr>
          <w:spacing w:val="-14"/>
        </w:rPr>
        <w:t> </w:t>
      </w:r>
      <w:r>
        <w:rPr/>
        <w:t>that</w:t>
      </w:r>
      <w:r>
        <w:rPr>
          <w:spacing w:val="-12"/>
        </w:rPr>
        <w:t> </w:t>
      </w:r>
      <w:r>
        <w:rPr/>
        <w:t>concern</w:t>
      </w:r>
      <w:r>
        <w:rPr>
          <w:spacing w:val="-14"/>
        </w:rPr>
        <w:t> </w:t>
      </w:r>
      <w:r>
        <w:rPr/>
        <w:t>internal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external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Figure</w:t>
      </w:r>
      <w:r>
        <w:rPr>
          <w:spacing w:val="-12"/>
        </w:rPr>
        <w:t> </w:t>
      </w:r>
      <w:r>
        <w:rPr/>
        <w:t>3.1</w:t>
      </w:r>
      <w:r>
        <w:rPr>
          <w:spacing w:val="-13"/>
        </w:rPr>
        <w:t> </w:t>
      </w:r>
      <w:r>
        <w:rPr/>
        <w:t>shown.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figure</w:t>
      </w:r>
      <w:r>
        <w:rPr>
          <w:spacing w:val="-57"/>
        </w:rPr>
        <w:t> </w:t>
      </w:r>
      <w:r>
        <w:rPr/>
        <w:t>suggests that the internal causes of poor health outcomes includes their gene, immune response,</w:t>
      </w:r>
      <w:r>
        <w:rPr>
          <w:spacing w:val="1"/>
        </w:rPr>
        <w:t> </w:t>
      </w:r>
      <w:r>
        <w:rPr/>
        <w:t>lifestyle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psychological</w:t>
      </w:r>
      <w:r>
        <w:rPr>
          <w:spacing w:val="-12"/>
        </w:rPr>
        <w:t> </w:t>
      </w:r>
      <w:r>
        <w:rPr/>
        <w:t>factors.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external</w:t>
      </w:r>
      <w:r>
        <w:rPr>
          <w:spacing w:val="-12"/>
        </w:rPr>
        <w:t> </w:t>
      </w:r>
      <w:r>
        <w:rPr/>
        <w:t>factors</w:t>
      </w:r>
      <w:r>
        <w:rPr>
          <w:spacing w:val="-11"/>
        </w:rPr>
        <w:t> </w:t>
      </w:r>
      <w:r>
        <w:rPr/>
        <w:t>causes</w:t>
      </w:r>
      <w:r>
        <w:rPr>
          <w:spacing w:val="-12"/>
        </w:rPr>
        <w:t> </w:t>
      </w:r>
      <w:r>
        <w:rPr/>
        <w:t>are</w:t>
      </w:r>
      <w:r>
        <w:rPr>
          <w:spacing w:val="-14"/>
        </w:rPr>
        <w:t> </w:t>
      </w:r>
      <w:r>
        <w:rPr/>
        <w:t>noise</w:t>
      </w:r>
      <w:r>
        <w:rPr>
          <w:spacing w:val="-12"/>
        </w:rPr>
        <w:t> </w:t>
      </w:r>
      <w:r>
        <w:rPr/>
        <w:t>pollution,</w:t>
      </w:r>
      <w:r>
        <w:rPr>
          <w:spacing w:val="-12"/>
        </w:rPr>
        <w:t> </w:t>
      </w:r>
      <w:r>
        <w:rPr/>
        <w:t>ultraviolet</w:t>
      </w:r>
      <w:r>
        <w:rPr>
          <w:spacing w:val="-12"/>
        </w:rPr>
        <w:t> </w:t>
      </w:r>
      <w:r>
        <w:rPr/>
        <w:t>rays,</w:t>
      </w:r>
      <w:r>
        <w:rPr>
          <w:spacing w:val="-57"/>
        </w:rPr>
        <w:t> </w:t>
      </w:r>
      <w:r>
        <w:rPr/>
        <w:t>weather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climate,</w:t>
      </w:r>
      <w:r>
        <w:rPr>
          <w:spacing w:val="-6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factors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urban</w:t>
      </w:r>
      <w:r>
        <w:rPr>
          <w:spacing w:val="-7"/>
        </w:rPr>
        <w:t> </w:t>
      </w:r>
      <w:r>
        <w:rPr/>
        <w:t>design,</w:t>
      </w:r>
      <w:r>
        <w:rPr>
          <w:spacing w:val="-6"/>
        </w:rPr>
        <w:t> </w:t>
      </w:r>
      <w:r>
        <w:rPr/>
        <w:t>interactions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humans</w:t>
      </w:r>
      <w:r>
        <w:rPr>
          <w:spacing w:val="-8"/>
        </w:rPr>
        <w:t> </w:t>
      </w:r>
      <w:r>
        <w:rPr/>
        <w:t>(or</w:t>
      </w:r>
      <w:r>
        <w:rPr>
          <w:spacing w:val="-8"/>
        </w:rPr>
        <w:t> </w:t>
      </w:r>
      <w:r>
        <w:rPr/>
        <w:t>lack</w:t>
      </w:r>
      <w:r>
        <w:rPr>
          <w:spacing w:val="-7"/>
        </w:rPr>
        <w:t> </w:t>
      </w:r>
      <w:r>
        <w:rPr/>
        <w:t>of),</w:t>
      </w:r>
      <w:r>
        <w:rPr>
          <w:spacing w:val="-58"/>
        </w:rPr>
        <w:t> </w:t>
      </w:r>
      <w:r>
        <w:rPr/>
        <w:t>toxins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air,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water,</w:t>
      </w:r>
      <w:r>
        <w:rPr>
          <w:spacing w:val="-2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interventions,</w:t>
      </w:r>
      <w:r>
        <w:rPr>
          <w:spacing w:val="-2"/>
        </w:rPr>
        <w:t> </w:t>
      </w:r>
      <w:r>
        <w:rPr/>
        <w:t>pathogens</w:t>
      </w:r>
      <w:r>
        <w:rPr>
          <w:spacing w:val="-1"/>
        </w:rPr>
        <w:t> </w:t>
      </w:r>
      <w:r>
        <w:rPr/>
        <w:t>(virus,</w:t>
      </w:r>
      <w:r>
        <w:rPr>
          <w:spacing w:val="-1"/>
        </w:rPr>
        <w:t> </w:t>
      </w:r>
      <w:r>
        <w:rPr/>
        <w:t>bacteria,</w:t>
      </w:r>
      <w:r>
        <w:rPr>
          <w:spacing w:val="-2"/>
        </w:rPr>
        <w:t> </w:t>
      </w:r>
      <w:r>
        <w:rPr/>
        <w:t>fungi,</w:t>
      </w:r>
      <w:r>
        <w:rPr>
          <w:spacing w:val="-1"/>
        </w:rPr>
        <w:t> </w:t>
      </w:r>
      <w:r>
        <w:rPr/>
        <w:t>parasites,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 w:after="6"/>
        <w:ind w:left="160" w:right="161"/>
        <w:jc w:val="both"/>
      </w:pPr>
      <w:r>
        <w:rPr/>
        <w:t>and</w:t>
      </w:r>
      <w:r>
        <w:rPr>
          <w:spacing w:val="-6"/>
        </w:rPr>
        <w:t> </w:t>
      </w:r>
      <w:r>
        <w:rPr/>
        <w:t>prisons),</w:t>
      </w:r>
      <w:r>
        <w:rPr>
          <w:spacing w:val="-6"/>
        </w:rPr>
        <w:t> </w:t>
      </w:r>
      <w:r>
        <w:rPr/>
        <w:t>stress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workplace</w:t>
      </w:r>
      <w:r>
        <w:rPr>
          <w:spacing w:val="-6"/>
        </w:rPr>
        <w:t> </w:t>
      </w:r>
      <w:r>
        <w:rPr/>
        <w:t>hazards.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causes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poor</w:t>
      </w:r>
      <w:r>
        <w:rPr>
          <w:spacing w:val="-7"/>
        </w:rPr>
        <w:t> </w:t>
      </w:r>
      <w:r>
        <w:rPr/>
        <w:t>health</w:t>
      </w:r>
      <w:r>
        <w:rPr>
          <w:spacing w:val="-5"/>
        </w:rPr>
        <w:t> </w:t>
      </w:r>
      <w:r>
        <w:rPr/>
        <w:t>outcomes</w:t>
      </w:r>
      <w:r>
        <w:rPr>
          <w:spacing w:val="-5"/>
        </w:rPr>
        <w:t> </w:t>
      </w:r>
      <w:r>
        <w:rPr/>
        <w:t>frequently</w:t>
      </w:r>
      <w:r>
        <w:rPr>
          <w:spacing w:val="-11"/>
        </w:rPr>
        <w:t> </w:t>
      </w:r>
      <w:r>
        <w:rPr/>
        <w:t>limit</w:t>
      </w:r>
      <w:r>
        <w:rPr>
          <w:spacing w:val="-57"/>
        </w:rPr>
        <w:t> </w:t>
      </w:r>
      <w:r>
        <w:rPr/>
        <w:t>people’s</w:t>
      </w:r>
      <w:r>
        <w:rPr>
          <w:spacing w:val="-2"/>
        </w:rPr>
        <w:t> </w:t>
      </w:r>
      <w:r>
        <w:rPr/>
        <w:t>functionality</w:t>
      </w:r>
      <w:r>
        <w:rPr>
          <w:spacing w:val="-4"/>
        </w:rPr>
        <w:t> </w:t>
      </w:r>
      <w:r>
        <w:rPr/>
        <w:t>to</w:t>
      </w:r>
      <w:r>
        <w:rPr>
          <w:spacing w:val="3"/>
        </w:rPr>
        <w:t> </w:t>
      </w:r>
      <w:r>
        <w:rPr/>
        <w:t>improve</w:t>
      </w:r>
      <w:r>
        <w:rPr>
          <w:spacing w:val="-2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(Sen, 1999,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717162" cy="5529834"/>
            <wp:effectExtent l="0" t="0" r="0" b="0"/>
            <wp:docPr id="7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62" cy="552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2"/>
        </w:rPr>
      </w:pPr>
    </w:p>
    <w:p>
      <w:pPr>
        <w:pStyle w:val="Heading4"/>
        <w:spacing w:line="275" w:lineRule="exact" w:before="1"/>
      </w:pPr>
      <w:r>
        <w:rPr/>
        <w:t>Figure</w:t>
      </w:r>
      <w:r>
        <w:rPr>
          <w:spacing w:val="-3"/>
        </w:rPr>
        <w:t> </w:t>
      </w:r>
      <w:r>
        <w:rPr/>
        <w:t>3.1:</w:t>
      </w:r>
      <w:r>
        <w:rPr>
          <w:spacing w:val="-2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Causes</w:t>
      </w:r>
      <w:r>
        <w:rPr>
          <w:spacing w:val="-2"/>
        </w:rPr>
        <w:t> </w:t>
      </w:r>
      <w:r>
        <w:rPr/>
        <w:t>of Health</w:t>
      </w:r>
      <w:r>
        <w:rPr>
          <w:spacing w:val="-2"/>
        </w:rPr>
        <w:t> </w:t>
      </w:r>
      <w:r>
        <w:rPr/>
        <w:t>Outcomes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Sansoni</w:t>
      </w:r>
      <w:r>
        <w:rPr>
          <w:spacing w:val="-3"/>
          <w:sz w:val="20"/>
        </w:rPr>
        <w:t> </w:t>
      </w:r>
      <w:r>
        <w:rPr>
          <w:sz w:val="20"/>
        </w:rPr>
        <w:t>(2016) and</w:t>
      </w:r>
      <w:r>
        <w:rPr>
          <w:spacing w:val="-1"/>
          <w:sz w:val="20"/>
        </w:rPr>
        <w:t> </w:t>
      </w:r>
      <w:r>
        <w:rPr>
          <w:sz w:val="20"/>
        </w:rPr>
        <w:t>Australian</w:t>
      </w:r>
      <w:r>
        <w:rPr>
          <w:spacing w:val="-3"/>
          <w:sz w:val="20"/>
        </w:rPr>
        <w:t> </w:t>
      </w:r>
      <w:r>
        <w:rPr>
          <w:sz w:val="20"/>
        </w:rPr>
        <w:t>Institute</w:t>
      </w:r>
      <w:r>
        <w:rPr>
          <w:spacing w:val="-2"/>
          <w:sz w:val="20"/>
        </w:rPr>
        <w:t> </w:t>
      </w:r>
      <w:r>
        <w:rPr>
          <w:sz w:val="20"/>
        </w:rPr>
        <w:t>of Health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Welfare</w:t>
      </w:r>
      <w:r>
        <w:rPr>
          <w:spacing w:val="-2"/>
          <w:sz w:val="20"/>
        </w:rPr>
        <w:t> </w:t>
      </w:r>
      <w:r>
        <w:rPr>
          <w:sz w:val="20"/>
        </w:rPr>
        <w:t>(2014:5)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60" w:right="0" w:firstLine="0"/>
        <w:jc w:val="both"/>
        <w:rPr>
          <w:i/>
          <w:sz w:val="24"/>
        </w:rPr>
      </w:pPr>
      <w:r>
        <w:rPr>
          <w:i/>
          <w:sz w:val="24"/>
        </w:rPr>
        <w:t>Measures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Outcomes</w:t>
      </w:r>
    </w:p>
    <w:p>
      <w:pPr>
        <w:pStyle w:val="BodyText"/>
        <w:spacing w:line="352" w:lineRule="auto" w:before="132"/>
        <w:ind w:left="160" w:right="156"/>
        <w:jc w:val="both"/>
      </w:pPr>
      <w:r>
        <w:rPr/>
        <w:t>There are various measurements of health outcomes. These are grouped into two: subjective and</w:t>
      </w:r>
      <w:r>
        <w:rPr>
          <w:spacing w:val="1"/>
        </w:rPr>
        <w:t> </w:t>
      </w:r>
      <w:r>
        <w:rPr/>
        <w:t>objective measures (see Sakurai and Hashimoto, 2010:1833; Miething, 2012:163). Though, the</w:t>
      </w:r>
      <w:r>
        <w:rPr>
          <w:spacing w:val="1"/>
        </w:rPr>
        <w:t> </w:t>
      </w:r>
      <w:r>
        <w:rPr/>
        <w:t>health economics studies often use subjective and objective measures interchangeably. Table 3.1</w:t>
      </w:r>
      <w:r>
        <w:rPr>
          <w:spacing w:val="1"/>
        </w:rPr>
        <w:t> </w:t>
      </w:r>
      <w:r>
        <w:rPr/>
        <w:t>presents the major differences between subject and objective measures of health outcomes with</w:t>
      </w:r>
      <w:r>
        <w:rPr>
          <w:spacing w:val="1"/>
        </w:rPr>
        <w:t> </w:t>
      </w:r>
      <w:r>
        <w:rPr/>
        <w:t>appropriate examples.</w:t>
      </w:r>
    </w:p>
    <w:p>
      <w:pPr>
        <w:spacing w:after="0" w:line="352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Heading4"/>
        <w:spacing w:before="79" w:after="42"/>
        <w:jc w:val="left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4"/>
        </w:rPr>
        <w:t> </w:t>
      </w:r>
      <w:r>
        <w:rPr/>
        <w:t>Subjective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</w:t>
      </w:r>
      <w:r>
        <w:rPr>
          <w:spacing w:val="-4"/>
        </w:rPr>
        <w:t> </w:t>
      </w:r>
      <w:r>
        <w:rPr/>
        <w:t>Measures of</w:t>
      </w:r>
      <w:r>
        <w:rPr>
          <w:spacing w:val="-1"/>
        </w:rPr>
        <w:t> </w:t>
      </w:r>
      <w:r>
        <w:rPr/>
        <w:t>Health</w:t>
      </w:r>
      <w:r>
        <w:rPr>
          <w:spacing w:val="2"/>
        </w:rPr>
        <w:t> </w:t>
      </w:r>
      <w:r>
        <w:rPr/>
        <w:t>Outcomes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6"/>
        <w:gridCol w:w="4676"/>
      </w:tblGrid>
      <w:tr>
        <w:trPr>
          <w:trHeight w:val="318" w:hRule="atLeast"/>
        </w:trPr>
        <w:tc>
          <w:tcPr>
            <w:tcW w:w="4676" w:type="dxa"/>
          </w:tcPr>
          <w:p>
            <w:pPr>
              <w:pStyle w:val="TableParagraph"/>
              <w:spacing w:line="270" w:lineRule="exact"/>
              <w:ind w:left="1346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Subjective</w:t>
            </w:r>
            <w:r>
              <w:rPr>
                <w:rFonts w:asci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Measures</w:t>
            </w:r>
          </w:p>
        </w:tc>
        <w:tc>
          <w:tcPr>
            <w:tcW w:w="4676" w:type="dxa"/>
          </w:tcPr>
          <w:p>
            <w:pPr>
              <w:pStyle w:val="TableParagraph"/>
              <w:spacing w:line="270" w:lineRule="exact"/>
              <w:ind w:left="1379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Objective</w:t>
            </w:r>
            <w:r>
              <w:rPr>
                <w:rFonts w:asci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Measures</w:t>
            </w:r>
          </w:p>
        </w:tc>
      </w:tr>
      <w:tr>
        <w:trPr>
          <w:trHeight w:val="2896" w:hRule="atLeast"/>
        </w:trPr>
        <w:tc>
          <w:tcPr>
            <w:tcW w:w="4676" w:type="dxa"/>
          </w:tcPr>
          <w:p>
            <w:pPr>
              <w:pStyle w:val="TableParagraph"/>
              <w:spacing w:line="360" w:lineRule="auto"/>
              <w:ind w:left="107" w:right="94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Self-rated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when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individual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asked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rate his/her own health quality. The question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often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takes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general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perspective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quality,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which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allows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respondents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assess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overall health.</w:t>
            </w:r>
          </w:p>
          <w:p>
            <w:pPr>
              <w:pStyle w:val="TableParagraph"/>
              <w:spacing w:line="275" w:lineRule="exact"/>
              <w:ind w:left="107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Example,</w:t>
            </w:r>
            <w:r>
              <w:rPr>
                <w:rFonts w:ascii="Times New Roman"/>
                <w:spacing w:val="2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individual</w:t>
            </w:r>
            <w:r>
              <w:rPr>
                <w:rFonts w:ascii="Times New Roman"/>
                <w:spacing w:val="2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self-rated</w:t>
            </w:r>
            <w:r>
              <w:rPr>
                <w:rFonts w:ascii="Times New Roman"/>
                <w:spacing w:val="2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</w:t>
            </w:r>
            <w:r>
              <w:rPr>
                <w:rFonts w:ascii="Times New Roman"/>
                <w:spacing w:val="2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such</w:t>
            </w:r>
            <w:r>
              <w:rPr>
                <w:rFonts w:ascii="Times New Roman"/>
                <w:spacing w:val="2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</w:t>
            </w:r>
          </w:p>
          <w:p>
            <w:pPr>
              <w:pStyle w:val="TableParagraph"/>
              <w:spacing w:before="133"/>
              <w:ind w:left="107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illness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experience.</w:t>
            </w:r>
          </w:p>
        </w:tc>
        <w:tc>
          <w:tcPr>
            <w:tcW w:w="4676" w:type="dxa"/>
          </w:tcPr>
          <w:p>
            <w:pPr>
              <w:pStyle w:val="TableParagraph"/>
              <w:spacing w:line="360" w:lineRule="auto"/>
              <w:ind w:left="107" w:right="99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 is health outcomes at the aggregate level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that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take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form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physical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attribute.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These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easy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diagnose.</w:t>
            </w:r>
          </w:p>
          <w:p>
            <w:pPr>
              <w:pStyle w:val="TableParagraph"/>
              <w:spacing w:line="360" w:lineRule="auto"/>
              <w:ind w:left="107" w:right="97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Examples, deaths (infant, under-five, maternal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adult deaths), life expectancy, morbidity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diseases burden statistics.</w:t>
            </w:r>
          </w:p>
        </w:tc>
      </w:tr>
    </w:tbl>
    <w:p>
      <w:pPr>
        <w:pStyle w:val="BodyText"/>
        <w:ind w:left="160"/>
      </w:pPr>
      <w:r>
        <w:rPr/>
        <w:t>Source:</w:t>
      </w:r>
      <w:r>
        <w:rPr>
          <w:spacing w:val="-2"/>
        </w:rPr>
        <w:t> </w:t>
      </w:r>
      <w:r>
        <w:rPr/>
        <w:t>Hansson,</w:t>
      </w:r>
      <w:r>
        <w:rPr>
          <w:spacing w:val="-1"/>
        </w:rPr>
        <w:t> </w:t>
      </w:r>
      <w:r>
        <w:rPr/>
        <w:t>2013:7</w:t>
      </w:r>
    </w:p>
    <w:p>
      <w:pPr>
        <w:pStyle w:val="BodyText"/>
        <w:spacing w:before="8"/>
      </w:pPr>
    </w:p>
    <w:p>
      <w:pPr>
        <w:pStyle w:val="BodyText"/>
        <w:spacing w:line="355" w:lineRule="auto"/>
        <w:ind w:left="160" w:right="153"/>
        <w:jc w:val="both"/>
      </w:pPr>
      <w:r>
        <w:rPr/>
        <w:t>Both</w:t>
      </w:r>
      <w:r>
        <w:rPr>
          <w:spacing w:val="-13"/>
        </w:rPr>
        <w:t> </w:t>
      </w:r>
      <w:r>
        <w:rPr/>
        <w:t>ways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measuring</w:t>
      </w:r>
      <w:r>
        <w:rPr>
          <w:spacing w:val="-13"/>
        </w:rPr>
        <w:t> </w:t>
      </w:r>
      <w:r>
        <w:rPr/>
        <w:t>health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its</w:t>
      </w:r>
      <w:r>
        <w:rPr>
          <w:spacing w:val="-13"/>
        </w:rPr>
        <w:t> </w:t>
      </w:r>
      <w:r>
        <w:rPr/>
        <w:t>outcomes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subjective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objective</w:t>
      </w:r>
      <w:r>
        <w:rPr>
          <w:spacing w:val="-10"/>
        </w:rPr>
        <w:t> </w:t>
      </w:r>
      <w:r>
        <w:rPr/>
        <w:t>–</w:t>
      </w:r>
      <w:r>
        <w:rPr>
          <w:spacing w:val="-13"/>
        </w:rPr>
        <w:t> </w:t>
      </w:r>
      <w:r>
        <w:rPr/>
        <w:t>have</w:t>
      </w:r>
      <w:r>
        <w:rPr>
          <w:spacing w:val="-13"/>
        </w:rPr>
        <w:t> </w:t>
      </w:r>
      <w:r>
        <w:rPr/>
        <w:t>their</w:t>
      </w:r>
      <w:r>
        <w:rPr>
          <w:spacing w:val="-12"/>
        </w:rPr>
        <w:t> </w:t>
      </w:r>
      <w:r>
        <w:rPr/>
        <w:t>advantages</w:t>
      </w:r>
      <w:r>
        <w:rPr>
          <w:spacing w:val="-58"/>
        </w:rPr>
        <w:t> </w:t>
      </w:r>
      <w:r>
        <w:rPr/>
        <w:t>and disadvantages. Objective measures tend to</w:t>
      </w:r>
      <w:r>
        <w:rPr>
          <w:spacing w:val="1"/>
        </w:rPr>
        <w:t> </w:t>
      </w:r>
      <w:r>
        <w:rPr/>
        <w:t>be more reliable since it can be empirically</w:t>
      </w:r>
      <w:r>
        <w:rPr>
          <w:spacing w:val="1"/>
        </w:rPr>
        <w:t> </w:t>
      </w:r>
      <w:r>
        <w:rPr/>
        <w:t>observed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standard</w:t>
      </w:r>
      <w:r>
        <w:rPr>
          <w:spacing w:val="-13"/>
        </w:rPr>
        <w:t> </w:t>
      </w:r>
      <w:r>
        <w:rPr/>
        <w:t>diagnosis</w:t>
      </w:r>
      <w:r>
        <w:rPr>
          <w:spacing w:val="-12"/>
        </w:rPr>
        <w:t> </w:t>
      </w:r>
      <w:r>
        <w:rPr/>
        <w:t>(Hansson,</w:t>
      </w:r>
      <w:r>
        <w:rPr>
          <w:spacing w:val="-12"/>
        </w:rPr>
        <w:t> </w:t>
      </w:r>
      <w:r>
        <w:rPr/>
        <w:t>2013).</w:t>
      </w:r>
      <w:r>
        <w:rPr>
          <w:spacing w:val="-11"/>
        </w:rPr>
        <w:t> </w:t>
      </w:r>
      <w:r>
        <w:rPr/>
        <w:t>However,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limitations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measure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very</w:t>
      </w:r>
      <w:r>
        <w:rPr>
          <w:spacing w:val="-58"/>
        </w:rPr>
        <w:t> </w:t>
      </w:r>
      <w:r>
        <w:rPr/>
        <w:t>obvious: because such measures only apply to people who are hospitalized or those on health</w:t>
      </w:r>
      <w:r>
        <w:rPr>
          <w:spacing w:val="1"/>
        </w:rPr>
        <w:t> </w:t>
      </w:r>
      <w:r>
        <w:rPr/>
        <w:t>records. It</w:t>
      </w:r>
      <w:r>
        <w:rPr>
          <w:spacing w:val="-2"/>
        </w:rPr>
        <w:t> </w:t>
      </w:r>
      <w:r>
        <w:rPr/>
        <w:t>cannot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applied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majority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individuals</w:t>
      </w:r>
      <w:r>
        <w:rPr>
          <w:spacing w:val="-2"/>
        </w:rPr>
        <w:t> </w:t>
      </w:r>
      <w:r>
        <w:rPr/>
        <w:t>visiting</w:t>
      </w:r>
      <w:r>
        <w:rPr>
          <w:spacing w:val="-5"/>
        </w:rPr>
        <w:t> </w:t>
      </w:r>
      <w:r>
        <w:rPr/>
        <w:t>their</w:t>
      </w:r>
      <w:r>
        <w:rPr>
          <w:spacing w:val="-1"/>
        </w:rPr>
        <w:t> </w:t>
      </w:r>
      <w:r>
        <w:rPr/>
        <w:t>family</w:t>
      </w:r>
      <w:r>
        <w:rPr>
          <w:spacing w:val="-5"/>
        </w:rPr>
        <w:t> </w:t>
      </w:r>
      <w:r>
        <w:rPr/>
        <w:t>doctors</w:t>
      </w:r>
      <w:r>
        <w:rPr>
          <w:spacing w:val="-4"/>
        </w:rPr>
        <w:t> </w:t>
      </w:r>
      <w:r>
        <w:rPr/>
        <w:t>(the</w:t>
      </w:r>
      <w:r>
        <w:rPr>
          <w:spacing w:val="-4"/>
        </w:rPr>
        <w:t> </w:t>
      </w:r>
      <w:r>
        <w:rPr/>
        <w:t>wealthy</w:t>
      </w:r>
      <w:r>
        <w:rPr>
          <w:spacing w:val="-57"/>
        </w:rPr>
        <w:t> </w:t>
      </w:r>
      <w:r>
        <w:rPr/>
        <w:t>households) and those with inappropriate HSB (mostly the low-income households). Thus, it is</w:t>
      </w:r>
      <w:r>
        <w:rPr>
          <w:spacing w:val="1"/>
        </w:rPr>
        <w:t> </w:t>
      </w:r>
      <w:r>
        <w:rPr/>
        <w:t>inadequate</w:t>
      </w:r>
      <w:r>
        <w:rPr>
          <w:spacing w:val="-1"/>
        </w:rPr>
        <w:t> </w:t>
      </w:r>
      <w:r>
        <w:rPr/>
        <w:t>to measure</w:t>
      </w:r>
      <w:r>
        <w:rPr>
          <w:spacing w:val="-2"/>
        </w:rPr>
        <w:t> </w:t>
      </w:r>
      <w:r>
        <w:rPr/>
        <w:t>population’s actual health</w:t>
      </w:r>
      <w:r>
        <w:rPr>
          <w:spacing w:val="-1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(Johnston</w:t>
      </w:r>
      <w:r>
        <w:rPr>
          <w:spacing w:val="2"/>
        </w:rPr>
        <w:t> </w:t>
      </w:r>
      <w:r>
        <w:rPr>
          <w:i/>
        </w:rPr>
        <w:t>et al.</w:t>
      </w:r>
      <w:r>
        <w:rPr>
          <w:i/>
          <w:spacing w:val="-3"/>
        </w:rPr>
        <w:t> </w:t>
      </w:r>
      <w:r>
        <w:rPr/>
        <w:t>2007).</w:t>
      </w:r>
    </w:p>
    <w:p>
      <w:pPr>
        <w:pStyle w:val="BodyText"/>
        <w:spacing w:line="352" w:lineRule="auto" w:before="199"/>
        <w:ind w:left="160" w:right="154"/>
        <w:jc w:val="both"/>
      </w:pPr>
      <w:r>
        <w:rPr>
          <w:spacing w:val="-1"/>
        </w:rPr>
        <w:t>Health</w:t>
      </w:r>
      <w:r>
        <w:rPr>
          <w:spacing w:val="-12"/>
        </w:rPr>
        <w:t> </w:t>
      </w:r>
      <w:r>
        <w:rPr>
          <w:spacing w:val="-1"/>
        </w:rPr>
        <w:t>issues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also</w:t>
      </w:r>
      <w:r>
        <w:rPr>
          <w:spacing w:val="-12"/>
        </w:rPr>
        <w:t> </w:t>
      </w:r>
      <w:r>
        <w:rPr>
          <w:spacing w:val="-1"/>
        </w:rPr>
        <w:t>mostly</w:t>
      </w:r>
      <w:r>
        <w:rPr>
          <w:spacing w:val="-18"/>
        </w:rPr>
        <w:t> </w:t>
      </w:r>
      <w:r>
        <w:rPr/>
        <w:t>inner</w:t>
      </w:r>
      <w:r>
        <w:rPr>
          <w:spacing w:val="-13"/>
        </w:rPr>
        <w:t> </w:t>
      </w:r>
      <w:r>
        <w:rPr/>
        <w:t>sense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an</w:t>
      </w:r>
      <w:r>
        <w:rPr>
          <w:spacing w:val="-11"/>
        </w:rPr>
        <w:t> </w:t>
      </w:r>
      <w:r>
        <w:rPr/>
        <w:t>individual’s</w:t>
      </w:r>
      <w:r>
        <w:rPr>
          <w:spacing w:val="-12"/>
        </w:rPr>
        <w:t> </w:t>
      </w:r>
      <w:r>
        <w:rPr/>
        <w:t>feeling</w:t>
      </w:r>
      <w:r>
        <w:rPr>
          <w:spacing w:val="-14"/>
        </w:rPr>
        <w:t> </w:t>
      </w:r>
      <w:r>
        <w:rPr/>
        <w:t>unwell,</w:t>
      </w:r>
      <w:r>
        <w:rPr>
          <w:spacing w:val="-12"/>
        </w:rPr>
        <w:t> </w:t>
      </w:r>
      <w:r>
        <w:rPr/>
        <w:t>which</w:t>
      </w:r>
      <w:r>
        <w:rPr>
          <w:spacing w:val="-10"/>
        </w:rPr>
        <w:t> </w:t>
      </w:r>
      <w:r>
        <w:rPr/>
        <w:t>are</w:t>
      </w:r>
      <w:r>
        <w:rPr>
          <w:spacing w:val="-13"/>
        </w:rPr>
        <w:t> </w:t>
      </w:r>
      <w:r>
        <w:rPr/>
        <w:t>often</w:t>
      </w:r>
      <w:r>
        <w:rPr>
          <w:spacing w:val="-12"/>
        </w:rPr>
        <w:t> </w:t>
      </w:r>
      <w:r>
        <w:rPr/>
        <w:t>difficult</w:t>
      </w:r>
      <w:r>
        <w:rPr>
          <w:spacing w:val="-57"/>
        </w:rPr>
        <w:t> </w:t>
      </w:r>
      <w:r>
        <w:rPr/>
        <w:t>to measure mechanically (Johansen, 2015; Seidlein and Salloch, 2019). This led to a focus on</w:t>
      </w:r>
      <w:r>
        <w:rPr>
          <w:spacing w:val="1"/>
        </w:rPr>
        <w:t> </w:t>
      </w:r>
      <w:r>
        <w:rPr/>
        <w:t>subjective</w:t>
      </w:r>
      <w:r>
        <w:rPr>
          <w:spacing w:val="-7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even</w:t>
      </w:r>
      <w:r>
        <w:rPr>
          <w:spacing w:val="-4"/>
        </w:rPr>
        <w:t> </w:t>
      </w:r>
      <w:r>
        <w:rPr/>
        <w:t>though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affected</w:t>
      </w:r>
      <w:r>
        <w:rPr>
          <w:spacing w:val="-7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5"/>
        </w:rPr>
        <w:t> </w:t>
      </w:r>
      <w:r>
        <w:rPr/>
        <w:t>people’s</w:t>
      </w:r>
      <w:r>
        <w:rPr>
          <w:spacing w:val="-5"/>
        </w:rPr>
        <w:t> </w:t>
      </w:r>
      <w:r>
        <w:rPr/>
        <w:t>state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mind</w:t>
      </w:r>
      <w:r>
        <w:rPr>
          <w:spacing w:val="-5"/>
        </w:rPr>
        <w:t> </w:t>
      </w:r>
      <w:r>
        <w:rPr/>
        <w:t>that</w:t>
      </w:r>
      <w:r>
        <w:rPr>
          <w:spacing w:val="-58"/>
        </w:rPr>
        <w:t> </w:t>
      </w:r>
      <w:r>
        <w:rPr/>
        <w:t>may</w:t>
      </w:r>
      <w:r>
        <w:rPr>
          <w:spacing w:val="-9"/>
        </w:rPr>
        <w:t> </w:t>
      </w:r>
      <w:r>
        <w:rPr/>
        <w:t>vary</w:t>
      </w:r>
      <w:r>
        <w:rPr>
          <w:spacing w:val="-8"/>
        </w:rPr>
        <w:t> </w:t>
      </w:r>
      <w:r>
        <w:rPr/>
        <w:t>from</w:t>
      </w:r>
      <w:r>
        <w:rPr>
          <w:spacing w:val="-3"/>
        </w:rPr>
        <w:t> </w:t>
      </w:r>
      <w:r>
        <w:rPr/>
        <w:t>day-to-day.</w:t>
      </w:r>
      <w:r>
        <w:rPr>
          <w:spacing w:val="-1"/>
        </w:rPr>
        <w:t> </w:t>
      </w:r>
      <w:r>
        <w:rPr/>
        <w:t>Furthermore,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may</w:t>
      </w:r>
      <w:r>
        <w:rPr>
          <w:spacing w:val="-9"/>
        </w:rPr>
        <w:t> </w:t>
      </w:r>
      <w:r>
        <w:rPr/>
        <w:t>report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differently</w:t>
      </w:r>
      <w:r>
        <w:rPr>
          <w:spacing w:val="-6"/>
        </w:rPr>
        <w:t> </w:t>
      </w:r>
      <w:r>
        <w:rPr/>
        <w:t>based</w:t>
      </w:r>
      <w:r>
        <w:rPr>
          <w:spacing w:val="-58"/>
        </w:rPr>
        <w:t> </w:t>
      </w:r>
      <w:r>
        <w:rPr/>
        <w:t>on their socially driven conceptions of what ‘health’ means their expectations (Bago d’Uva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2006). These factors are problematic because they are likely to vary systematically with observed</w:t>
      </w:r>
      <w:r>
        <w:rPr>
          <w:spacing w:val="-57"/>
        </w:rPr>
        <w:t> </w:t>
      </w:r>
      <w:r>
        <w:rPr/>
        <w:t>demographic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socio-economic</w:t>
      </w:r>
      <w:r>
        <w:rPr>
          <w:spacing w:val="-8"/>
        </w:rPr>
        <w:t> </w:t>
      </w:r>
      <w:r>
        <w:rPr/>
        <w:t>factors</w:t>
      </w:r>
      <w:r>
        <w:rPr>
          <w:spacing w:val="-7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health,</w:t>
      </w:r>
      <w:r>
        <w:rPr>
          <w:spacing w:val="-8"/>
        </w:rPr>
        <w:t> </w:t>
      </w:r>
      <w:r>
        <w:rPr/>
        <w:t>education,</w:t>
      </w:r>
      <w:r>
        <w:rPr>
          <w:spacing w:val="-8"/>
        </w:rPr>
        <w:t> </w:t>
      </w:r>
      <w:r>
        <w:rPr/>
        <w:t>poverty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income</w:t>
      </w:r>
      <w:r>
        <w:rPr>
          <w:spacing w:val="-7"/>
        </w:rPr>
        <w:t> </w:t>
      </w:r>
      <w:r>
        <w:rPr/>
        <w:t>(Johnston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2007).</w:t>
      </w:r>
    </w:p>
    <w:p>
      <w:pPr>
        <w:pStyle w:val="BodyText"/>
        <w:spacing w:line="352" w:lineRule="auto" w:before="195"/>
        <w:ind w:left="160" w:right="155"/>
        <w:jc w:val="both"/>
      </w:pPr>
      <w:r>
        <w:rPr/>
        <w:t>Therefore, because of the complexity of developing a reliable, actual and valid health outcomes</w:t>
      </w:r>
      <w:r>
        <w:rPr>
          <w:spacing w:val="1"/>
        </w:rPr>
        <w:t> </w:t>
      </w:r>
      <w:r>
        <w:rPr/>
        <w:t>measurement, economists rely evenly on subjective or self-reported measures (for instance, See</w:t>
      </w:r>
      <w:r>
        <w:rPr>
          <w:spacing w:val="1"/>
        </w:rPr>
        <w:t> </w:t>
      </w:r>
      <w:r>
        <w:rPr/>
        <w:t>Tan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China;</w:t>
      </w:r>
      <w:r>
        <w:rPr>
          <w:spacing w:val="-1"/>
        </w:rPr>
        <w:t> </w:t>
      </w:r>
      <w:r>
        <w:rPr/>
        <w:t>Massa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for Brazil;</w:t>
      </w:r>
      <w:r>
        <w:rPr>
          <w:spacing w:val="-1"/>
        </w:rPr>
        <w:t> </w:t>
      </w:r>
      <w:r>
        <w:rPr/>
        <w:t>Singh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Australia;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Hill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2019 for United States). Asfaw (2018), Musinguzi (2018) and Evans </w:t>
      </w:r>
      <w:r>
        <w:rPr>
          <w:i/>
        </w:rPr>
        <w:t>et al. </w:t>
      </w:r>
      <w:r>
        <w:rPr/>
        <w:t>(2017) have</w:t>
      </w:r>
      <w:r>
        <w:rPr>
          <w:spacing w:val="1"/>
        </w:rPr>
        <w:t> </w:t>
      </w:r>
      <w:r>
        <w:rPr/>
        <w:t>similarly shown that health outcomes of citizens largely associated with their health-seeking</w:t>
      </w:r>
      <w:r>
        <w:rPr>
          <w:spacing w:val="1"/>
        </w:rPr>
        <w:t> </w:t>
      </w:r>
      <w:r>
        <w:rPr/>
        <w:t>behavior.</w:t>
      </w:r>
    </w:p>
    <w:p>
      <w:pPr>
        <w:spacing w:after="0" w:line="352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Heading5"/>
        <w:numPr>
          <w:ilvl w:val="2"/>
          <w:numId w:val="11"/>
        </w:numPr>
        <w:tabs>
          <w:tab w:pos="881" w:val="left" w:leader="none"/>
        </w:tabs>
        <w:spacing w:line="240" w:lineRule="auto" w:before="77" w:after="0"/>
        <w:ind w:left="880" w:right="0" w:hanging="721"/>
        <w:jc w:val="both"/>
      </w:pPr>
      <w:r>
        <w:rPr/>
        <w:t>Health</w:t>
      </w:r>
      <w:r>
        <w:rPr>
          <w:spacing w:val="-1"/>
        </w:rPr>
        <w:t> </w:t>
      </w:r>
      <w:r>
        <w:rPr/>
        <w:t>Seeking</w:t>
      </w:r>
      <w:r>
        <w:rPr>
          <w:spacing w:val="-2"/>
        </w:rPr>
        <w:t> </w:t>
      </w:r>
      <w:r>
        <w:rPr/>
        <w:t>Behavior</w:t>
      </w:r>
    </w:p>
    <w:p>
      <w:pPr>
        <w:pStyle w:val="BodyText"/>
        <w:spacing w:line="360" w:lineRule="auto" w:before="19"/>
        <w:ind w:left="160" w:right="160"/>
        <w:jc w:val="both"/>
      </w:pPr>
      <w:r>
        <w:rPr/>
        <w:t>The</w:t>
      </w:r>
      <w:r>
        <w:rPr>
          <w:spacing w:val="-5"/>
        </w:rPr>
        <w:t> </w:t>
      </w:r>
      <w:r>
        <w:rPr/>
        <w:t>definition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health-seeking</w:t>
      </w:r>
      <w:r>
        <w:rPr>
          <w:spacing w:val="-5"/>
        </w:rPr>
        <w:t> </w:t>
      </w:r>
      <w:r>
        <w:rPr/>
        <w:t>behavior</w:t>
      </w:r>
      <w:r>
        <w:rPr>
          <w:spacing w:val="-4"/>
        </w:rPr>
        <w:t> </w:t>
      </w:r>
      <w:r>
        <w:rPr/>
        <w:t>(HSB)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often</w:t>
      </w:r>
      <w:r>
        <w:rPr>
          <w:spacing w:val="-3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vague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difficult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define.</w:t>
      </w:r>
      <w:r>
        <w:rPr>
          <w:spacing w:val="-58"/>
        </w:rPr>
        <w:t> </w:t>
      </w:r>
      <w:r>
        <w:rPr/>
        <w:t>There is no common definition agreed in literature, despite referring to the same activity. In the</w:t>
      </w:r>
      <w:r>
        <w:rPr>
          <w:spacing w:val="1"/>
        </w:rPr>
        <w:t> </w:t>
      </w:r>
      <w:r>
        <w:rPr/>
        <w:t>broadest sense, HSB refer to all behaviors associated with establishing and maintaining a healthy</w:t>
      </w:r>
      <w:r>
        <w:rPr>
          <w:spacing w:val="-57"/>
        </w:rPr>
        <w:t> </w:t>
      </w:r>
      <w:r>
        <w:rPr>
          <w:spacing w:val="-1"/>
        </w:rPr>
        <w:t>physical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mental</w:t>
      </w:r>
      <w:r>
        <w:rPr>
          <w:spacing w:val="-10"/>
        </w:rPr>
        <w:t> </w:t>
      </w:r>
      <w:r>
        <w:rPr>
          <w:spacing w:val="-1"/>
        </w:rPr>
        <w:t>state</w:t>
      </w:r>
      <w:r>
        <w:rPr>
          <w:spacing w:val="-10"/>
        </w:rPr>
        <w:t> </w:t>
      </w:r>
      <w:r>
        <w:rPr>
          <w:spacing w:val="-1"/>
        </w:rPr>
        <w:t>(WHO,</w:t>
      </w:r>
      <w:r>
        <w:rPr>
          <w:spacing w:val="-10"/>
        </w:rPr>
        <w:t> </w:t>
      </w:r>
      <w:r>
        <w:rPr/>
        <w:t>2015).</w:t>
      </w:r>
      <w:r>
        <w:rPr>
          <w:spacing w:val="-8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what</w:t>
      </w:r>
      <w:r>
        <w:rPr>
          <w:spacing w:val="-12"/>
        </w:rPr>
        <w:t> </w:t>
      </w:r>
      <w:r>
        <w:rPr/>
        <w:t>people</w:t>
      </w:r>
      <w:r>
        <w:rPr>
          <w:spacing w:val="-11"/>
        </w:rPr>
        <w:t> </w:t>
      </w:r>
      <w:r>
        <w:rPr/>
        <w:t>do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order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maintain</w:t>
      </w:r>
      <w:r>
        <w:rPr>
          <w:spacing w:val="-10"/>
        </w:rPr>
        <w:t> </w:t>
      </w:r>
      <w:r>
        <w:rPr/>
        <w:t>healthy</w:t>
      </w:r>
      <w:r>
        <w:rPr>
          <w:spacing w:val="-17"/>
        </w:rPr>
        <w:t> </w:t>
      </w:r>
      <w:r>
        <w:rPr/>
        <w:t>outcomes</w:t>
      </w:r>
      <w:r>
        <w:rPr>
          <w:spacing w:val="-57"/>
        </w:rPr>
        <w:t> </w:t>
      </w:r>
      <w:r>
        <w:rPr/>
        <w:t>and/or return to health, ranging from individual behavior to collective behavior (Oberoi, 2016).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suggest that HSB are</w:t>
      </w:r>
      <w:r>
        <w:rPr>
          <w:spacing w:val="-2"/>
        </w:rPr>
        <w:t> </w:t>
      </w:r>
      <w:r>
        <w:rPr/>
        <w:t>directly</w:t>
      </w:r>
      <w:r>
        <w:rPr>
          <w:spacing w:val="-5"/>
        </w:rPr>
        <w:t> </w:t>
      </w:r>
      <w:r>
        <w:rPr/>
        <w:t>related to health outcomes.</w:t>
      </w:r>
    </w:p>
    <w:p>
      <w:pPr>
        <w:pStyle w:val="BodyText"/>
        <w:spacing w:line="360" w:lineRule="auto" w:before="231"/>
        <w:ind w:left="160" w:right="156"/>
        <w:jc w:val="both"/>
      </w:pP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also</w:t>
      </w:r>
      <w:r>
        <w:rPr>
          <w:spacing w:val="-14"/>
        </w:rPr>
        <w:t> </w:t>
      </w:r>
      <w:r>
        <w:rPr/>
        <w:t>implies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HSB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sequence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remedial</w:t>
      </w:r>
      <w:r>
        <w:rPr>
          <w:spacing w:val="-13"/>
        </w:rPr>
        <w:t> </w:t>
      </w:r>
      <w:r>
        <w:rPr/>
        <w:t>actions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people</w:t>
      </w:r>
      <w:r>
        <w:rPr>
          <w:spacing w:val="-15"/>
        </w:rPr>
        <w:t> </w:t>
      </w:r>
      <w:r>
        <w:rPr/>
        <w:t>undertake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rectify</w:t>
      </w:r>
      <w:r>
        <w:rPr>
          <w:spacing w:val="-20"/>
        </w:rPr>
        <w:t> </w:t>
      </w:r>
      <w:r>
        <w:rPr/>
        <w:t>perceived</w:t>
      </w:r>
      <w:r>
        <w:rPr>
          <w:spacing w:val="-57"/>
        </w:rPr>
        <w:t> </w:t>
      </w:r>
      <w:r>
        <w:rPr/>
        <w:t>poor health outcomes, such as sick-days and illness. It is seen as individual’s action that promote</w:t>
      </w:r>
      <w:r>
        <w:rPr>
          <w:spacing w:val="1"/>
        </w:rPr>
        <w:t> </w:t>
      </w:r>
      <w:r>
        <w:rPr/>
        <w:t>maximum</w:t>
      </w:r>
      <w:r>
        <w:rPr>
          <w:spacing w:val="-9"/>
        </w:rPr>
        <w:t> </w:t>
      </w:r>
      <w:r>
        <w:rPr/>
        <w:t>well-being,</w:t>
      </w:r>
      <w:r>
        <w:rPr>
          <w:spacing w:val="-7"/>
        </w:rPr>
        <w:t> </w:t>
      </w:r>
      <w:r>
        <w:rPr/>
        <w:t>recovery,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rehabilitation</w:t>
      </w:r>
      <w:r>
        <w:rPr>
          <w:spacing w:val="-7"/>
        </w:rPr>
        <w:t> </w:t>
      </w:r>
      <w:r>
        <w:rPr/>
        <w:t>(Novignon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al.,</w:t>
      </w:r>
      <w:r>
        <w:rPr>
          <w:i/>
          <w:spacing w:val="-7"/>
        </w:rPr>
        <w:t> </w:t>
      </w:r>
      <w:r>
        <w:rPr/>
        <w:t>2017).</w:t>
      </w:r>
      <w:r>
        <w:rPr>
          <w:spacing w:val="-10"/>
        </w:rPr>
        <w:t> </w:t>
      </w:r>
      <w:r>
        <w:rPr/>
        <w:t>HSB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often</w:t>
      </w:r>
      <w:r>
        <w:rPr>
          <w:spacing w:val="-7"/>
        </w:rPr>
        <w:t> </w:t>
      </w:r>
      <w:r>
        <w:rPr/>
        <w:t>preceded</w:t>
      </w:r>
      <w:r>
        <w:rPr>
          <w:spacing w:val="-58"/>
        </w:rPr>
        <w:t> </w:t>
      </w:r>
      <w:r>
        <w:rPr/>
        <w:t>by a decision-making process. This largely related with individuals and/or household behavior,</w:t>
      </w:r>
      <w:r>
        <w:rPr>
          <w:spacing w:val="1"/>
        </w:rPr>
        <w:t> </w:t>
      </w:r>
      <w:r>
        <w:rPr/>
        <w:t>community norms, and expectations as well as provider-associated behavior and characteristics</w:t>
      </w:r>
      <w:r>
        <w:rPr>
          <w:spacing w:val="1"/>
        </w:rPr>
        <w:t> </w:t>
      </w:r>
      <w:r>
        <w:rPr/>
        <w:t>(Poortaghi,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</w:pPr>
    </w:p>
    <w:p>
      <w:pPr>
        <w:pStyle w:val="BodyText"/>
        <w:spacing w:line="360" w:lineRule="auto" w:before="1"/>
        <w:ind w:left="160" w:right="157"/>
        <w:jc w:val="both"/>
      </w:pPr>
      <w:r>
        <w:rPr/>
        <w:t>It has also been defined as any action undertaken by people who perceived themselves to have a</w:t>
      </w:r>
      <w:r>
        <w:rPr>
          <w:spacing w:val="1"/>
        </w:rPr>
        <w:t> </w:t>
      </w:r>
      <w:r>
        <w:rPr/>
        <w:t>health problem or to be ill for the purpose of finding a remedy that is appropriate (Evans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2017). This indicate that, HSB is how health services in a society or nation are used or utilized,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turn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health</w:t>
      </w:r>
      <w:r>
        <w:rPr>
          <w:spacing w:val="-6"/>
        </w:rPr>
        <w:t> </w:t>
      </w:r>
      <w:r>
        <w:rPr/>
        <w:t>outcomes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populations.</w:t>
      </w:r>
      <w:r>
        <w:rPr>
          <w:spacing w:val="-3"/>
        </w:rPr>
        <w:t> </w:t>
      </w:r>
      <w:r>
        <w:rPr/>
        <w:t>Indeed,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utilization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healthcare</w:t>
      </w:r>
      <w:r>
        <w:rPr>
          <w:spacing w:val="-9"/>
        </w:rPr>
        <w:t> </w:t>
      </w:r>
      <w:r>
        <w:rPr/>
        <w:t>system</w:t>
      </w:r>
      <w:r>
        <w:rPr>
          <w:spacing w:val="-6"/>
        </w:rPr>
        <w:t> </w:t>
      </w:r>
      <w:r>
        <w:rPr/>
        <w:t>largely</w:t>
      </w:r>
      <w:r>
        <w:rPr>
          <w:spacing w:val="-58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(Musoke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Boynton,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360" w:lineRule="auto" w:before="183"/>
        <w:ind w:left="160" w:right="157"/>
        <w:jc w:val="both"/>
      </w:pPr>
      <w:r>
        <w:rPr/>
        <w:t>In addition, health-seeking behaviour entails reducing the impact or progression of an illness or</w:t>
      </w:r>
      <w:r>
        <w:rPr>
          <w:spacing w:val="1"/>
        </w:rPr>
        <w:t> </w:t>
      </w:r>
      <w:r>
        <w:rPr/>
        <w:t>diseases</w:t>
      </w:r>
      <w:r>
        <w:rPr>
          <w:spacing w:val="-4"/>
        </w:rPr>
        <w:t> </w:t>
      </w:r>
      <w:r>
        <w:rPr/>
        <w:t>(Martucci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Galamide,</w:t>
      </w:r>
      <w:r>
        <w:rPr>
          <w:spacing w:val="-4"/>
        </w:rPr>
        <w:t> </w:t>
      </w:r>
      <w:r>
        <w:rPr/>
        <w:t>2012).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because</w:t>
      </w:r>
      <w:r>
        <w:rPr>
          <w:spacing w:val="-5"/>
        </w:rPr>
        <w:t> </w:t>
      </w:r>
      <w:r>
        <w:rPr/>
        <w:t>people’s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HSB</w:t>
      </w:r>
      <w:r>
        <w:rPr>
          <w:spacing w:val="-58"/>
        </w:rPr>
        <w:t> </w:t>
      </w:r>
      <w:r>
        <w:rPr/>
        <w:t>are closely associated (Novignon </w:t>
      </w:r>
      <w:r>
        <w:rPr>
          <w:i/>
        </w:rPr>
        <w:t>et al., </w:t>
      </w:r>
      <w:r>
        <w:rPr/>
        <w:t>2017). In this account, Clewley and Rho (2018) explains</w:t>
      </w:r>
      <w:r>
        <w:rPr>
          <w:spacing w:val="1"/>
        </w:rPr>
        <w:t> </w:t>
      </w:r>
      <w:r>
        <w:rPr/>
        <w:t>HSB as broader issues that determine health and aids understanding how people engage with the</w:t>
      </w:r>
      <w:r>
        <w:rPr>
          <w:spacing w:val="1"/>
        </w:rPr>
        <w:t> </w:t>
      </w:r>
      <w:r>
        <w:rPr>
          <w:spacing w:val="-1"/>
        </w:rPr>
        <w:t>healthcare</w:t>
      </w:r>
      <w:r>
        <w:rPr>
          <w:spacing w:val="-16"/>
        </w:rPr>
        <w:t> </w:t>
      </w:r>
      <w:r>
        <w:rPr>
          <w:spacing w:val="-1"/>
        </w:rPr>
        <w:t>systems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their</w:t>
      </w:r>
      <w:r>
        <w:rPr>
          <w:spacing w:val="-16"/>
        </w:rPr>
        <w:t> </w:t>
      </w:r>
      <w:r>
        <w:rPr/>
        <w:t>respective</w:t>
      </w:r>
      <w:r>
        <w:rPr>
          <w:spacing w:val="-16"/>
        </w:rPr>
        <w:t> </w:t>
      </w:r>
      <w:r>
        <w:rPr/>
        <w:t>socio-cultural,</w:t>
      </w:r>
      <w:r>
        <w:rPr>
          <w:spacing w:val="-13"/>
        </w:rPr>
        <w:t> </w:t>
      </w:r>
      <w:r>
        <w:rPr/>
        <w:t>religion,</w:t>
      </w:r>
      <w:r>
        <w:rPr>
          <w:spacing w:val="-14"/>
        </w:rPr>
        <w:t> </w:t>
      </w:r>
      <w:r>
        <w:rPr/>
        <w:t>economic,</w:t>
      </w:r>
      <w:r>
        <w:rPr>
          <w:spacing w:val="-15"/>
        </w:rPr>
        <w:t> </w:t>
      </w:r>
      <w:r>
        <w:rPr/>
        <w:t>political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demographic</w:t>
      </w:r>
      <w:r>
        <w:rPr>
          <w:spacing w:val="-57"/>
        </w:rPr>
        <w:t> </w:t>
      </w:r>
      <w:r>
        <w:rPr/>
        <w:t>domains.</w:t>
      </w:r>
    </w:p>
    <w:p>
      <w:pPr>
        <w:pStyle w:val="BodyText"/>
        <w:spacing w:line="360" w:lineRule="auto" w:before="183"/>
        <w:ind w:left="160" w:right="156"/>
        <w:jc w:val="both"/>
      </w:pPr>
      <w:r>
        <w:rPr/>
        <w:t>Therefore, health-seeking behaviour was conceptualized as, how people interface with the health</w:t>
      </w:r>
      <w:r>
        <w:rPr>
          <w:spacing w:val="1"/>
        </w:rPr>
        <w:t> </w:t>
      </w:r>
      <w:r>
        <w:rPr/>
        <w:t>facilities, how often they visit, the costs and quality of healthcare service consumes (Huang </w:t>
      </w:r>
      <w:r>
        <w:rPr>
          <w:i/>
        </w:rPr>
        <w:t>et al.</w:t>
      </w:r>
      <w:r>
        <w:rPr>
          <w:i/>
          <w:spacing w:val="-57"/>
        </w:rPr>
        <w:t> </w:t>
      </w:r>
      <w:r>
        <w:rPr/>
        <w:t>2017). That is, all efforts to establish positive health outcomes. These could be associated with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demand-</w:t>
      </w:r>
      <w:r>
        <w:rPr>
          <w:spacing w:val="-1"/>
        </w:rPr>
        <w:t> </w:t>
      </w:r>
      <w:r>
        <w:rPr/>
        <w:t>and supply-side factors.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spacing w:before="74"/>
        <w:ind w:left="160" w:right="0" w:firstLine="0"/>
        <w:jc w:val="both"/>
        <w:rPr>
          <w:i/>
          <w:sz w:val="24"/>
        </w:rPr>
      </w:pPr>
      <w:r>
        <w:rPr>
          <w:i/>
          <w:sz w:val="24"/>
        </w:rPr>
        <w:t>Determinants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Health-Seeking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Behaviour</w:t>
      </w:r>
    </w:p>
    <w:p>
      <w:pPr>
        <w:pStyle w:val="BodyText"/>
        <w:spacing w:line="360" w:lineRule="auto" w:before="137"/>
        <w:ind w:left="160" w:right="157"/>
        <w:jc w:val="both"/>
      </w:pPr>
      <w:r>
        <w:rPr/>
        <w:pict>
          <v:shape style="position:absolute;margin-left:114.489998pt;margin-top:187.113113pt;width:8.15pt;height:39.75pt;mso-position-horizontal-relative:page;mso-position-vertical-relative:paragraph;z-index:15752192" coordorigin="2290,3742" coordsize="163,795" path="m2301,4386l2291,4392,2290,4398,2371,4537,2383,4517,2361,4517,2361,4481,2307,4388,2301,4386xm2361,4481l2361,4517,2381,4517,2381,4512,2363,4512,2371,4498,2361,4481xm2441,4386l2435,4388,2381,4481,2381,4517,2383,4517,2453,4398,2451,4392,2441,4386xm2371,4498l2363,4512,2380,4512,2371,4498xm2381,4481l2371,4498,2380,4512,2381,4512,2381,4481xm2381,3742l2361,3742,2361,4481,2371,4498,2381,4481,2381,374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1.649994pt;margin-top:187.473114pt;width:8.15pt;height:39.75pt;mso-position-horizontal-relative:page;mso-position-vertical-relative:paragraph;z-index:15752704" coordorigin="3833,3749" coordsize="163,795" path="m3844,4393l3835,4399,3833,4405,3914,4544,3926,4525,3904,4525,3904,4488,3850,4395,3844,4393xm3904,4488l3904,4525,3924,4525,3924,4520,3906,4520,3914,4505,3904,4488xm3985,4393l3979,4395,3924,4488,3924,4525,3926,4525,3996,4405,3994,4399,3985,4393xm3914,4505l3906,4520,3923,4520,3914,4505xm3924,4488l3914,4505,3923,4520,3924,4520,3924,4488xm3924,3749l3904,3749,3904,4488,3914,4505,3924,4488,3924,374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1.209991pt;margin-top:187.473114pt;width:8.15pt;height:39.75pt;mso-position-horizontal-relative:page;mso-position-vertical-relative:paragraph;z-index:15753216" coordorigin="5424,3749" coordsize="163,795" path="m5435,4393l5426,4399,5424,4405,5506,4544,5517,4525,5496,4525,5496,4488,5441,4395,5435,4393xm5496,4488l5496,4525,5516,4525,5516,4520,5497,4520,5506,4505,5496,4488xm5576,4393l5570,4395,5516,4488,5516,4525,5517,4525,5587,4405,5585,4399,5576,4393xm5506,4505l5497,4520,5514,4520,5506,4505xm5516,4488l5506,4505,5514,4520,5516,4520,5516,4488xm5516,3749l5496,3749,5496,4488,5506,4505,5516,4488,5516,374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9.209991pt;margin-top:187.473114pt;width:8.15pt;height:39.75pt;mso-position-horizontal-relative:page;mso-position-vertical-relative:paragraph;z-index:15753728" coordorigin="7584,3749" coordsize="163,795" path="m7595,4393l7586,4399,7584,4405,7666,4544,7677,4525,7656,4525,7656,4488,7601,4395,7595,4393xm7656,4488l7656,4525,7676,4525,7676,4520,7657,4520,7666,4505,7656,4488xm7736,4393l7730,4395,7676,4488,7676,4525,7677,4525,7747,4405,7745,4399,7736,4393xm7666,4505l7657,4520,7674,4520,7666,4505xm7676,4488l7666,4505,7674,4520,7676,4520,7676,4488xm7676,3749l7656,3749,7656,4488,7666,4505,7676,4488,7676,374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6.649994pt;margin-top:187.593109pt;width:8.15pt;height:39.75pt;mso-position-horizontal-relative:page;mso-position-vertical-relative:paragraph;z-index:15754240" coordorigin="9533,3752" coordsize="163,795" path="m9544,4396l9535,4401,9533,4407,9614,4547,9626,4527,9604,4527,9604,4490,9550,4397,9544,4396xm9604,4490l9604,4527,9624,4527,9624,4522,9606,4522,9614,4507,9604,4490xm9685,4396l9679,4397,9624,4490,9624,4527,9626,4527,9696,4407,9694,4401,9685,4396xm9614,4507l9606,4522,9623,4522,9614,4507xm9624,4490l9614,4507,9623,4522,9624,4522,9624,4490xm9624,3752l9604,3752,9604,4490,9614,4507,9624,4490,9624,3752xe" filled="true" fillcolor="#000000" stroked="false">
            <v:path arrowok="t"/>
            <v:fill type="solid"/>
            <w10:wrap type="none"/>
          </v:shape>
        </w:pict>
      </w:r>
      <w:r>
        <w:rPr/>
        <w:t>There are various determinants of HSB as Figure 3.2 summarized. These include, non-cognitive</w:t>
      </w:r>
      <w:r>
        <w:rPr>
          <w:spacing w:val="1"/>
        </w:rPr>
        <w:t> </w:t>
      </w:r>
      <w:r>
        <w:rPr/>
        <w:t>and cognitive factors. HSB is a multi-dimensional concept relying on time and context that as to</w:t>
      </w:r>
      <w:r>
        <w:rPr>
          <w:spacing w:val="1"/>
        </w:rPr>
        <w:t> </w:t>
      </w:r>
      <w:r>
        <w:rPr/>
        <w:t>do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individual’s</w:t>
      </w:r>
      <w:r>
        <w:rPr>
          <w:spacing w:val="-13"/>
        </w:rPr>
        <w:t> </w:t>
      </w:r>
      <w:r>
        <w:rPr/>
        <w:t>perceptions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health</w:t>
      </w:r>
      <w:r>
        <w:rPr>
          <w:spacing w:val="-13"/>
        </w:rPr>
        <w:t> </w:t>
      </w:r>
      <w:r>
        <w:rPr/>
        <w:t>needs,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other</w:t>
      </w:r>
      <w:r>
        <w:rPr>
          <w:spacing w:val="-15"/>
        </w:rPr>
        <w:t> </w:t>
      </w:r>
      <w:r>
        <w:rPr/>
        <w:t>various</w:t>
      </w:r>
      <w:r>
        <w:rPr>
          <w:spacing w:val="-13"/>
        </w:rPr>
        <w:t> </w:t>
      </w:r>
      <w:r>
        <w:rPr/>
        <w:t>factors</w:t>
      </w:r>
      <w:r>
        <w:rPr>
          <w:spacing w:val="-11"/>
        </w:rPr>
        <w:t> </w:t>
      </w:r>
      <w:r>
        <w:rPr/>
        <w:t>(MacKian,</w:t>
      </w:r>
      <w:r>
        <w:rPr>
          <w:spacing w:val="-13"/>
        </w:rPr>
        <w:t> </w:t>
      </w:r>
      <w:r>
        <w:rPr/>
        <w:t>2003).</w:t>
      </w:r>
      <w:r>
        <w:rPr>
          <w:spacing w:val="-12"/>
        </w:rPr>
        <w:t> </w:t>
      </w:r>
      <w:r>
        <w:rPr/>
        <w:t>These</w:t>
      </w:r>
      <w:r>
        <w:rPr>
          <w:spacing w:val="-58"/>
        </w:rPr>
        <w:t> </w:t>
      </w:r>
      <w:r>
        <w:rPr/>
        <w:t>factors are numerous, for instance the time difference between the onset of an illness and getting</w:t>
      </w:r>
      <w:r>
        <w:rPr>
          <w:spacing w:val="1"/>
        </w:rPr>
        <w:t> </w:t>
      </w:r>
      <w:r>
        <w:rPr/>
        <w:t>in contact with healthcare professionals. It also includes the type of healthcare provider patients</w:t>
      </w:r>
      <w:r>
        <w:rPr>
          <w:spacing w:val="1"/>
        </w:rPr>
        <w:t> </w:t>
      </w:r>
      <w:r>
        <w:rPr/>
        <w:t>sought help from, how compliant patients are with recommended treatment; reasons for choice of</w:t>
      </w:r>
      <w:r>
        <w:rPr>
          <w:spacing w:val="-57"/>
        </w:rPr>
        <w:t> </w:t>
      </w:r>
      <w:r>
        <w:rPr/>
        <w:t>healthcare</w:t>
      </w:r>
      <w:r>
        <w:rPr>
          <w:spacing w:val="-2"/>
        </w:rPr>
        <w:t> </w:t>
      </w:r>
      <w:r>
        <w:rPr/>
        <w:t>professional; and</w:t>
      </w:r>
      <w:r>
        <w:rPr>
          <w:spacing w:val="-1"/>
        </w:rPr>
        <w:t> </w:t>
      </w:r>
      <w:r>
        <w:rPr/>
        <w:t>for not seeking</w:t>
      </w:r>
      <w:r>
        <w:rPr>
          <w:spacing w:val="-4"/>
        </w:rPr>
        <w:t> </w:t>
      </w:r>
      <w:r>
        <w:rPr/>
        <w:t>help from healthcare</w:t>
      </w:r>
      <w:r>
        <w:rPr>
          <w:spacing w:val="-2"/>
        </w:rPr>
        <w:t> </w:t>
      </w:r>
      <w:r>
        <w:rPr/>
        <w:t>professionals (WHO,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101.279999pt;margin-top:16.083477pt;width:180pt;height:19.6pt;mso-position-horizontal-relative:page;mso-position-vertical-relative:paragraph;z-index:-1570918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70"/>
                    <w:ind w:left="367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DEMAND-SIDE</w:t>
                  </w:r>
                  <w:r>
                    <w:rPr>
                      <w:rFonts w:asci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DETERMINANTS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37.559998pt;margin-top:15.363477pt;width:191.2pt;height:20.3pt;mso-position-horizontal-relative:page;mso-position-vertical-relative:paragraph;z-index:-1570867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70"/>
                    <w:ind w:left="565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SUPPLY-SIDE</w:t>
                  </w:r>
                  <w:r>
                    <w:rPr>
                      <w:rFonts w:asci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DETERMINANTS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75.720001pt;margin-top:15.021954pt;width:77.3pt;height:33.75pt;mso-position-horizontal-relative:page;mso-position-vertical-relative:paragraph;z-index:-1570816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70"/>
                    <w:ind w:left="442" w:right="151" w:hanging="274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Demographic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Factors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71pt;margin-top:15.021954pt;width:53.3pt;height:33.75pt;mso-position-horizontal-relative:page;mso-position-vertical-relative:paragraph;z-index:-1570764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70"/>
                    <w:ind w:left="228" w:right="156" w:firstLine="6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Need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Factors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47.559998pt;margin-top:14.301953pt;width:57pt;height:33.75pt;mso-position-horizontal-relative:page;mso-position-vertical-relative:paragraph;z-index:-1570713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70"/>
                    <w:ind w:left="238" w:right="164" w:hanging="56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Enabling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Factors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45pt;margin-top:14.181953pt;width:77.3pt;height:33.75pt;mso-position-horizontal-relative:page;mso-position-vertical-relative:paragraph;z-index:-1570662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74"/>
                    <w:ind w:left="311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Resources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47pt;margin-top:13.461953pt;width:77.3pt;height:33pt;mso-position-horizontal-relative:page;mso-position-vertical-relative:paragraph;z-index:-1570611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37" w:lineRule="auto" w:before="74"/>
                    <w:ind w:left="402" w:right="383" w:firstLine="45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Service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Delivery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86.279999pt;margin-top:14.781953pt;width:442.45pt;height:33pt;mso-position-horizontal-relative:page;mso-position-vertical-relative:paragraph;z-index:-1570560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72"/>
                    <w:ind w:left="3090" w:right="3090" w:firstLine="0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HEALTHCARE</w:t>
                  </w:r>
                  <w:r>
                    <w:rPr>
                      <w:rFonts w:asci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SERVICE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USE</w:t>
                  </w:r>
                </w:p>
                <w:p>
                  <w:pPr>
                    <w:tabs>
                      <w:tab w:pos="864" w:val="left" w:leader="none"/>
                    </w:tabs>
                    <w:spacing w:before="0"/>
                    <w:ind w:left="504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1.</w:t>
                    <w:tab/>
                    <w:t>Never</w:t>
                  </w:r>
                  <w:r>
                    <w:rPr>
                      <w:rFonts w:asci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Use;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2.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One-time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Use; 3.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Repeated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Use;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and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4. Achieved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Minimum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Recommended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Visits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Heading4"/>
        <w:spacing w:line="274" w:lineRule="exact" w:before="110"/>
      </w:pPr>
      <w:r>
        <w:rPr/>
        <w:t>Figure</w:t>
      </w:r>
      <w:r>
        <w:rPr>
          <w:spacing w:val="-3"/>
        </w:rPr>
        <w:t> </w:t>
      </w:r>
      <w:r>
        <w:rPr/>
        <w:t>3.2:</w:t>
      </w:r>
      <w:r>
        <w:rPr>
          <w:spacing w:val="-1"/>
        </w:rPr>
        <w:t> </w:t>
      </w:r>
      <w:r>
        <w:rPr/>
        <w:t>Determinants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Health-Seeking</w:t>
      </w:r>
      <w:r>
        <w:rPr>
          <w:spacing w:val="-1"/>
        </w:rPr>
        <w:t> </w:t>
      </w:r>
      <w:r>
        <w:rPr/>
        <w:t>Behavior</w:t>
      </w:r>
    </w:p>
    <w:p>
      <w:pPr>
        <w:pStyle w:val="BodyText"/>
        <w:spacing w:line="274" w:lineRule="exact"/>
        <w:ind w:left="160"/>
        <w:jc w:val="both"/>
      </w:pPr>
      <w:r>
        <w:rPr/>
        <w:pict>
          <v:shape style="position:absolute;margin-left:114.489998pt;margin-top:-93.026299pt;width:8.15pt;height:39.75pt;mso-position-horizontal-relative:page;mso-position-vertical-relative:paragraph;z-index:15754752" coordorigin="2290,-1861" coordsize="163,795" path="m2301,-1217l2291,-1211,2290,-1205,2371,-1066,2383,-1085,2361,-1085,2361,-1122,2307,-1215,2301,-1217xm2361,-1122l2361,-1085,2381,-1085,2381,-1090,2363,-1090,2371,-1105,2361,-1122xm2441,-1217l2435,-1215,2381,-1122,2381,-1085,2383,-1085,2453,-1205,2451,-1211,2441,-1217xm2371,-1105l2363,-1090,2380,-1090,2371,-1105xm2381,-1122l2371,-1105,2380,-1090,2381,-1090,2381,-1122xm2381,-1861l2361,-1861,2361,-1122,2371,-1105,2381,-1122,2381,-186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4.649994pt;margin-top:-93.026299pt;width:8.15pt;height:39.75pt;mso-position-horizontal-relative:page;mso-position-vertical-relative:paragraph;z-index:15755264" coordorigin="3893,-1861" coordsize="163,795" path="m3904,-1217l3895,-1211,3893,-1205,3974,-1066,3986,-1085,3964,-1085,3964,-1122,3910,-1215,3904,-1217xm3964,-1122l3964,-1085,3984,-1085,3984,-1090,3966,-1090,3974,-1105,3964,-1122xm4045,-1217l4039,-1215,3984,-1122,3984,-1085,3986,-1085,4056,-1205,4054,-1211,4045,-1217xm3974,-1105l3966,-1090,3983,-1090,3974,-1105xm3984,-1122l3974,-1105,3983,-1090,3984,-1090,3984,-1122xm3984,-1861l3964,-1861,3964,-1122,3974,-1105,3984,-1122,3984,-186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1.209991pt;margin-top:-94.586296pt;width:8.15pt;height:39.75pt;mso-position-horizontal-relative:page;mso-position-vertical-relative:paragraph;z-index:15755776" coordorigin="5424,-1892" coordsize="163,795" path="m5435,-1248l5426,-1242,5424,-1236,5506,-1097,5517,-1117,5496,-1117,5496,-1153,5441,-1246,5435,-1248xm5496,-1153l5496,-1117,5516,-1117,5516,-1122,5497,-1122,5506,-1136,5496,-1153xm5576,-1248l5570,-1246,5516,-1153,5516,-1117,5517,-1117,5587,-1236,5585,-1242,5576,-1248xm5506,-1136l5497,-1122,5514,-1122,5506,-1136xm5516,-1153l5506,-1136,5514,-1122,5516,-1122,5516,-1153xm5516,-1892l5496,-1892,5496,-1153,5506,-1136,5516,-1153,5516,-189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9.209991pt;margin-top:-93.866302pt;width:8.15pt;height:39.75pt;mso-position-horizontal-relative:page;mso-position-vertical-relative:paragraph;z-index:15756288" coordorigin="7584,-1877" coordsize="163,795" path="m7595,-1234l7586,-1228,7584,-1222,7666,-1082,7677,-1102,7656,-1102,7656,-1139,7601,-1232,7595,-1234xm7656,-1139l7656,-1102,7676,-1102,7676,-1107,7657,-1107,7666,-1122,7656,-1139xm7736,-1234l7730,-1232,7676,-1139,7676,-1102,7677,-1102,7747,-1222,7745,-1228,7736,-1234xm7666,-1122l7657,-1107,7674,-1107,7666,-1122xm7676,-1139l7666,-1122,7674,-1107,7676,-1107,7676,-1139xm7676,-1877l7656,-1877,7656,-1139,7666,-1122,7676,-1139,7676,-18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6.649994pt;margin-top:-95.306297pt;width:8.15pt;height:39.75pt;mso-position-horizontal-relative:page;mso-position-vertical-relative:paragraph;z-index:15756800" coordorigin="9533,-1906" coordsize="163,795" path="m9544,-1262l9535,-1257,9533,-1251,9614,-1111,9626,-1131,9604,-1131,9604,-1168,9550,-1261,9544,-1262xm9604,-1168l9604,-1131,9624,-1131,9624,-1136,9606,-1136,9614,-1151,9604,-1168xm9685,-1262l9679,-1261,9624,-1168,9624,-1131,9626,-1131,9696,-1251,9694,-1257,9685,-1262xm9614,-1151l9606,-1136,9623,-1136,9614,-1151xm9624,-1168l9614,-1151,9623,-1136,9624,-1136,9624,-1168xm9624,-1906l9604,-1906,9604,-1168,9614,-1151,9624,-1168,9624,-1906xe" filled="true" fillcolor="#000000" stroked="false">
            <v:path arrowok="t"/>
            <v:fill type="solid"/>
            <w10:wrap type="none"/>
          </v:shape>
        </w:pict>
      </w:r>
      <w:r>
        <w:rPr/>
        <w:t>Source:</w:t>
      </w:r>
      <w:r>
        <w:rPr>
          <w:spacing w:val="-2"/>
        </w:rPr>
        <w:t> </w:t>
      </w:r>
      <w:r>
        <w:rPr/>
        <w:t>Nguyen,</w:t>
      </w:r>
      <w:r>
        <w:rPr>
          <w:spacing w:val="-1"/>
        </w:rPr>
        <w:t> </w:t>
      </w:r>
      <w:r>
        <w:rPr/>
        <w:t>Kim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Tran,</w:t>
      </w:r>
      <w:r>
        <w:rPr>
          <w:spacing w:val="-1"/>
        </w:rPr>
        <w:t> </w:t>
      </w:r>
      <w:r>
        <w:rPr/>
        <w:t>2016:5</w:t>
      </w: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160" w:right="151"/>
        <w:jc w:val="both"/>
      </w:pPr>
      <w:r>
        <w:rPr/>
        <w:t>Substantially,</w:t>
      </w:r>
      <w:r>
        <w:rPr>
          <w:spacing w:val="-4"/>
        </w:rPr>
        <w:t> </w:t>
      </w:r>
      <w:r>
        <w:rPr/>
        <w:t>these</w:t>
      </w:r>
      <w:r>
        <w:rPr>
          <w:spacing w:val="-7"/>
        </w:rPr>
        <w:t> </w:t>
      </w:r>
      <w:r>
        <w:rPr/>
        <w:t>determinants</w:t>
      </w:r>
      <w:r>
        <w:rPr>
          <w:spacing w:val="-6"/>
        </w:rPr>
        <w:t> </w:t>
      </w:r>
      <w:r>
        <w:rPr/>
        <w:t>associate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demand-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supply-side</w:t>
      </w:r>
      <w:r>
        <w:rPr>
          <w:spacing w:val="-7"/>
        </w:rPr>
        <w:t> </w:t>
      </w:r>
      <w:r>
        <w:rPr/>
        <w:t>factors</w:t>
      </w:r>
      <w:r>
        <w:rPr>
          <w:spacing w:val="-6"/>
        </w:rPr>
        <w:t> </w:t>
      </w:r>
      <w:r>
        <w:rPr/>
        <w:t>(Novignon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>
          <w:i/>
          <w:spacing w:val="-58"/>
        </w:rPr>
        <w:t> </w:t>
      </w:r>
      <w:r>
        <w:rPr/>
        <w:t>2017;</w:t>
      </w:r>
      <w:r>
        <w:rPr>
          <w:spacing w:val="-4"/>
        </w:rPr>
        <w:t> </w:t>
      </w:r>
      <w:r>
        <w:rPr/>
        <w:t>Rathi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Meena,</w:t>
      </w:r>
      <w:r>
        <w:rPr>
          <w:spacing w:val="-6"/>
        </w:rPr>
        <w:t> </w:t>
      </w:r>
      <w:r>
        <w:rPr/>
        <w:t>2018).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demand-side</w:t>
      </w:r>
      <w:r>
        <w:rPr>
          <w:spacing w:val="-2"/>
        </w:rPr>
        <w:t> </w:t>
      </w:r>
      <w:r>
        <w:rPr/>
        <w:t>factors</w:t>
      </w:r>
      <w:r>
        <w:rPr>
          <w:spacing w:val="-5"/>
        </w:rPr>
        <w:t> </w:t>
      </w:r>
      <w:r>
        <w:rPr/>
        <w:t>concern</w:t>
      </w:r>
      <w:r>
        <w:rPr>
          <w:spacing w:val="-5"/>
        </w:rPr>
        <w:t> </w:t>
      </w:r>
      <w:r>
        <w:rPr/>
        <w:t>demographic</w:t>
      </w:r>
      <w:r>
        <w:rPr>
          <w:spacing w:val="-5"/>
        </w:rPr>
        <w:t> </w:t>
      </w:r>
      <w:r>
        <w:rPr/>
        <w:t>factors</w:t>
      </w:r>
      <w:r>
        <w:rPr>
          <w:spacing w:val="-4"/>
        </w:rPr>
        <w:t> </w:t>
      </w:r>
      <w:r>
        <w:rPr/>
        <w:t>(education,</w:t>
      </w:r>
      <w:r>
        <w:rPr>
          <w:spacing w:val="-58"/>
        </w:rPr>
        <w:t> </w:t>
      </w:r>
      <w:r>
        <w:rPr/>
        <w:t>occupation, ethnicity), need factors (child age, gender or weight), and enabling factors (incomes</w:t>
      </w:r>
      <w:r>
        <w:rPr>
          <w:spacing w:val="1"/>
        </w:rPr>
        <w:t> </w:t>
      </w:r>
      <w:r>
        <w:rPr/>
        <w:t>and</w:t>
      </w:r>
      <w:r>
        <w:rPr>
          <w:spacing w:val="-9"/>
        </w:rPr>
        <w:t> </w:t>
      </w:r>
      <w:r>
        <w:rPr/>
        <w:t>distance).</w:t>
      </w:r>
      <w:r>
        <w:rPr>
          <w:spacing w:val="-6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other</w:t>
      </w:r>
      <w:r>
        <w:rPr>
          <w:spacing w:val="-9"/>
        </w:rPr>
        <w:t> </w:t>
      </w:r>
      <w:r>
        <w:rPr/>
        <w:t>hand,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supply-side</w:t>
      </w:r>
      <w:r>
        <w:rPr>
          <w:spacing w:val="-8"/>
        </w:rPr>
        <w:t> </w:t>
      </w:r>
      <w:r>
        <w:rPr/>
        <w:t>determinants</w:t>
      </w:r>
      <w:r>
        <w:rPr>
          <w:spacing w:val="-6"/>
        </w:rPr>
        <w:t> </w:t>
      </w:r>
      <w:r>
        <w:rPr/>
        <w:t>are</w:t>
      </w:r>
      <w:r>
        <w:rPr>
          <w:spacing w:val="-10"/>
        </w:rPr>
        <w:t> </w:t>
      </w:r>
      <w:r>
        <w:rPr/>
        <w:t>resources</w:t>
      </w:r>
      <w:r>
        <w:rPr>
          <w:spacing w:val="-7"/>
        </w:rPr>
        <w:t> </w:t>
      </w:r>
      <w:r>
        <w:rPr/>
        <w:t>(staff</w:t>
      </w:r>
      <w:r>
        <w:rPr>
          <w:spacing w:val="-10"/>
        </w:rPr>
        <w:t> </w:t>
      </w:r>
      <w:r>
        <w:rPr/>
        <w:t>skill,</w:t>
      </w:r>
      <w:r>
        <w:rPr>
          <w:spacing w:val="-7"/>
        </w:rPr>
        <w:t> </w:t>
      </w:r>
      <w:r>
        <w:rPr/>
        <w:t>salary</w:t>
      </w:r>
      <w:r>
        <w:rPr>
          <w:spacing w:val="-11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work</w:t>
      </w:r>
      <w:r>
        <w:rPr>
          <w:spacing w:val="-12"/>
        </w:rPr>
        <w:t> </w:t>
      </w:r>
      <w:r>
        <w:rPr>
          <w:spacing w:val="-1"/>
        </w:rPr>
        <w:t>pressure)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delivery</w:t>
      </w:r>
      <w:r>
        <w:rPr>
          <w:spacing w:val="-17"/>
        </w:rPr>
        <w:t> </w:t>
      </w:r>
      <w:r>
        <w:rPr/>
        <w:t>(Nguyen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>
          <w:i/>
          <w:spacing w:val="-10"/>
        </w:rPr>
        <w:t> </w:t>
      </w:r>
      <w:r>
        <w:rPr/>
        <w:t>2016).</w:t>
      </w:r>
      <w:r>
        <w:rPr>
          <w:spacing w:val="-13"/>
        </w:rPr>
        <w:t> </w:t>
      </w:r>
      <w:r>
        <w:rPr/>
        <w:t>There</w:t>
      </w:r>
      <w:r>
        <w:rPr>
          <w:spacing w:val="-14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consensus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literature</w:t>
      </w:r>
      <w:r>
        <w:rPr>
          <w:spacing w:val="-58"/>
        </w:rPr>
        <w:t> </w:t>
      </w:r>
      <w:r>
        <w:rPr/>
        <w:t>that socio-economic and educational factors also play a vital role in predicting HSB (Huang </w:t>
      </w:r>
      <w:r>
        <w:rPr>
          <w:i/>
        </w:rPr>
        <w:t>et al.</w:t>
      </w:r>
      <w:r>
        <w:rPr>
          <w:i/>
          <w:spacing w:val="-57"/>
        </w:rPr>
        <w:t> </w:t>
      </w:r>
      <w:r>
        <w:rPr/>
        <w:t>2017; Olaniyan </w:t>
      </w:r>
      <w:r>
        <w:rPr>
          <w:i/>
        </w:rPr>
        <w:t>et al., </w:t>
      </w:r>
      <w:r>
        <w:rPr/>
        <w:t>2015). Others factors such as political and environmental conditions may</w:t>
      </w:r>
      <w:r>
        <w:rPr>
          <w:spacing w:val="1"/>
        </w:rPr>
        <w:t> </w:t>
      </w:r>
      <w:r>
        <w:rPr/>
        <w:t>also influence HSB especially in a diverse cultural society like Nigeria (Fagbemigbe </w:t>
      </w:r>
      <w:r>
        <w:rPr>
          <w:i/>
        </w:rPr>
        <w:t>et al. </w:t>
      </w:r>
      <w:r>
        <w:rPr/>
        <w:t>2015).</w:t>
      </w:r>
      <w:r>
        <w:rPr>
          <w:spacing w:val="-57"/>
        </w:rPr>
        <w:t> </w:t>
      </w:r>
      <w:r>
        <w:rPr/>
        <w:t>Under-funding of health sector, inadequate water, and poor sanitation facilities have a significant</w:t>
      </w:r>
      <w:r>
        <w:rPr>
          <w:spacing w:val="-57"/>
        </w:rPr>
        <w:t> </w:t>
      </w:r>
      <w:r>
        <w:rPr/>
        <w:t>impact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HSB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health</w:t>
      </w:r>
      <w:r>
        <w:rPr>
          <w:spacing w:val="-5"/>
        </w:rPr>
        <w:t> </w:t>
      </w:r>
      <w:r>
        <w:rPr/>
        <w:t>outcomes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developing</w:t>
      </w:r>
      <w:r>
        <w:rPr>
          <w:spacing w:val="-9"/>
        </w:rPr>
        <w:t> </w:t>
      </w:r>
      <w:r>
        <w:rPr/>
        <w:t>nations</w:t>
      </w:r>
      <w:r>
        <w:rPr>
          <w:spacing w:val="-5"/>
        </w:rPr>
        <w:t> </w:t>
      </w:r>
      <w:r>
        <w:rPr/>
        <w:t>(Huang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>
          <w:i/>
          <w:spacing w:val="-6"/>
        </w:rPr>
        <w:t> </w:t>
      </w:r>
      <w:r>
        <w:rPr/>
        <w:t>2017,</w:t>
      </w:r>
      <w:r>
        <w:rPr>
          <w:spacing w:val="-5"/>
        </w:rPr>
        <w:t> </w:t>
      </w:r>
      <w:r>
        <w:rPr/>
        <w:t>Evans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</w:r>
      <w:r>
        <w:rPr>
          <w:i/>
          <w:spacing w:val="-5"/>
        </w:rPr>
        <w:t> </w:t>
      </w:r>
      <w:r>
        <w:rPr/>
        <w:t>2017).</w:t>
      </w:r>
      <w:r>
        <w:rPr>
          <w:spacing w:val="-57"/>
        </w:rPr>
        <w:t> </w:t>
      </w:r>
      <w:r>
        <w:rPr/>
        <w:t>From the foregoing, the high-level of income inequality could explain the poor health outcomes,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likely</w:t>
      </w:r>
      <w:r>
        <w:rPr>
          <w:spacing w:val="-3"/>
        </w:rPr>
        <w:t> </w:t>
      </w:r>
      <w:r>
        <w:rPr/>
        <w:t>cause</w:t>
      </w:r>
      <w:r>
        <w:rPr>
          <w:spacing w:val="-1"/>
        </w:rPr>
        <w:t> </w:t>
      </w:r>
      <w:r>
        <w:rPr/>
        <w:t>inappropriate health-seeking</w:t>
      </w:r>
      <w:r>
        <w:rPr>
          <w:spacing w:val="-3"/>
        </w:rPr>
        <w:t> </w:t>
      </w:r>
      <w:r>
        <w:rPr/>
        <w:t>behavior in Nigeria.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ListParagraph"/>
        <w:numPr>
          <w:ilvl w:val="1"/>
          <w:numId w:val="11"/>
        </w:numPr>
        <w:tabs>
          <w:tab w:pos="881" w:val="left" w:leader="none"/>
        </w:tabs>
        <w:spacing w:line="240" w:lineRule="auto" w:before="60" w:after="0"/>
        <w:ind w:left="880" w:right="0" w:hanging="721"/>
        <w:jc w:val="both"/>
        <w:rPr>
          <w:b/>
          <w:sz w:val="26"/>
        </w:rPr>
      </w:pPr>
      <w:r>
        <w:rPr>
          <w:b/>
          <w:sz w:val="26"/>
        </w:rPr>
        <w:t>Theoretical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Review</w:t>
      </w:r>
    </w:p>
    <w:p>
      <w:pPr>
        <w:pStyle w:val="BodyText"/>
        <w:spacing w:line="360" w:lineRule="auto" w:before="17"/>
        <w:ind w:left="160" w:right="157"/>
        <w:jc w:val="both"/>
      </w:pPr>
      <w:r>
        <w:rPr/>
        <w:t>This section is concerned with the explanations of how income inequality matters to health</w:t>
      </w:r>
      <w:r>
        <w:rPr>
          <w:spacing w:val="1"/>
        </w:rPr>
        <w:t> </w:t>
      </w:r>
      <w:r>
        <w:rPr/>
        <w:t>outcomes and HSB. These theories stem from the classical perspectives on functional income</w:t>
      </w:r>
      <w:r>
        <w:rPr>
          <w:spacing w:val="1"/>
        </w:rPr>
        <w:t> </w:t>
      </w:r>
      <w:r>
        <w:rPr/>
        <w:t>distribution. However, not until the Wilkinson’s seminal contributions of 1990s that showed</w:t>
      </w:r>
      <w:r>
        <w:rPr>
          <w:spacing w:val="1"/>
        </w:rPr>
        <w:t> </w:t>
      </w:r>
      <w:r>
        <w:rPr/>
        <w:t>explicitly how income inequality and health</w:t>
      </w:r>
      <w:r>
        <w:rPr>
          <w:vertAlign w:val="superscript"/>
        </w:rPr>
        <w:t>4</w:t>
      </w:r>
      <w:r>
        <w:rPr>
          <w:vertAlign w:val="baseline"/>
        </w:rPr>
        <w:t> are linked, there was no serious or well-articulated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explanation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on the link.</w:t>
      </w:r>
    </w:p>
    <w:p>
      <w:pPr>
        <w:pStyle w:val="Heading4"/>
        <w:numPr>
          <w:ilvl w:val="2"/>
          <w:numId w:val="11"/>
        </w:numPr>
        <w:tabs>
          <w:tab w:pos="881" w:val="left" w:leader="none"/>
        </w:tabs>
        <w:spacing w:line="240" w:lineRule="auto" w:before="160" w:after="0"/>
        <w:ind w:left="880" w:right="0" w:hanging="721"/>
        <w:jc w:val="both"/>
      </w:pPr>
      <w:bookmarkStart w:name="_TOC_250057" w:id="20"/>
      <w:r>
        <w:rPr/>
        <w:t>Classical</w:t>
      </w:r>
      <w:r>
        <w:rPr>
          <w:spacing w:val="-2"/>
        </w:rPr>
        <w:t> </w:t>
      </w:r>
      <w:bookmarkEnd w:id="20"/>
      <w:r>
        <w:rPr/>
        <w:t>Thought</w:t>
      </w:r>
    </w:p>
    <w:p>
      <w:pPr>
        <w:pStyle w:val="BodyText"/>
        <w:spacing w:line="360" w:lineRule="auto" w:before="19"/>
        <w:ind w:left="160" w:right="159"/>
        <w:jc w:val="both"/>
      </w:pPr>
      <w:r>
        <w:rPr/>
        <w:t>Early economic thinkers including Adams Smith and David Ricardo continued to theorize the</w:t>
      </w:r>
      <w:r>
        <w:rPr>
          <w:spacing w:val="1"/>
        </w:rPr>
        <w:t> </w:t>
      </w:r>
      <w:r>
        <w:rPr/>
        <w:t>possible positive effect of income inequality on health (Atkinson, 1997). Their thought was on</w:t>
      </w:r>
      <w:r>
        <w:rPr>
          <w:spacing w:val="1"/>
        </w:rPr>
        <w:t> </w:t>
      </w:r>
      <w:r>
        <w:rPr>
          <w:spacing w:val="-1"/>
        </w:rPr>
        <w:t>functional</w:t>
      </w:r>
      <w:r>
        <w:rPr>
          <w:spacing w:val="-10"/>
        </w:rPr>
        <w:t> </w:t>
      </w:r>
      <w:r>
        <w:rPr>
          <w:spacing w:val="-1"/>
        </w:rPr>
        <w:t>income</w:t>
      </w:r>
      <w:r>
        <w:rPr>
          <w:spacing w:val="-10"/>
        </w:rPr>
        <w:t> </w:t>
      </w:r>
      <w:r>
        <w:rPr>
          <w:spacing w:val="-1"/>
        </w:rPr>
        <w:t>distribution</w:t>
      </w:r>
      <w:r>
        <w:rPr>
          <w:spacing w:val="-8"/>
        </w:rPr>
        <w:t> </w:t>
      </w:r>
      <w:r>
        <w:rPr/>
        <w:t>–</w:t>
      </w:r>
      <w:r>
        <w:rPr>
          <w:spacing w:val="-9"/>
        </w:rPr>
        <w:t> </w:t>
      </w:r>
      <w:r>
        <w:rPr/>
        <w:t>how</w:t>
      </w:r>
      <w:r>
        <w:rPr>
          <w:spacing w:val="-13"/>
        </w:rPr>
        <w:t> </w:t>
      </w:r>
      <w:r>
        <w:rPr/>
        <w:t>income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received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each</w:t>
      </w:r>
      <w:r>
        <w:rPr>
          <w:spacing w:val="-9"/>
        </w:rPr>
        <w:t> </w:t>
      </w:r>
      <w:r>
        <w:rPr/>
        <w:t>factor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production</w:t>
      </w:r>
      <w:r>
        <w:rPr>
          <w:spacing w:val="-10"/>
        </w:rPr>
        <w:t> </w:t>
      </w:r>
      <w:r>
        <w:rPr/>
        <w:t>(land,</w:t>
      </w:r>
      <w:r>
        <w:rPr>
          <w:spacing w:val="-9"/>
        </w:rPr>
        <w:t> </w:t>
      </w:r>
      <w:r>
        <w:rPr/>
        <w:t>capital</w:t>
      </w:r>
      <w:r>
        <w:rPr>
          <w:spacing w:val="-57"/>
        </w:rPr>
        <w:t> </w:t>
      </w:r>
      <w:r>
        <w:rPr/>
        <w:t>and labour). This view was embedded in Ricardian propositions that: ‘the produce of the earth</w:t>
      </w:r>
      <w:r>
        <w:rPr>
          <w:spacing w:val="1"/>
        </w:rPr>
        <w:t> </w:t>
      </w:r>
      <w:r>
        <w:rPr/>
        <w:t>(land) – all that is derived from its surface by the united application of labour, machinery, and</w:t>
      </w:r>
      <w:r>
        <w:rPr>
          <w:spacing w:val="1"/>
        </w:rPr>
        <w:t> </w:t>
      </w:r>
      <w:r>
        <w:rPr/>
        <w:t>capital, is divided among three classes of the community; namely, the proprietor of the land, the</w:t>
      </w:r>
      <w:r>
        <w:rPr>
          <w:spacing w:val="1"/>
        </w:rPr>
        <w:t> </w:t>
      </w:r>
      <w:r>
        <w:rPr/>
        <w:t>owner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stock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capital</w:t>
      </w:r>
      <w:r>
        <w:rPr>
          <w:spacing w:val="-1"/>
        </w:rPr>
        <w:t> </w:t>
      </w:r>
      <w:r>
        <w:rPr/>
        <w:t>….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labourers…’</w:t>
      </w:r>
      <w:r>
        <w:rPr>
          <w:spacing w:val="-4"/>
        </w:rPr>
        <w:t> </w:t>
      </w:r>
      <w:r>
        <w:rPr/>
        <w:t>(Ricardo,</w:t>
      </w:r>
      <w:r>
        <w:rPr>
          <w:spacing w:val="-1"/>
        </w:rPr>
        <w:t> </w:t>
      </w:r>
      <w:r>
        <w:rPr/>
        <w:t>1951:5).</w:t>
      </w:r>
      <w:r>
        <w:rPr>
          <w:spacing w:val="-2"/>
        </w:rPr>
        <w:t> </w:t>
      </w:r>
      <w:r>
        <w:rPr/>
        <w:t>Simply,</w:t>
      </w:r>
      <w:r>
        <w:rPr>
          <w:spacing w:val="-1"/>
        </w:rPr>
        <w:t> </w:t>
      </w:r>
      <w:r>
        <w:rPr/>
        <w:t>he</w:t>
      </w:r>
      <w:r>
        <w:rPr>
          <w:spacing w:val="-3"/>
        </w:rPr>
        <w:t> </w:t>
      </w:r>
      <w:r>
        <w:rPr/>
        <w:t>considers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existence</w:t>
      </w:r>
      <w:r>
        <w:rPr>
          <w:spacing w:val="-2"/>
        </w:rPr>
        <w:t> </w:t>
      </w:r>
      <w:r>
        <w:rPr/>
        <w:t>of only</w:t>
      </w:r>
      <w:r>
        <w:rPr>
          <w:spacing w:val="-5"/>
        </w:rPr>
        <w:t> </w:t>
      </w:r>
      <w:r>
        <w:rPr/>
        <w:t>three</w:t>
      </w:r>
      <w:r>
        <w:rPr>
          <w:spacing w:val="-1"/>
        </w:rPr>
        <w:t> </w:t>
      </w:r>
      <w:r>
        <w:rPr/>
        <w:t>classes in society</w:t>
      </w:r>
      <w:r>
        <w:rPr>
          <w:spacing w:val="-6"/>
        </w:rPr>
        <w:t> </w:t>
      </w:r>
      <w:r>
        <w:rPr/>
        <w:t>(landowners, capitalists and labourers).</w:t>
      </w:r>
    </w:p>
    <w:p>
      <w:pPr>
        <w:pStyle w:val="BodyText"/>
        <w:spacing w:line="360" w:lineRule="auto" w:before="92"/>
        <w:ind w:left="160" w:right="156"/>
        <w:jc w:val="both"/>
      </w:pPr>
      <w:r>
        <w:rPr/>
        <w:t>David</w:t>
      </w:r>
      <w:r>
        <w:rPr>
          <w:spacing w:val="-3"/>
        </w:rPr>
        <w:t> </w:t>
      </w:r>
      <w:r>
        <w:rPr/>
        <w:t>Ricardo</w:t>
      </w:r>
      <w:r>
        <w:rPr>
          <w:spacing w:val="-1"/>
        </w:rPr>
        <w:t> </w:t>
      </w:r>
      <w:r>
        <w:rPr/>
        <w:t>further</w:t>
      </w:r>
      <w:r>
        <w:rPr>
          <w:spacing w:val="-4"/>
        </w:rPr>
        <w:t> </w:t>
      </w:r>
      <w:r>
        <w:rPr/>
        <w:t>assert</w:t>
      </w:r>
      <w:r>
        <w:rPr>
          <w:spacing w:val="-3"/>
        </w:rPr>
        <w:t> </w:t>
      </w:r>
      <w:r>
        <w:rPr/>
        <w:t>that:</w:t>
      </w:r>
      <w:r>
        <w:rPr>
          <w:spacing w:val="-3"/>
        </w:rPr>
        <w:t> </w:t>
      </w:r>
      <w:r>
        <w:rPr/>
        <w:t>‘nothing</w:t>
      </w:r>
      <w:r>
        <w:rPr>
          <w:spacing w:val="-5"/>
        </w:rPr>
        <w:t> </w:t>
      </w:r>
      <w:r>
        <w:rPr/>
        <w:t>contributes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/>
        <w:t>much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prosperity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happiness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a country as high profits’. This assertion gave rise to the thought that income inequality could be</w:t>
      </w:r>
      <w:r>
        <w:rPr>
          <w:spacing w:val="1"/>
        </w:rPr>
        <w:t> </w:t>
      </w:r>
      <w:r>
        <w:rPr/>
        <w:t>beneficial for healthy status of citizens (Bigsten, 1983:4). One of the possible reasons for this has</w:t>
      </w:r>
      <w:r>
        <w:rPr>
          <w:spacing w:val="-57"/>
        </w:rPr>
        <w:t> </w:t>
      </w:r>
      <w:r>
        <w:rPr/>
        <w:t>been that the effect of income distribution is so tied up with economic issues that also concern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(Sandmo, 2013:3).</w:t>
      </w:r>
    </w:p>
    <w:p>
      <w:pPr>
        <w:pStyle w:val="BodyText"/>
        <w:spacing w:line="360" w:lineRule="auto" w:before="115"/>
        <w:ind w:left="160" w:right="158"/>
        <w:jc w:val="both"/>
      </w:pPr>
      <w:r>
        <w:rPr/>
        <w:t>The basic idea in Ricardian</w:t>
      </w:r>
      <w:r>
        <w:rPr>
          <w:vertAlign w:val="superscript"/>
        </w:rPr>
        <w:t>5</w:t>
      </w:r>
      <w:r>
        <w:rPr>
          <w:vertAlign w:val="baseline"/>
        </w:rPr>
        <w:t> thought is that, a differential rent is produced only when less fertile</w:t>
      </w:r>
      <w:r>
        <w:rPr>
          <w:spacing w:val="1"/>
          <w:vertAlign w:val="baseline"/>
        </w:rPr>
        <w:t> </w:t>
      </w:r>
      <w:r>
        <w:rPr>
          <w:vertAlign w:val="baseline"/>
        </w:rPr>
        <w:t>lands are exploited requiring more capital and/or labour. This leads to an increase in the price of</w:t>
      </w:r>
      <w:r>
        <w:rPr>
          <w:spacing w:val="1"/>
          <w:vertAlign w:val="baseline"/>
        </w:rPr>
        <w:t> </w:t>
      </w:r>
      <w:r>
        <w:rPr>
          <w:vertAlign w:val="baseline"/>
        </w:rPr>
        <w:t>agricultural product. As a consequence, the land-owners of the more fertile lands receive a raised</w:t>
      </w:r>
      <w:r>
        <w:rPr>
          <w:spacing w:val="-57"/>
          <w:vertAlign w:val="baseline"/>
        </w:rPr>
        <w:t> </w:t>
      </w:r>
      <w:r>
        <w:rPr>
          <w:vertAlign w:val="baseline"/>
        </w:rPr>
        <w:t>rent</w:t>
      </w:r>
      <w:r>
        <w:rPr>
          <w:spacing w:val="-9"/>
          <w:vertAlign w:val="baseline"/>
        </w:rPr>
        <w:t> </w:t>
      </w:r>
      <w:r>
        <w:rPr>
          <w:vertAlign w:val="baseline"/>
        </w:rPr>
        <w:t>–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surplus</w:t>
      </w:r>
      <w:r>
        <w:rPr>
          <w:spacing w:val="-8"/>
          <w:vertAlign w:val="baseline"/>
        </w:rPr>
        <w:t> </w:t>
      </w:r>
      <w:r>
        <w:rPr>
          <w:vertAlign w:val="baseline"/>
        </w:rPr>
        <w:t>over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-9"/>
          <w:vertAlign w:val="baseline"/>
        </w:rPr>
        <w:t> </w:t>
      </w:r>
      <w:r>
        <w:rPr>
          <w:vertAlign w:val="baseline"/>
        </w:rPr>
        <w:t>costs</w:t>
      </w:r>
      <w:r>
        <w:rPr>
          <w:spacing w:val="-9"/>
          <w:vertAlign w:val="baseline"/>
        </w:rPr>
        <w:t> </w:t>
      </w:r>
      <w:r>
        <w:rPr>
          <w:vertAlign w:val="baseline"/>
        </w:rPr>
        <w:t>(Gallo,</w:t>
      </w:r>
      <w:r>
        <w:rPr>
          <w:spacing w:val="-9"/>
          <w:vertAlign w:val="baseline"/>
        </w:rPr>
        <w:t> </w:t>
      </w:r>
      <w:r>
        <w:rPr>
          <w:vertAlign w:val="baseline"/>
        </w:rPr>
        <w:t>2002:13).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9"/>
          <w:vertAlign w:val="baseline"/>
        </w:rPr>
        <w:t> </w:t>
      </w:r>
      <w:r>
        <w:rPr>
          <w:vertAlign w:val="baseline"/>
        </w:rPr>
        <w:t>short,</w:t>
      </w:r>
      <w:r>
        <w:rPr>
          <w:spacing w:val="-9"/>
          <w:vertAlign w:val="baseline"/>
        </w:rPr>
        <w:t> </w:t>
      </w:r>
      <w:r>
        <w:rPr>
          <w:vertAlign w:val="baseline"/>
        </w:rPr>
        <w:t>Ricardian</w:t>
      </w:r>
      <w:r>
        <w:rPr>
          <w:spacing w:val="-9"/>
          <w:vertAlign w:val="baseline"/>
        </w:rPr>
        <w:t> </w:t>
      </w:r>
      <w:r>
        <w:rPr>
          <w:vertAlign w:val="baseline"/>
        </w:rPr>
        <w:t>theory</w:t>
      </w:r>
      <w:r>
        <w:rPr>
          <w:spacing w:val="-13"/>
          <w:vertAlign w:val="baseline"/>
        </w:rPr>
        <w:t> </w:t>
      </w:r>
      <w:r>
        <w:rPr>
          <w:vertAlign w:val="baseline"/>
        </w:rPr>
        <w:t>singles</w:t>
      </w:r>
      <w:r>
        <w:rPr>
          <w:spacing w:val="-9"/>
          <w:vertAlign w:val="baseline"/>
        </w:rPr>
        <w:t> </w:t>
      </w:r>
      <w:r>
        <w:rPr>
          <w:vertAlign w:val="baseline"/>
        </w:rPr>
        <w:t>out</w:t>
      </w:r>
      <w:r>
        <w:rPr>
          <w:spacing w:val="-58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main</w:t>
      </w:r>
      <w:r>
        <w:rPr>
          <w:spacing w:val="-4"/>
          <w:vertAlign w:val="baseline"/>
        </w:rPr>
        <w:t> </w:t>
      </w:r>
      <w:r>
        <w:rPr>
          <w:vertAlign w:val="baseline"/>
        </w:rPr>
        <w:t>causes of</w:t>
      </w:r>
      <w:r>
        <w:rPr>
          <w:spacing w:val="-4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4"/>
          <w:vertAlign w:val="baseline"/>
        </w:rPr>
        <w:t> </w:t>
      </w:r>
      <w:r>
        <w:rPr>
          <w:vertAlign w:val="baseline"/>
        </w:rPr>
        <w:t>inequality</w:t>
      </w:r>
      <w:r>
        <w:rPr>
          <w:spacing w:val="-6"/>
          <w:vertAlign w:val="baseline"/>
        </w:rPr>
        <w:t> </w:t>
      </w:r>
      <w:r>
        <w:rPr>
          <w:vertAlign w:val="baseline"/>
        </w:rPr>
        <w:t>– rent –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technical fact that</w:t>
      </w:r>
      <w:r>
        <w:rPr>
          <w:spacing w:val="-3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2"/>
          <w:vertAlign w:val="baseline"/>
        </w:rPr>
        <w:t> </w:t>
      </w:r>
      <w:r>
        <w:rPr>
          <w:vertAlign w:val="baseline"/>
        </w:rPr>
        <w:t>plots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land</w:t>
      </w:r>
      <w:r>
        <w:rPr>
          <w:spacing w:val="-3"/>
          <w:vertAlign w:val="baseline"/>
        </w:rPr>
        <w:t> </w:t>
      </w:r>
      <w:r>
        <w:rPr>
          <w:vertAlign w:val="baseline"/>
        </w:rPr>
        <w:t>have</w:t>
      </w:r>
      <w:r>
        <w:rPr>
          <w:spacing w:val="-57"/>
          <w:vertAlign w:val="baseline"/>
        </w:rPr>
        <w:t> </w:t>
      </w:r>
      <w:r>
        <w:rPr>
          <w:vertAlign w:val="baseline"/>
        </w:rPr>
        <w:t>various degrees of fertility. So that the more fertile plots yield their owners differential gains.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Therefore,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since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marginal</w:t>
      </w:r>
      <w:r>
        <w:rPr>
          <w:spacing w:val="-10"/>
          <w:vertAlign w:val="baseline"/>
        </w:rPr>
        <w:t> </w:t>
      </w:r>
      <w:r>
        <w:rPr>
          <w:vertAlign w:val="baseline"/>
        </w:rPr>
        <w:t>prosperity</w:t>
      </w:r>
      <w:r>
        <w:rPr>
          <w:spacing w:val="-15"/>
          <w:vertAlign w:val="baseline"/>
        </w:rPr>
        <w:t> </w:t>
      </w:r>
      <w:r>
        <w:rPr>
          <w:vertAlign w:val="baseline"/>
        </w:rPr>
        <w:t>to</w:t>
      </w:r>
      <w:r>
        <w:rPr>
          <w:spacing w:val="-10"/>
          <w:vertAlign w:val="baseline"/>
        </w:rPr>
        <w:t> </w:t>
      </w:r>
      <w:r>
        <w:rPr>
          <w:vertAlign w:val="baseline"/>
        </w:rPr>
        <w:t>save</w:t>
      </w:r>
      <w:r>
        <w:rPr>
          <w:spacing w:val="-11"/>
          <w:vertAlign w:val="baseline"/>
        </w:rPr>
        <w:t> </w:t>
      </w:r>
      <w:r>
        <w:rPr>
          <w:vertAlign w:val="baseline"/>
        </w:rPr>
        <w:t>(MPS)</w:t>
      </w:r>
      <w:r>
        <w:rPr>
          <w:spacing w:val="-11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-9"/>
          <w:vertAlign w:val="baseline"/>
        </w:rPr>
        <w:t> </w:t>
      </w:r>
      <w:r>
        <w:rPr>
          <w:vertAlign w:val="baseline"/>
        </w:rPr>
        <w:t>with</w:t>
      </w:r>
      <w:r>
        <w:rPr>
          <w:spacing w:val="-10"/>
          <w:vertAlign w:val="baseline"/>
        </w:rPr>
        <w:t> </w:t>
      </w:r>
      <w:r>
        <w:rPr>
          <w:vertAlign w:val="baseline"/>
        </w:rPr>
        <w:t>profit</w:t>
      </w:r>
      <w:r>
        <w:rPr>
          <w:spacing w:val="-9"/>
          <w:vertAlign w:val="baseline"/>
        </w:rPr>
        <w:t> </w:t>
      </w:r>
      <w:r>
        <w:rPr>
          <w:vertAlign w:val="baseline"/>
        </w:rPr>
        <w:t>(or</w:t>
      </w:r>
      <w:r>
        <w:rPr>
          <w:spacing w:val="-12"/>
          <w:vertAlign w:val="baseline"/>
        </w:rPr>
        <w:t> </w:t>
      </w:r>
      <w:r>
        <w:rPr>
          <w:vertAlign w:val="baseline"/>
        </w:rPr>
        <w:t>rents),</w:t>
      </w:r>
      <w:r>
        <w:rPr>
          <w:spacing w:val="-10"/>
          <w:vertAlign w:val="baseline"/>
        </w:rPr>
        <w:t> </w:t>
      </w:r>
      <w:r>
        <w:rPr>
          <w:vertAlign w:val="baseline"/>
        </w:rPr>
        <w:t>this</w:t>
      </w:r>
      <w:r>
        <w:rPr>
          <w:spacing w:val="-10"/>
          <w:vertAlign w:val="baseline"/>
        </w:rPr>
        <w:t> </w:t>
      </w:r>
      <w:r>
        <w:rPr>
          <w:vertAlign w:val="baseline"/>
        </w:rPr>
        <w:t>differential</w:t>
      </w:r>
      <w:r>
        <w:rPr>
          <w:spacing w:val="-57"/>
          <w:vertAlign w:val="baseline"/>
        </w:rPr>
        <w:t> </w:t>
      </w:r>
      <w:r>
        <w:rPr>
          <w:vertAlign w:val="baseline"/>
        </w:rPr>
        <w:t>gain</w:t>
      </w:r>
      <w:r>
        <w:rPr>
          <w:spacing w:val="15"/>
          <w:vertAlign w:val="baseline"/>
        </w:rPr>
        <w:t> </w:t>
      </w:r>
      <w:r>
        <w:rPr>
          <w:vertAlign w:val="baseline"/>
        </w:rPr>
        <w:t>(that</w:t>
      </w:r>
      <w:r>
        <w:rPr>
          <w:spacing w:val="16"/>
          <w:vertAlign w:val="baseline"/>
        </w:rPr>
        <w:t> </w:t>
      </w:r>
      <w:r>
        <w:rPr>
          <w:vertAlign w:val="baseline"/>
        </w:rPr>
        <w:t>creates</w:t>
      </w:r>
      <w:r>
        <w:rPr>
          <w:spacing w:val="14"/>
          <w:vertAlign w:val="baseline"/>
        </w:rPr>
        <w:t> </w:t>
      </w:r>
      <w:r>
        <w:rPr>
          <w:vertAlign w:val="baseline"/>
        </w:rPr>
        <w:t>income</w:t>
      </w:r>
      <w:r>
        <w:rPr>
          <w:spacing w:val="16"/>
          <w:vertAlign w:val="baseline"/>
        </w:rPr>
        <w:t> </w:t>
      </w:r>
      <w:r>
        <w:rPr>
          <w:vertAlign w:val="baseline"/>
        </w:rPr>
        <w:t>disparity)</w:t>
      </w:r>
      <w:r>
        <w:rPr>
          <w:spacing w:val="13"/>
          <w:vertAlign w:val="baseline"/>
        </w:rPr>
        <w:t> </w:t>
      </w:r>
      <w:r>
        <w:rPr>
          <w:vertAlign w:val="baseline"/>
        </w:rPr>
        <w:t>channels</w:t>
      </w:r>
      <w:r>
        <w:rPr>
          <w:spacing w:val="16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15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4"/>
          <w:vertAlign w:val="baseline"/>
        </w:rPr>
        <w:t> </w:t>
      </w:r>
      <w:r>
        <w:rPr>
          <w:vertAlign w:val="baseline"/>
        </w:rPr>
        <w:t>individuals</w:t>
      </w:r>
      <w:r>
        <w:rPr>
          <w:spacing w:val="15"/>
          <w:vertAlign w:val="baseline"/>
        </w:rPr>
        <w:t> </w:t>
      </w:r>
      <w:r>
        <w:rPr>
          <w:vertAlign w:val="baseline"/>
        </w:rPr>
        <w:t>(landowners)</w:t>
      </w:r>
      <w:r>
        <w:rPr>
          <w:spacing w:val="13"/>
          <w:vertAlign w:val="baseline"/>
        </w:rPr>
        <w:t> </w:t>
      </w:r>
      <w:r>
        <w:rPr>
          <w:vertAlign w:val="baseline"/>
        </w:rPr>
        <w:t>whose</w:t>
      </w:r>
    </w:p>
    <w:p>
      <w:pPr>
        <w:pStyle w:val="BodyText"/>
        <w:spacing w:before="1"/>
        <w:rPr>
          <w:sz w:val="16"/>
        </w:rPr>
      </w:pPr>
      <w:r>
        <w:rPr/>
        <w:pict>
          <v:rect style="position:absolute;margin-left:72.024002pt;margin-top:11.248175pt;width:144.020pt;height:.71997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60" w:right="0" w:firstLine="0"/>
        <w:jc w:val="both"/>
        <w:rPr>
          <w:sz w:val="20"/>
        </w:rPr>
      </w:pPr>
      <w:r>
        <w:rPr>
          <w:rFonts w:ascii="Calibri"/>
          <w:sz w:val="20"/>
          <w:vertAlign w:val="superscript"/>
        </w:rPr>
        <w:t>4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Henceforth,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health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used 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mean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both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health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outcomes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health-seeking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behavior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(HSB)</w:t>
      </w:r>
    </w:p>
    <w:p>
      <w:pPr>
        <w:spacing w:line="242" w:lineRule="auto" w:before="4"/>
        <w:ind w:left="160" w:right="154" w:firstLine="0"/>
        <w:jc w:val="both"/>
        <w:rPr>
          <w:sz w:val="18"/>
        </w:rPr>
      </w:pPr>
      <w:r>
        <w:rPr>
          <w:rFonts w:ascii="Calibri" w:hAnsi="Calibri"/>
          <w:position w:val="5"/>
          <w:sz w:val="12"/>
        </w:rPr>
        <w:t>5 </w:t>
      </w:r>
      <w:r>
        <w:rPr>
          <w:sz w:val="18"/>
        </w:rPr>
        <w:t>David Ricardo was the first to derive a meaningful income distribution theory (Bigsten, 1983:4). The preface to his </w:t>
      </w:r>
      <w:r>
        <w:rPr>
          <w:i/>
          <w:sz w:val="18"/>
        </w:rPr>
        <w:t>Principles of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Political Economy and Taxation (1817, 1951:5) </w:t>
      </w:r>
      <w:r>
        <w:rPr>
          <w:sz w:val="18"/>
        </w:rPr>
        <w:t>also explains that the determination of the laws of distribution was, ‘the principal</w:t>
      </w:r>
      <w:r>
        <w:rPr>
          <w:spacing w:val="-42"/>
          <w:sz w:val="18"/>
        </w:rPr>
        <w:t> </w:t>
      </w:r>
      <w:r>
        <w:rPr>
          <w:sz w:val="18"/>
        </w:rPr>
        <w:t>problem</w:t>
      </w:r>
      <w:r>
        <w:rPr>
          <w:spacing w:val="-5"/>
          <w:sz w:val="18"/>
        </w:rPr>
        <w:t> </w:t>
      </w:r>
      <w:r>
        <w:rPr>
          <w:sz w:val="18"/>
        </w:rPr>
        <w:t>in</w:t>
      </w:r>
      <w:r>
        <w:rPr>
          <w:spacing w:val="1"/>
          <w:sz w:val="18"/>
        </w:rPr>
        <w:t> </w:t>
      </w:r>
      <w:r>
        <w:rPr>
          <w:sz w:val="18"/>
        </w:rPr>
        <w:t>political economy’ (see</w:t>
      </w:r>
      <w:r>
        <w:rPr>
          <w:spacing w:val="-1"/>
          <w:sz w:val="18"/>
        </w:rPr>
        <w:t> </w:t>
      </w:r>
      <w:r>
        <w:rPr>
          <w:sz w:val="18"/>
        </w:rPr>
        <w:t>Atkinson,</w:t>
      </w:r>
      <w:r>
        <w:rPr>
          <w:spacing w:val="-2"/>
          <w:sz w:val="18"/>
        </w:rPr>
        <w:t> </w:t>
      </w:r>
      <w:r>
        <w:rPr>
          <w:sz w:val="18"/>
        </w:rPr>
        <w:t>1997).</w:t>
      </w:r>
    </w:p>
    <w:p>
      <w:pPr>
        <w:spacing w:after="0" w:line="242" w:lineRule="auto"/>
        <w:jc w:val="both"/>
        <w:rPr>
          <w:sz w:val="18"/>
        </w:rPr>
        <w:sectPr>
          <w:pgSz w:w="12240" w:h="15840"/>
          <w:pgMar w:header="0" w:footer="1015" w:top="1380" w:bottom="1200" w:left="1280" w:right="1280"/>
        </w:sectPr>
      </w:pPr>
    </w:p>
    <w:p>
      <w:pPr>
        <w:pStyle w:val="BodyText"/>
        <w:spacing w:line="360" w:lineRule="auto" w:before="74"/>
        <w:ind w:left="160" w:right="162"/>
        <w:jc w:val="both"/>
      </w:pPr>
      <w:r>
        <w:rPr>
          <w:spacing w:val="-1"/>
        </w:rPr>
        <w:t>MPS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higher,</w:t>
      </w:r>
      <w:r>
        <w:rPr>
          <w:spacing w:val="-16"/>
        </w:rPr>
        <w:t> </w:t>
      </w:r>
      <w:r>
        <w:rPr>
          <w:spacing w:val="-1"/>
        </w:rPr>
        <w:t>increasing</w:t>
      </w:r>
      <w:r>
        <w:rPr>
          <w:spacing w:val="-14"/>
        </w:rPr>
        <w:t> </w:t>
      </w:r>
      <w:r>
        <w:rPr/>
        <w:t>aggregate</w:t>
      </w:r>
      <w:r>
        <w:rPr>
          <w:spacing w:val="-15"/>
        </w:rPr>
        <w:t> </w:t>
      </w:r>
      <w:r>
        <w:rPr/>
        <w:t>savings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decline</w:t>
      </w:r>
      <w:r>
        <w:rPr>
          <w:spacing w:val="-16"/>
        </w:rPr>
        <w:t> </w:t>
      </w:r>
      <w:r>
        <w:rPr/>
        <w:t>poor</w:t>
      </w:r>
      <w:r>
        <w:rPr>
          <w:spacing w:val="-15"/>
        </w:rPr>
        <w:t> </w:t>
      </w:r>
      <w:r>
        <w:rPr/>
        <w:t>health</w:t>
      </w:r>
      <w:r>
        <w:rPr>
          <w:spacing w:val="-15"/>
        </w:rPr>
        <w:t> </w:t>
      </w:r>
      <w:r>
        <w:rPr/>
        <w:t>issues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capitalists</w:t>
      </w:r>
      <w:r>
        <w:rPr>
          <w:spacing w:val="-13"/>
        </w:rPr>
        <w:t> </w:t>
      </w:r>
      <w:r>
        <w:rPr/>
        <w:t>(Stiglitz,</w:t>
      </w:r>
      <w:r>
        <w:rPr>
          <w:spacing w:val="-58"/>
        </w:rPr>
        <w:t> </w:t>
      </w:r>
      <w:r>
        <w:rPr/>
        <w:t>1969).</w:t>
      </w:r>
    </w:p>
    <w:p>
      <w:pPr>
        <w:pStyle w:val="BodyText"/>
        <w:spacing w:line="360" w:lineRule="auto" w:before="116"/>
        <w:ind w:left="160" w:right="156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classical</w:t>
      </w:r>
      <w:r>
        <w:rPr>
          <w:spacing w:val="-12"/>
        </w:rPr>
        <w:t> </w:t>
      </w:r>
      <w:r>
        <w:rPr/>
        <w:t>economists</w:t>
      </w:r>
      <w:r>
        <w:rPr>
          <w:spacing w:val="-9"/>
        </w:rPr>
        <w:t> </w:t>
      </w:r>
      <w:r>
        <w:rPr/>
        <w:t>thus</w:t>
      </w:r>
      <w:r>
        <w:rPr>
          <w:spacing w:val="-12"/>
        </w:rPr>
        <w:t> </w:t>
      </w:r>
      <w:r>
        <w:rPr/>
        <w:t>argued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rising</w:t>
      </w:r>
      <w:r>
        <w:rPr>
          <w:spacing w:val="-14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inequality</w:t>
      </w:r>
      <w:r>
        <w:rPr>
          <w:spacing w:val="-15"/>
        </w:rPr>
        <w:t> </w:t>
      </w:r>
      <w:r>
        <w:rPr/>
        <w:t>from</w:t>
      </w:r>
      <w:r>
        <w:rPr>
          <w:spacing w:val="-11"/>
        </w:rPr>
        <w:t> </w:t>
      </w:r>
      <w:r>
        <w:rPr/>
        <w:t>differential</w:t>
      </w:r>
      <w:r>
        <w:rPr>
          <w:spacing w:val="-10"/>
        </w:rPr>
        <w:t> </w:t>
      </w:r>
      <w:r>
        <w:rPr/>
        <w:t>gain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nothing</w:t>
      </w:r>
      <w:r>
        <w:rPr>
          <w:spacing w:val="-57"/>
        </w:rPr>
        <w:t> </w:t>
      </w:r>
      <w:r>
        <w:rPr/>
        <w:t>of concern as it’s creates incentives (to acquire more fertile land) that push the society toward a</w:t>
      </w:r>
      <w:r>
        <w:rPr>
          <w:spacing w:val="1"/>
        </w:rPr>
        <w:t> </w:t>
      </w:r>
      <w:r>
        <w:rPr/>
        <w:t>healthy status (Bourguignon, 2004). This demonstrate that individuals are largely responsible for</w:t>
      </w:r>
      <w:r>
        <w:rPr>
          <w:spacing w:val="1"/>
        </w:rPr>
        <w:t> </w:t>
      </w:r>
      <w:r>
        <w:rPr/>
        <w:t>their health outcomes. Though their main idea resides in incentives (rent) as Ricardo explained.</w:t>
      </w:r>
      <w:r>
        <w:rPr>
          <w:spacing w:val="1"/>
        </w:rPr>
        <w:t> </w:t>
      </w:r>
      <w:r>
        <w:rPr/>
        <w:t>However, the theory of the functional income distribution did not build a unified theoretical</w:t>
      </w:r>
      <w:r>
        <w:rPr>
          <w:spacing w:val="1"/>
        </w:rPr>
        <w:t> </w:t>
      </w:r>
      <w:r>
        <w:rPr/>
        <w:t>structure that explain normative and welfare issues (Sandmo, 2013). Karl Marx also recognized</w:t>
      </w:r>
      <w:r>
        <w:rPr>
          <w:spacing w:val="1"/>
        </w:rPr>
        <w:t> </w:t>
      </w:r>
      <w:r>
        <w:rPr/>
        <w:t>that</w:t>
      </w:r>
      <w:r>
        <w:rPr>
          <w:spacing w:val="-9"/>
        </w:rPr>
        <w:t> </w:t>
      </w:r>
      <w:r>
        <w:rPr/>
        <w:t>rent,</w:t>
      </w:r>
      <w:r>
        <w:rPr>
          <w:spacing w:val="-7"/>
        </w:rPr>
        <w:t> </w:t>
      </w:r>
      <w:r>
        <w:rPr/>
        <w:t>benefits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interest</w:t>
      </w:r>
      <w:r>
        <w:rPr>
          <w:spacing w:val="-8"/>
        </w:rPr>
        <w:t> </w:t>
      </w:r>
      <w:r>
        <w:rPr/>
        <w:t>were</w:t>
      </w:r>
      <w:r>
        <w:rPr>
          <w:spacing w:val="-9"/>
        </w:rPr>
        <w:t> </w:t>
      </w:r>
      <w:r>
        <w:rPr/>
        <w:t>often</w:t>
      </w:r>
      <w:r>
        <w:rPr>
          <w:spacing w:val="-8"/>
        </w:rPr>
        <w:t> </w:t>
      </w:r>
      <w:r>
        <w:rPr/>
        <w:t>received</w:t>
      </w:r>
      <w:r>
        <w:rPr>
          <w:spacing w:val="-6"/>
        </w:rPr>
        <w:t> </w:t>
      </w:r>
      <w:r>
        <w:rPr/>
        <w:t>only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one</w:t>
      </w:r>
      <w:r>
        <w:rPr>
          <w:spacing w:val="-6"/>
        </w:rPr>
        <w:t> </w:t>
      </w:r>
      <w:r>
        <w:rPr/>
        <w:t>class: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capitalists</w:t>
      </w:r>
      <w:r>
        <w:rPr>
          <w:spacing w:val="-7"/>
        </w:rPr>
        <w:t> </w:t>
      </w:r>
      <w:r>
        <w:rPr/>
        <w:t>(Ferran,</w:t>
      </w:r>
      <w:r>
        <w:rPr>
          <w:spacing w:val="-9"/>
        </w:rPr>
        <w:t> </w:t>
      </w:r>
      <w:r>
        <w:rPr/>
        <w:t>1997).</w:t>
      </w:r>
    </w:p>
    <w:p>
      <w:pPr>
        <w:pStyle w:val="Heading4"/>
        <w:numPr>
          <w:ilvl w:val="2"/>
          <w:numId w:val="11"/>
        </w:numPr>
        <w:tabs>
          <w:tab w:pos="881" w:val="left" w:leader="none"/>
        </w:tabs>
        <w:spacing w:line="240" w:lineRule="auto" w:before="189" w:after="0"/>
        <w:ind w:left="880" w:right="0" w:hanging="721"/>
        <w:jc w:val="both"/>
      </w:pPr>
      <w:bookmarkStart w:name="_TOC_250056" w:id="21"/>
      <w:r>
        <w:rPr/>
        <w:t>Neoclassical</w:t>
      </w:r>
      <w:r>
        <w:rPr>
          <w:spacing w:val="-3"/>
        </w:rPr>
        <w:t> </w:t>
      </w:r>
      <w:bookmarkEnd w:id="21"/>
      <w:r>
        <w:rPr/>
        <w:t>Theories</w:t>
      </w:r>
    </w:p>
    <w:p>
      <w:pPr>
        <w:pStyle w:val="BodyText"/>
        <w:spacing w:line="360" w:lineRule="auto" w:before="132"/>
        <w:ind w:left="160" w:right="154"/>
        <w:jc w:val="both"/>
      </w:pPr>
      <w:r>
        <w:rPr/>
        <w:t>The</w:t>
      </w:r>
      <w:r>
        <w:rPr>
          <w:spacing w:val="-10"/>
        </w:rPr>
        <w:t> </w:t>
      </w:r>
      <w:r>
        <w:rPr/>
        <w:t>revival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Neo-Classical</w:t>
      </w:r>
      <w:r>
        <w:rPr>
          <w:spacing w:val="-8"/>
        </w:rPr>
        <w:t> </w:t>
      </w:r>
      <w:r>
        <w:rPr/>
        <w:t>economists</w:t>
      </w:r>
      <w:r>
        <w:rPr>
          <w:spacing w:val="-7"/>
        </w:rPr>
        <w:t> </w:t>
      </w:r>
      <w:r>
        <w:rPr/>
        <w:t>during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1980s,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context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rising</w:t>
      </w:r>
      <w:r>
        <w:rPr>
          <w:spacing w:val="-9"/>
        </w:rPr>
        <w:t> </w:t>
      </w:r>
      <w:r>
        <w:rPr/>
        <w:t>income</w:t>
      </w:r>
      <w:r>
        <w:rPr>
          <w:spacing w:val="-10"/>
        </w:rPr>
        <w:t> </w:t>
      </w:r>
      <w:r>
        <w:rPr/>
        <w:t>inequality</w:t>
      </w:r>
      <w:r>
        <w:rPr>
          <w:spacing w:val="-57"/>
        </w:rPr>
        <w:t> </w:t>
      </w:r>
      <w:r>
        <w:rPr/>
        <w:t>as</w:t>
      </w:r>
      <w:r>
        <w:rPr>
          <w:spacing w:val="-8"/>
        </w:rPr>
        <w:t> </w:t>
      </w:r>
      <w:r>
        <w:rPr/>
        <w:t>experienced</w:t>
      </w:r>
      <w:r>
        <w:rPr>
          <w:spacing w:val="-7"/>
        </w:rPr>
        <w:t> </w:t>
      </w:r>
      <w:r>
        <w:rPr/>
        <w:t>by</w:t>
      </w:r>
      <w:r>
        <w:rPr>
          <w:spacing w:val="-10"/>
        </w:rPr>
        <w:t> </w:t>
      </w:r>
      <w:r>
        <w:rPr/>
        <w:t>Latin</w:t>
      </w:r>
      <w:r>
        <w:rPr>
          <w:spacing w:val="-6"/>
        </w:rPr>
        <w:t> </w:t>
      </w:r>
      <w:r>
        <w:rPr/>
        <w:t>American</w:t>
      </w:r>
      <w:r>
        <w:rPr>
          <w:spacing w:val="-8"/>
        </w:rPr>
        <w:t> </w:t>
      </w:r>
      <w:r>
        <w:rPr/>
        <w:t>nations,</w:t>
      </w:r>
      <w:r>
        <w:rPr>
          <w:spacing w:val="-8"/>
        </w:rPr>
        <w:t> </w:t>
      </w:r>
      <w:r>
        <w:rPr/>
        <w:t>once</w:t>
      </w:r>
      <w:r>
        <w:rPr>
          <w:spacing w:val="-6"/>
        </w:rPr>
        <w:t> </w:t>
      </w:r>
      <w:r>
        <w:rPr/>
        <w:t>again</w:t>
      </w:r>
      <w:r>
        <w:rPr>
          <w:spacing w:val="-8"/>
        </w:rPr>
        <w:t> </w:t>
      </w:r>
      <w:r>
        <w:rPr/>
        <w:t>put</w:t>
      </w:r>
      <w:r>
        <w:rPr>
          <w:spacing w:val="-7"/>
        </w:rPr>
        <w:t> </w:t>
      </w:r>
      <w:r>
        <w:rPr/>
        <w:t>income</w:t>
      </w:r>
      <w:r>
        <w:rPr>
          <w:spacing w:val="-10"/>
        </w:rPr>
        <w:t> </w:t>
      </w:r>
      <w:r>
        <w:rPr/>
        <w:t>inequality</w:t>
      </w:r>
      <w:r>
        <w:rPr>
          <w:spacing w:val="-10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forefront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debate (Gallo, 2002:14). From neoclassical perspective, market could, and should play a central</w:t>
      </w:r>
      <w:r>
        <w:rPr>
          <w:spacing w:val="1"/>
        </w:rPr>
        <w:t> </w:t>
      </w:r>
      <w:r>
        <w:rPr/>
        <w:t>role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rationing</w:t>
      </w:r>
      <w:r>
        <w:rPr>
          <w:spacing w:val="-8"/>
        </w:rPr>
        <w:t> </w:t>
      </w:r>
      <w:r>
        <w:rPr/>
        <w:t>scarce</w:t>
      </w:r>
      <w:r>
        <w:rPr>
          <w:spacing w:val="-5"/>
        </w:rPr>
        <w:t> </w:t>
      </w:r>
      <w:r>
        <w:rPr/>
        <w:t>goods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income</w:t>
      </w:r>
      <w:r>
        <w:rPr>
          <w:spacing w:val="-7"/>
        </w:rPr>
        <w:t> </w:t>
      </w:r>
      <w:r>
        <w:rPr/>
        <w:t>distribution.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explanation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integral part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‘marginal</w:t>
      </w:r>
      <w:r>
        <w:rPr>
          <w:spacing w:val="-12"/>
        </w:rPr>
        <w:t> </w:t>
      </w:r>
      <w:r>
        <w:rPr/>
        <w:t>revolution’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took</w:t>
      </w:r>
      <w:r>
        <w:rPr>
          <w:spacing w:val="-12"/>
        </w:rPr>
        <w:t> </w:t>
      </w:r>
      <w:r>
        <w:rPr/>
        <w:t>place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-11"/>
          <w:vertAlign w:val="baseline"/>
        </w:rPr>
        <w:t> </w:t>
      </w:r>
      <w:r>
        <w:rPr>
          <w:vertAlign w:val="baseline"/>
        </w:rPr>
        <w:t>part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19</w:t>
      </w:r>
      <w:r>
        <w:rPr>
          <w:vertAlign w:val="superscript"/>
        </w:rPr>
        <w:t>th</w:t>
      </w:r>
      <w:r>
        <w:rPr>
          <w:spacing w:val="-11"/>
          <w:vertAlign w:val="baseline"/>
        </w:rPr>
        <w:t> </w:t>
      </w:r>
      <w:r>
        <w:rPr>
          <w:vertAlign w:val="baseline"/>
        </w:rPr>
        <w:t>century.</w:t>
      </w:r>
      <w:r>
        <w:rPr>
          <w:spacing w:val="-9"/>
          <w:vertAlign w:val="baseline"/>
        </w:rPr>
        <w:t> </w:t>
      </w:r>
      <w:r>
        <w:rPr>
          <w:vertAlign w:val="baseline"/>
        </w:rPr>
        <w:t>By</w:t>
      </w:r>
      <w:r>
        <w:rPr>
          <w:spacing w:val="-20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3"/>
          <w:vertAlign w:val="baseline"/>
        </w:rPr>
        <w:t> </w:t>
      </w:r>
      <w:r>
        <w:rPr>
          <w:vertAlign w:val="baseline"/>
        </w:rPr>
        <w:t>explanations,</w:t>
      </w:r>
      <w:r>
        <w:rPr>
          <w:spacing w:val="-57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5"/>
          <w:vertAlign w:val="baseline"/>
        </w:rPr>
        <w:t> </w:t>
      </w:r>
      <w:r>
        <w:rPr>
          <w:vertAlign w:val="baseline"/>
        </w:rPr>
        <w:t>inequality</w:t>
      </w:r>
      <w:r>
        <w:rPr>
          <w:spacing w:val="-11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an</w:t>
      </w:r>
      <w:r>
        <w:rPr>
          <w:spacing w:val="-4"/>
          <w:vertAlign w:val="baseline"/>
        </w:rPr>
        <w:t> </w:t>
      </w:r>
      <w:r>
        <w:rPr>
          <w:vertAlign w:val="baseline"/>
        </w:rPr>
        <w:t>outcome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free</w:t>
      </w:r>
      <w:r>
        <w:rPr>
          <w:spacing w:val="-5"/>
          <w:vertAlign w:val="baseline"/>
        </w:rPr>
        <w:t> </w:t>
      </w:r>
      <w:r>
        <w:rPr>
          <w:vertAlign w:val="baseline"/>
        </w:rPr>
        <w:t>market</w:t>
      </w:r>
      <w:r>
        <w:rPr>
          <w:spacing w:val="-3"/>
          <w:vertAlign w:val="baseline"/>
        </w:rPr>
        <w:t> </w:t>
      </w:r>
      <w:r>
        <w:rPr>
          <w:vertAlign w:val="baseline"/>
        </w:rPr>
        <w:t>mechanism,</w:t>
      </w:r>
      <w:r>
        <w:rPr>
          <w:spacing w:val="-3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issue</w:t>
      </w:r>
      <w:r>
        <w:rPr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inevitable.</w:t>
      </w:r>
      <w:r>
        <w:rPr>
          <w:spacing w:val="-3"/>
          <w:vertAlign w:val="baseline"/>
        </w:rPr>
        <w:t> </w:t>
      </w:r>
      <w:r>
        <w:rPr>
          <w:vertAlign w:val="baseline"/>
        </w:rPr>
        <w:t>They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assert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that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if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top</w:t>
      </w:r>
      <w:r>
        <w:rPr>
          <w:spacing w:val="-12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1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10"/>
          <w:vertAlign w:val="baseline"/>
        </w:rPr>
        <w:t> </w:t>
      </w:r>
      <w:r>
        <w:rPr>
          <w:vertAlign w:val="baseline"/>
        </w:rPr>
        <w:t>generates</w:t>
      </w:r>
      <w:r>
        <w:rPr>
          <w:spacing w:val="-10"/>
          <w:vertAlign w:val="baseline"/>
        </w:rPr>
        <w:t> </w:t>
      </w:r>
      <w:r>
        <w:rPr>
          <w:vertAlign w:val="baseline"/>
        </w:rPr>
        <w:t>savings,</w:t>
      </w:r>
      <w:r>
        <w:rPr>
          <w:spacing w:val="-10"/>
          <w:vertAlign w:val="baseline"/>
        </w:rPr>
        <w:t> </w:t>
      </w:r>
      <w:r>
        <w:rPr>
          <w:vertAlign w:val="baseline"/>
        </w:rPr>
        <w:t>given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-11"/>
          <w:vertAlign w:val="baseline"/>
        </w:rPr>
        <w:t> </w:t>
      </w:r>
      <w:r>
        <w:rPr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vertAlign w:val="baseline"/>
        </w:rPr>
        <w:t>propensity</w:t>
      </w:r>
      <w:r>
        <w:rPr>
          <w:spacing w:val="-17"/>
          <w:vertAlign w:val="baseline"/>
        </w:rPr>
        <w:t> </w:t>
      </w:r>
      <w:r>
        <w:rPr>
          <w:vertAlign w:val="baseline"/>
        </w:rPr>
        <w:t>to</w:t>
      </w:r>
      <w:r>
        <w:rPr>
          <w:spacing w:val="-10"/>
          <w:vertAlign w:val="baseline"/>
        </w:rPr>
        <w:t> </w:t>
      </w:r>
      <w:r>
        <w:rPr>
          <w:vertAlign w:val="baseline"/>
        </w:rPr>
        <w:t>save</w:t>
      </w:r>
      <w:r>
        <w:rPr>
          <w:spacing w:val="-57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rich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poor,</w:t>
      </w:r>
      <w:r>
        <w:rPr>
          <w:spacing w:val="-2"/>
          <w:vertAlign w:val="baseline"/>
        </w:rPr>
        <w:t> </w:t>
      </w:r>
      <w:r>
        <w:rPr>
          <w:vertAlign w:val="baseline"/>
        </w:rPr>
        <w:t>unequal</w:t>
      </w:r>
      <w:r>
        <w:rPr>
          <w:spacing w:val="-2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2"/>
          <w:vertAlign w:val="baseline"/>
        </w:rPr>
        <w:t> </w:t>
      </w:r>
      <w:r>
        <w:rPr>
          <w:vertAlign w:val="baseline"/>
        </w:rPr>
        <w:t>might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-2"/>
          <w:vertAlign w:val="baseline"/>
        </w:rPr>
        <w:t> </w:t>
      </w:r>
      <w:r>
        <w:rPr>
          <w:vertAlign w:val="baseline"/>
        </w:rPr>
        <w:t>allowed.</w:t>
      </w:r>
      <w:r>
        <w:rPr>
          <w:spacing w:val="-1"/>
          <w:vertAlign w:val="baseline"/>
        </w:rPr>
        <w:t> </w:t>
      </w:r>
      <w:r>
        <w:rPr>
          <w:vertAlign w:val="baseline"/>
        </w:rPr>
        <w:t>Under</w:t>
      </w:r>
      <w:r>
        <w:rPr>
          <w:spacing w:val="-2"/>
          <w:vertAlign w:val="baseline"/>
        </w:rPr>
        <w:t> </w:t>
      </w:r>
      <w:r>
        <w:rPr>
          <w:vertAlign w:val="baseline"/>
        </w:rPr>
        <w:t>this,</w:t>
      </w:r>
      <w:r>
        <w:rPr>
          <w:spacing w:val="-1"/>
          <w:vertAlign w:val="baseline"/>
        </w:rPr>
        <w:t> </w:t>
      </w:r>
      <w:r>
        <w:rPr>
          <w:vertAlign w:val="baseline"/>
        </w:rPr>
        <w:t>there</w:t>
      </w:r>
      <w:r>
        <w:rPr>
          <w:spacing w:val="-58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relationship between</w:t>
      </w:r>
      <w:r>
        <w:rPr>
          <w:spacing w:val="-1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2"/>
          <w:vertAlign w:val="baseline"/>
        </w:rPr>
        <w:t> </w:t>
      </w:r>
      <w:r>
        <w:rPr>
          <w:vertAlign w:val="baseline"/>
        </w:rPr>
        <w:t>inequality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1"/>
          <w:vertAlign w:val="baseline"/>
        </w:rPr>
        <w:t> </w:t>
      </w:r>
      <w:r>
        <w:rPr>
          <w:vertAlign w:val="baseline"/>
        </w:rPr>
        <w:t>(see</w:t>
      </w:r>
      <w:r>
        <w:rPr>
          <w:spacing w:val="-1"/>
          <w:vertAlign w:val="baseline"/>
        </w:rPr>
        <w:t> </w:t>
      </w:r>
      <w:r>
        <w:rPr>
          <w:vertAlign w:val="baseline"/>
        </w:rPr>
        <w:t>Kosta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Novica, 2018:319).</w:t>
      </w:r>
    </w:p>
    <w:p>
      <w:pPr>
        <w:pStyle w:val="BodyText"/>
        <w:spacing w:line="360" w:lineRule="auto" w:before="117"/>
        <w:ind w:left="160" w:right="156"/>
        <w:jc w:val="both"/>
      </w:pPr>
      <w:r>
        <w:rPr/>
        <w:t>From their perspective, income inequality generates savings and thus, stimulates health outcomes</w:t>
      </w:r>
      <w:r>
        <w:rPr>
          <w:spacing w:val="-57"/>
        </w:rPr>
        <w:t> </w:t>
      </w:r>
      <w:r>
        <w:rPr/>
        <w:t>and</w:t>
      </w:r>
      <w:r>
        <w:rPr>
          <w:spacing w:val="-10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growth.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instance,</w:t>
      </w:r>
      <w:r>
        <w:rPr>
          <w:spacing w:val="-9"/>
        </w:rPr>
        <w:t> </w:t>
      </w:r>
      <w:r>
        <w:rPr/>
        <w:t>since</w:t>
      </w:r>
      <w:r>
        <w:rPr>
          <w:spacing w:val="-10"/>
        </w:rPr>
        <w:t> </w:t>
      </w:r>
      <w:r>
        <w:rPr/>
        <w:t>savings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investment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directly</w:t>
      </w:r>
      <w:r>
        <w:rPr>
          <w:spacing w:val="-11"/>
        </w:rPr>
        <w:t> </w:t>
      </w:r>
      <w:r>
        <w:rPr/>
        <w:t>related,</w:t>
      </w:r>
      <w:r>
        <w:rPr>
          <w:spacing w:val="-10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possible</w:t>
      </w:r>
      <w:r>
        <w:rPr>
          <w:spacing w:val="-58"/>
        </w:rPr>
        <w:t> </w:t>
      </w:r>
      <w:r>
        <w:rPr/>
        <w:t>to conclude that a certain level of income inequality can be good for economic development that</w:t>
      </w:r>
      <w:r>
        <w:rPr>
          <w:spacing w:val="1"/>
        </w:rPr>
        <w:t> </w:t>
      </w:r>
      <w:r>
        <w:rPr/>
        <w:t>improves</w:t>
      </w:r>
      <w:r>
        <w:rPr>
          <w:spacing w:val="-1"/>
        </w:rPr>
        <w:t> </w:t>
      </w:r>
      <w:r>
        <w:rPr/>
        <w:t>health.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central</w:t>
      </w:r>
      <w:r>
        <w:rPr>
          <w:spacing w:val="-1"/>
        </w:rPr>
        <w:t> </w:t>
      </w:r>
      <w:r>
        <w:rPr/>
        <w:t>assumption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thought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that,</w:t>
      </w:r>
      <w:r>
        <w:rPr>
          <w:spacing w:val="-1"/>
        </w:rPr>
        <w:t> </w:t>
      </w:r>
      <w:r>
        <w:rPr/>
        <w:t>unequal</w:t>
      </w:r>
      <w:r>
        <w:rPr>
          <w:spacing w:val="-1"/>
        </w:rPr>
        <w:t> </w:t>
      </w:r>
      <w:r>
        <w:rPr/>
        <w:t>income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often</w:t>
      </w:r>
      <w:r>
        <w:rPr>
          <w:spacing w:val="-58"/>
        </w:rPr>
        <w:t> </w:t>
      </w:r>
      <w:r>
        <w:rPr/>
        <w:t>diverts</w:t>
      </w:r>
      <w:r>
        <w:rPr>
          <w:spacing w:val="-10"/>
        </w:rPr>
        <w:t> </w:t>
      </w:r>
      <w:r>
        <w:rPr/>
        <w:t>income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consumption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savings,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marginal</w:t>
      </w:r>
      <w:r>
        <w:rPr>
          <w:spacing w:val="-11"/>
        </w:rPr>
        <w:t> </w:t>
      </w:r>
      <w:r>
        <w:rPr/>
        <w:t>propensity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save</w:t>
      </w:r>
      <w:r>
        <w:rPr>
          <w:spacing w:val="-11"/>
        </w:rPr>
        <w:t> </w:t>
      </w:r>
      <w:r>
        <w:rPr/>
        <w:t>increases</w:t>
      </w:r>
      <w:r>
        <w:rPr>
          <w:spacing w:val="-11"/>
        </w:rPr>
        <w:t> </w:t>
      </w:r>
      <w:r>
        <w:rPr/>
        <w:t>with</w:t>
      </w:r>
      <w:r>
        <w:rPr>
          <w:spacing w:val="-58"/>
        </w:rPr>
        <w:t> </w:t>
      </w:r>
      <w:r>
        <w:rPr/>
        <w:t>an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income, marginal propensity</w:t>
      </w:r>
      <w:r>
        <w:rPr>
          <w:spacing w:val="-5"/>
        </w:rPr>
        <w:t> </w:t>
      </w:r>
      <w:r>
        <w:rPr/>
        <w:t>to consume decreases.</w:t>
      </w:r>
    </w:p>
    <w:p>
      <w:pPr>
        <w:pStyle w:val="BodyText"/>
        <w:spacing w:line="360" w:lineRule="auto" w:before="116"/>
        <w:ind w:left="160" w:right="156"/>
        <w:jc w:val="both"/>
      </w:pPr>
      <w:r>
        <w:rPr/>
        <w:t>The basic idea of Neoclassical theories is that, poor health outcomes from income inequality is</w:t>
      </w:r>
      <w:r>
        <w:rPr>
          <w:spacing w:val="1"/>
        </w:rPr>
        <w:t> </w:t>
      </w:r>
      <w:r>
        <w:rPr/>
        <w:t>beyond individuals’ control (Gallo, 2002). From their perspective, some of the issue that arise in</w:t>
      </w:r>
      <w:r>
        <w:rPr>
          <w:spacing w:val="1"/>
        </w:rPr>
        <w:t> </w:t>
      </w:r>
      <w:r>
        <w:rPr/>
        <w:t>income inequality include the absence of social assets as well as market failures that exclude</w:t>
      </w:r>
      <w:r>
        <w:rPr>
          <w:spacing w:val="1"/>
        </w:rPr>
        <w:t> </w:t>
      </w:r>
      <w:r>
        <w:rPr/>
        <w:t>unhealthy</w:t>
      </w:r>
      <w:r>
        <w:rPr>
          <w:spacing w:val="21"/>
        </w:rPr>
        <w:t> </w:t>
      </w:r>
      <w:r>
        <w:rPr/>
        <w:t>individual</w:t>
      </w:r>
      <w:r>
        <w:rPr>
          <w:spacing w:val="28"/>
        </w:rPr>
        <w:t> </w:t>
      </w:r>
      <w:r>
        <w:rPr/>
        <w:t>(especially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low-income</w:t>
      </w:r>
      <w:r>
        <w:rPr>
          <w:spacing w:val="28"/>
        </w:rPr>
        <w:t> </w:t>
      </w:r>
      <w:r>
        <w:rPr/>
        <w:t>households)</w:t>
      </w:r>
      <w:r>
        <w:rPr>
          <w:spacing w:val="25"/>
        </w:rPr>
        <w:t> </w:t>
      </w: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health-credit</w:t>
      </w:r>
      <w:r>
        <w:rPr>
          <w:spacing w:val="27"/>
        </w:rPr>
        <w:t> </w:t>
      </w:r>
      <w:r>
        <w:rPr/>
        <w:t>markets</w:t>
      </w:r>
      <w:r>
        <w:rPr>
          <w:spacing w:val="26"/>
        </w:rPr>
        <w:t> </w:t>
      </w:r>
      <w:r>
        <w:rPr/>
        <w:t>or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4"/>
        <w:jc w:val="both"/>
      </w:pPr>
      <w:r>
        <w:rPr/>
        <w:t>health insurance. They argued that rising income inequality is associated with wide productivity</w:t>
      </w:r>
      <w:r>
        <w:rPr>
          <w:spacing w:val="1"/>
        </w:rPr>
        <w:t> </w:t>
      </w:r>
      <w:r>
        <w:rPr/>
        <w:t>gaps</w:t>
      </w:r>
      <w:r>
        <w:rPr>
          <w:spacing w:val="-1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high</w:t>
      </w:r>
      <w:r>
        <w:rPr>
          <w:spacing w:val="2"/>
        </w:rPr>
        <w:t> </w:t>
      </w:r>
      <w:r>
        <w:rPr/>
        <w:t>and low-income</w:t>
      </w:r>
      <w:r>
        <w:rPr>
          <w:spacing w:val="-2"/>
        </w:rPr>
        <w:t> </w:t>
      </w:r>
      <w:r>
        <w:rPr/>
        <w:t>earners</w:t>
      </w:r>
      <w:r>
        <w:rPr>
          <w:spacing w:val="1"/>
        </w:rPr>
        <w:t> </w:t>
      </w:r>
      <w:r>
        <w:rPr/>
        <w:t>(Marshall, 1890, 1920:533).</w:t>
      </w:r>
    </w:p>
    <w:p>
      <w:pPr>
        <w:pStyle w:val="BodyText"/>
        <w:spacing w:line="360" w:lineRule="auto" w:before="185"/>
        <w:ind w:left="160" w:right="156"/>
        <w:jc w:val="both"/>
      </w:pP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pertinent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note</w:t>
      </w:r>
      <w:r>
        <w:rPr>
          <w:spacing w:val="-4"/>
        </w:rPr>
        <w:t> </w:t>
      </w:r>
      <w:r>
        <w:rPr/>
        <w:t>that,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neoclassical</w:t>
      </w:r>
      <w:r>
        <w:rPr>
          <w:spacing w:val="-2"/>
        </w:rPr>
        <w:t> </w:t>
      </w:r>
      <w:r>
        <w:rPr/>
        <w:t>theory</w:t>
      </w:r>
      <w:r>
        <w:rPr>
          <w:spacing w:val="-11"/>
        </w:rPr>
        <w:t> </w:t>
      </w:r>
      <w:r>
        <w:rPr/>
        <w:t>lay</w:t>
      </w:r>
      <w:r>
        <w:rPr>
          <w:spacing w:val="-9"/>
        </w:rPr>
        <w:t> </w:t>
      </w:r>
      <w:r>
        <w:rPr/>
        <w:t>too</w:t>
      </w:r>
      <w:r>
        <w:rPr>
          <w:spacing w:val="-3"/>
        </w:rPr>
        <w:t> </w:t>
      </w:r>
      <w:r>
        <w:rPr/>
        <w:t>much</w:t>
      </w:r>
      <w:r>
        <w:rPr>
          <w:spacing w:val="-4"/>
        </w:rPr>
        <w:t> </w:t>
      </w:r>
      <w:r>
        <w:rPr/>
        <w:t>emphasis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individuals’</w:t>
      </w:r>
      <w:r>
        <w:rPr>
          <w:spacing w:val="-4"/>
        </w:rPr>
        <w:t> </w:t>
      </w:r>
      <w:r>
        <w:rPr/>
        <w:t>marginal</w:t>
      </w:r>
      <w:r>
        <w:rPr>
          <w:spacing w:val="-58"/>
        </w:rPr>
        <w:t> </w:t>
      </w:r>
      <w:r>
        <w:rPr/>
        <w:t>propensity to save (Kosta and Novica, 2018). Their main focus is on people and material means</w:t>
      </w:r>
      <w:r>
        <w:rPr>
          <w:spacing w:val="1"/>
        </w:rPr>
        <w:t> </w:t>
      </w:r>
      <w:r>
        <w:rPr/>
        <w:t>that improve health. This explanation fails to account for the role of government in terms of</w:t>
      </w:r>
      <w:r>
        <w:rPr>
          <w:spacing w:val="1"/>
        </w:rPr>
        <w:t> </w:t>
      </w:r>
      <w:r>
        <w:rPr/>
        <w:t>intervention, regulation and promoting healthy living. This may be far from reality especially in</w:t>
      </w:r>
      <w:r>
        <w:rPr>
          <w:spacing w:val="1"/>
        </w:rPr>
        <w:t> </w:t>
      </w:r>
      <w:r>
        <w:rPr/>
        <w:t>the context of a developing nation like Nigeria where government is key to health policies.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savings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individual’s preference and exogenous constraints (Gallo, 2002). However, by seeing income</w:t>
      </w:r>
      <w:r>
        <w:rPr>
          <w:spacing w:val="1"/>
        </w:rPr>
        <w:t> </w:t>
      </w:r>
      <w:r>
        <w:rPr/>
        <w:t>concentration as a source of incentives for higher effort and saving, Neoclassical theory delivers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ideological</w:t>
      </w:r>
      <w:r>
        <w:rPr>
          <w:spacing w:val="1"/>
        </w:rPr>
        <w:t> </w:t>
      </w:r>
      <w:r>
        <w:rPr/>
        <w:t>backing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individualism</w:t>
      </w:r>
      <w:r>
        <w:rPr>
          <w:spacing w:val="1"/>
        </w:rPr>
        <w:t> </w:t>
      </w:r>
      <w:r>
        <w:rPr/>
        <w:t>(Green,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of,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justification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income inequality,</w:t>
      </w:r>
      <w:r>
        <w:rPr>
          <w:spacing w:val="1"/>
        </w:rPr>
        <w:t> </w:t>
      </w:r>
      <w:r>
        <w:rPr/>
        <w:t>and support of</w:t>
      </w:r>
      <w:r>
        <w:rPr>
          <w:spacing w:val="-1"/>
        </w:rPr>
        <w:t> </w:t>
      </w:r>
      <w:r>
        <w:rPr/>
        <w:t>free</w:t>
      </w:r>
      <w:r>
        <w:rPr>
          <w:spacing w:val="-2"/>
        </w:rPr>
        <w:t> </w:t>
      </w:r>
      <w:r>
        <w:rPr/>
        <w:t>market solutions.</w:t>
      </w:r>
    </w:p>
    <w:p>
      <w:pPr>
        <w:pStyle w:val="Heading4"/>
        <w:numPr>
          <w:ilvl w:val="2"/>
          <w:numId w:val="11"/>
        </w:numPr>
        <w:tabs>
          <w:tab w:pos="881" w:val="left" w:leader="none"/>
        </w:tabs>
        <w:spacing w:line="240" w:lineRule="auto" w:before="227" w:after="0"/>
        <w:ind w:left="880" w:right="0" w:hanging="721"/>
        <w:jc w:val="both"/>
      </w:pPr>
      <w:bookmarkStart w:name="_TOC_250055" w:id="22"/>
      <w:r>
        <w:rPr/>
        <w:t>Marxian</w:t>
      </w:r>
      <w:r>
        <w:rPr>
          <w:spacing w:val="-1"/>
        </w:rPr>
        <w:t> </w:t>
      </w:r>
      <w:bookmarkEnd w:id="22"/>
      <w:r>
        <w:rPr/>
        <w:t>Theories</w:t>
      </w:r>
    </w:p>
    <w:p>
      <w:pPr>
        <w:pStyle w:val="BodyText"/>
        <w:spacing w:line="360" w:lineRule="auto" w:before="19"/>
        <w:ind w:left="160" w:right="156"/>
        <w:jc w:val="both"/>
      </w:pPr>
      <w:r>
        <w:rPr/>
        <w:t>In the 1860s, Karl Marx argued in </w:t>
      </w:r>
      <w:r>
        <w:rPr>
          <w:i/>
        </w:rPr>
        <w:t>Das Capital </w:t>
      </w:r>
      <w:r>
        <w:rPr/>
        <w:t>that income inequality is attributed to an inherent</w:t>
      </w:r>
      <w:r>
        <w:rPr>
          <w:spacing w:val="1"/>
        </w:rPr>
        <w:t> </w:t>
      </w:r>
      <w:r>
        <w:rPr/>
        <w:t>feature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capitalism.</w:t>
      </w:r>
      <w:r>
        <w:rPr>
          <w:spacing w:val="-3"/>
        </w:rPr>
        <w:t> </w:t>
      </w:r>
      <w:r>
        <w:rPr/>
        <w:t>Marx</w:t>
      </w:r>
      <w:r>
        <w:rPr>
          <w:spacing w:val="-2"/>
        </w:rPr>
        <w:t> </w:t>
      </w:r>
      <w:r>
        <w:rPr/>
        <w:t>uses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Ricardian</w:t>
      </w:r>
      <w:r>
        <w:rPr>
          <w:spacing w:val="-3"/>
        </w:rPr>
        <w:t> </w:t>
      </w:r>
      <w:r>
        <w:rPr/>
        <w:t>‘labour</w:t>
      </w:r>
      <w:r>
        <w:rPr>
          <w:spacing w:val="-5"/>
        </w:rPr>
        <w:t> </w:t>
      </w:r>
      <w:r>
        <w:rPr/>
        <w:t>theory</w:t>
      </w:r>
      <w:r>
        <w:rPr>
          <w:spacing w:val="-11"/>
        </w:rPr>
        <w:t> </w:t>
      </w:r>
      <w:r>
        <w:rPr/>
        <w:t>of</w:t>
      </w:r>
      <w:r>
        <w:rPr>
          <w:spacing w:val="-5"/>
        </w:rPr>
        <w:t> </w:t>
      </w:r>
      <w:r>
        <w:rPr/>
        <w:t>value’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diagnose</w:t>
      </w:r>
      <w:r>
        <w:rPr>
          <w:spacing w:val="-5"/>
        </w:rPr>
        <w:t> </w:t>
      </w:r>
      <w:r>
        <w:rPr/>
        <w:t>exploitation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workers. Like David Ricardo’s ideas, he agreed that an unlimited labour supply will allows the</w:t>
      </w:r>
      <w:r>
        <w:rPr>
          <w:spacing w:val="1"/>
        </w:rPr>
        <w:t> </w:t>
      </w:r>
      <w:r>
        <w:rPr/>
        <w:t>capitalists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hold</w:t>
      </w:r>
      <w:r>
        <w:rPr>
          <w:spacing w:val="-8"/>
        </w:rPr>
        <w:t> </w:t>
      </w:r>
      <w:r>
        <w:rPr/>
        <w:t>down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wages</w:t>
      </w:r>
      <w:r>
        <w:rPr>
          <w:spacing w:val="-6"/>
        </w:rPr>
        <w:t> </w:t>
      </w:r>
      <w:r>
        <w:rPr/>
        <w:t>at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subsistence</w:t>
      </w:r>
      <w:r>
        <w:rPr>
          <w:spacing w:val="-7"/>
        </w:rPr>
        <w:t> </w:t>
      </w:r>
      <w:r>
        <w:rPr/>
        <w:t>level</w:t>
      </w:r>
      <w:r>
        <w:rPr>
          <w:spacing w:val="-6"/>
        </w:rPr>
        <w:t> </w:t>
      </w:r>
      <w:r>
        <w:rPr/>
        <w:t>(Gallo,</w:t>
      </w:r>
      <w:r>
        <w:rPr>
          <w:spacing w:val="-9"/>
        </w:rPr>
        <w:t> </w:t>
      </w:r>
      <w:r>
        <w:rPr/>
        <w:t>2002).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contrary,</w:t>
      </w:r>
      <w:r>
        <w:rPr>
          <w:spacing w:val="-9"/>
        </w:rPr>
        <w:t> </w:t>
      </w:r>
      <w:r>
        <w:rPr/>
        <w:t>he</w:t>
      </w:r>
      <w:r>
        <w:rPr>
          <w:spacing w:val="-7"/>
        </w:rPr>
        <w:t> </w:t>
      </w:r>
      <w:r>
        <w:rPr/>
        <w:t>emphasized</w:t>
      </w:r>
      <w:r>
        <w:rPr>
          <w:spacing w:val="-58"/>
        </w:rPr>
        <w:t> </w:t>
      </w:r>
      <w:r>
        <w:rPr/>
        <w:t>strongly that a central feature of the capitalist system was its ability to accumulate profit. This is</w:t>
      </w:r>
      <w:r>
        <w:rPr>
          <w:spacing w:val="1"/>
        </w:rPr>
        <w:t> </w:t>
      </w:r>
      <w:r>
        <w:rPr/>
        <w:t>because</w:t>
      </w:r>
      <w:r>
        <w:rPr>
          <w:spacing w:val="-10"/>
        </w:rPr>
        <w:t> </w:t>
      </w:r>
      <w:r>
        <w:rPr/>
        <w:t>one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ways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maximize</w:t>
      </w:r>
      <w:r>
        <w:rPr>
          <w:spacing w:val="-11"/>
        </w:rPr>
        <w:t> </w:t>
      </w:r>
      <w:r>
        <w:rPr/>
        <w:t>profits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keep</w:t>
      </w:r>
      <w:r>
        <w:rPr>
          <w:spacing w:val="-10"/>
        </w:rPr>
        <w:t> </w:t>
      </w:r>
      <w:r>
        <w:rPr/>
        <w:t>production</w:t>
      </w:r>
      <w:r>
        <w:rPr>
          <w:spacing w:val="-10"/>
        </w:rPr>
        <w:t> </w:t>
      </w:r>
      <w:r>
        <w:rPr/>
        <w:t>costs</w:t>
      </w:r>
      <w:r>
        <w:rPr>
          <w:spacing w:val="-8"/>
        </w:rPr>
        <w:t> </w:t>
      </w:r>
      <w:r>
        <w:rPr/>
        <w:t>(most</w:t>
      </w:r>
      <w:r>
        <w:rPr>
          <w:spacing w:val="-10"/>
        </w:rPr>
        <w:t> </w:t>
      </w:r>
      <w:r>
        <w:rPr/>
        <w:t>especially,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wage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labour</w:t>
      </w:r>
      <w:r>
        <w:rPr>
          <w:spacing w:val="-1"/>
        </w:rPr>
        <w:t> </w:t>
      </w:r>
      <w:r>
        <w:rPr/>
        <w:t>costs)</w:t>
      </w:r>
      <w:r>
        <w:rPr>
          <w:spacing w:val="1"/>
        </w:rPr>
        <w:t> </w:t>
      </w:r>
      <w:r>
        <w:rPr/>
        <w:t>as low as</w:t>
      </w:r>
      <w:r>
        <w:rPr>
          <w:spacing w:val="2"/>
        </w:rPr>
        <w:t> </w:t>
      </w:r>
      <w:r>
        <w:rPr/>
        <w:t>possible.</w:t>
      </w:r>
    </w:p>
    <w:p>
      <w:pPr>
        <w:pStyle w:val="BodyText"/>
        <w:spacing w:line="360" w:lineRule="auto" w:before="115"/>
        <w:ind w:left="160" w:right="155"/>
        <w:jc w:val="both"/>
      </w:pPr>
      <w:r>
        <w:rPr/>
        <w:t>Capitalism</w:t>
      </w:r>
      <w:r>
        <w:rPr>
          <w:spacing w:val="-4"/>
        </w:rPr>
        <w:t> </w:t>
      </w:r>
      <w:r>
        <w:rPr/>
        <w:t>creates</w:t>
      </w:r>
      <w:r>
        <w:rPr>
          <w:spacing w:val="-4"/>
        </w:rPr>
        <w:t> </w:t>
      </w:r>
      <w:r>
        <w:rPr/>
        <w:t>situations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promote</w:t>
      </w:r>
      <w:r>
        <w:rPr>
          <w:spacing w:val="-4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9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capitalists</w:t>
      </w:r>
      <w:r>
        <w:rPr>
          <w:spacing w:val="-3"/>
        </w:rPr>
        <w:t> </w:t>
      </w:r>
      <w:r>
        <w:rPr/>
        <w:t>(the</w:t>
      </w:r>
      <w:r>
        <w:rPr>
          <w:spacing w:val="-5"/>
        </w:rPr>
        <w:t> </w:t>
      </w:r>
      <w:r>
        <w:rPr/>
        <w:t>rich)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working class (the poor). The result of this is what Marx named: </w:t>
      </w:r>
      <w:r>
        <w:rPr>
          <w:i/>
        </w:rPr>
        <w:t>industrial reserve army </w:t>
      </w:r>
      <w:r>
        <w:rPr/>
        <w:t>of the</w:t>
      </w:r>
      <w:r>
        <w:rPr>
          <w:spacing w:val="1"/>
        </w:rPr>
        <w:t> </w:t>
      </w:r>
      <w:r>
        <w:rPr/>
        <w:t>unemployed who live in extreme poverty, misery and poor health (Sandmo, 2013:18). He also</w:t>
      </w:r>
      <w:r>
        <w:rPr>
          <w:spacing w:val="1"/>
        </w:rPr>
        <w:t> </w:t>
      </w:r>
      <w:r>
        <w:rPr/>
        <w:t>noted that the existence of this reserve army of miserable workers is in fact, in the interest of the</w:t>
      </w:r>
      <w:r>
        <w:rPr>
          <w:spacing w:val="1"/>
        </w:rPr>
        <w:t> </w:t>
      </w:r>
      <w:r>
        <w:rPr/>
        <w:t>ruling</w:t>
      </w:r>
      <w:r>
        <w:rPr>
          <w:spacing w:val="-7"/>
        </w:rPr>
        <w:t> </w:t>
      </w:r>
      <w:r>
        <w:rPr/>
        <w:t>class</w:t>
      </w:r>
      <w:r>
        <w:rPr>
          <w:spacing w:val="-8"/>
        </w:rPr>
        <w:t> </w:t>
      </w:r>
      <w:r>
        <w:rPr/>
        <w:t>–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capitalists.</w:t>
      </w:r>
      <w:r>
        <w:rPr>
          <w:spacing w:val="-7"/>
        </w:rPr>
        <w:t> </w:t>
      </w:r>
      <w:r>
        <w:rPr/>
        <w:t>His</w:t>
      </w:r>
      <w:r>
        <w:rPr>
          <w:spacing w:val="-7"/>
        </w:rPr>
        <w:t> </w:t>
      </w:r>
      <w:r>
        <w:rPr/>
        <w:t>theory</w:t>
      </w:r>
      <w:r>
        <w:rPr>
          <w:spacing w:val="-11"/>
        </w:rPr>
        <w:t> </w:t>
      </w:r>
      <w:r>
        <w:rPr/>
        <w:t>then</w:t>
      </w:r>
      <w:r>
        <w:rPr>
          <w:spacing w:val="-6"/>
        </w:rPr>
        <w:t> </w:t>
      </w:r>
      <w:r>
        <w:rPr/>
        <w:t>sees</w:t>
      </w:r>
      <w:r>
        <w:rPr>
          <w:spacing w:val="-6"/>
        </w:rPr>
        <w:t> </w:t>
      </w:r>
      <w:r>
        <w:rPr/>
        <w:t>labour</w:t>
      </w:r>
      <w:r>
        <w:rPr>
          <w:spacing w:val="-8"/>
        </w:rPr>
        <w:t> </w:t>
      </w:r>
      <w:r>
        <w:rPr/>
        <w:t>being</w:t>
      </w:r>
      <w:r>
        <w:rPr>
          <w:spacing w:val="-6"/>
        </w:rPr>
        <w:t> </w:t>
      </w:r>
      <w:r>
        <w:rPr/>
        <w:t>substituted</w:t>
      </w:r>
      <w:r>
        <w:rPr>
          <w:spacing w:val="-8"/>
        </w:rPr>
        <w:t> </w:t>
      </w:r>
      <w:r>
        <w:rPr/>
        <w:t>by</w:t>
      </w:r>
      <w:r>
        <w:rPr>
          <w:spacing w:val="-10"/>
        </w:rPr>
        <w:t> </w:t>
      </w:r>
      <w:r>
        <w:rPr/>
        <w:t>modern</w:t>
      </w:r>
      <w:r>
        <w:rPr>
          <w:spacing w:val="-7"/>
        </w:rPr>
        <w:t> </w:t>
      </w:r>
      <w:r>
        <w:rPr/>
        <w:t>technologies</w:t>
      </w:r>
      <w:r>
        <w:rPr>
          <w:spacing w:val="-58"/>
        </w:rPr>
        <w:t> </w:t>
      </w:r>
      <w:r>
        <w:rPr/>
        <w:t>and</w:t>
      </w:r>
      <w:r>
        <w:rPr>
          <w:spacing w:val="-13"/>
        </w:rPr>
        <w:t> </w:t>
      </w:r>
      <w:r>
        <w:rPr/>
        <w:t>machines.</w:t>
      </w:r>
      <w:r>
        <w:rPr>
          <w:spacing w:val="-11"/>
        </w:rPr>
        <w:t> </w:t>
      </w:r>
      <w:r>
        <w:rPr/>
        <w:t>This</w:t>
      </w:r>
      <w:r>
        <w:rPr>
          <w:spacing w:val="-13"/>
        </w:rPr>
        <w:t> </w:t>
      </w:r>
      <w:r>
        <w:rPr/>
        <w:t>reduces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need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labour-hours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wage</w:t>
      </w:r>
      <w:r>
        <w:rPr>
          <w:spacing w:val="-12"/>
        </w:rPr>
        <w:t> </w:t>
      </w:r>
      <w:r>
        <w:rPr/>
        <w:t>cost.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also</w:t>
      </w:r>
      <w:r>
        <w:rPr>
          <w:spacing w:val="-13"/>
        </w:rPr>
        <w:t> </w:t>
      </w:r>
      <w:r>
        <w:rPr/>
        <w:t>implies</w:t>
      </w:r>
      <w:r>
        <w:rPr>
          <w:spacing w:val="-13"/>
        </w:rPr>
        <w:t> </w:t>
      </w:r>
      <w:r>
        <w:rPr/>
        <w:t>more</w:t>
      </w:r>
      <w:r>
        <w:rPr>
          <w:spacing w:val="-14"/>
        </w:rPr>
        <w:t> </w:t>
      </w:r>
      <w:r>
        <w:rPr/>
        <w:t>profit</w:t>
      </w:r>
      <w:r>
        <w:rPr>
          <w:spacing w:val="-58"/>
        </w:rPr>
        <w:t> </w:t>
      </w:r>
      <w:r>
        <w:rPr/>
        <w:t>for</w:t>
      </w:r>
      <w:r>
        <w:rPr>
          <w:spacing w:val="-15"/>
        </w:rPr>
        <w:t> </w:t>
      </w:r>
      <w:r>
        <w:rPr/>
        <w:t>capitalists.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Marx’s</w:t>
      </w:r>
      <w:r>
        <w:rPr>
          <w:spacing w:val="-11"/>
        </w:rPr>
        <w:t> </w:t>
      </w:r>
      <w:r>
        <w:rPr/>
        <w:t>argument,</w:t>
      </w:r>
      <w:r>
        <w:rPr>
          <w:spacing w:val="-13"/>
        </w:rPr>
        <w:t> </w:t>
      </w:r>
      <w:r>
        <w:rPr/>
        <w:t>new</w:t>
      </w:r>
      <w:r>
        <w:rPr>
          <w:spacing w:val="-13"/>
        </w:rPr>
        <w:t> </w:t>
      </w:r>
      <w:r>
        <w:rPr/>
        <w:t>technology</w:t>
      </w:r>
      <w:r>
        <w:rPr>
          <w:spacing w:val="-14"/>
        </w:rPr>
        <w:t> </w:t>
      </w:r>
      <w:r>
        <w:rPr/>
        <w:t>often</w:t>
      </w:r>
      <w:r>
        <w:rPr>
          <w:spacing w:val="-12"/>
        </w:rPr>
        <w:t> </w:t>
      </w:r>
      <w:r>
        <w:rPr/>
        <w:t>increases</w:t>
      </w:r>
      <w:r>
        <w:rPr>
          <w:spacing w:val="-12"/>
        </w:rPr>
        <w:t> </w:t>
      </w:r>
      <w:r>
        <w:rPr/>
        <w:t>industrial</w:t>
      </w:r>
      <w:r>
        <w:rPr>
          <w:spacing w:val="-12"/>
        </w:rPr>
        <w:t> </w:t>
      </w:r>
      <w:r>
        <w:rPr/>
        <w:t>concentration,</w:t>
      </w:r>
      <w:r>
        <w:rPr>
          <w:spacing w:val="-13"/>
        </w:rPr>
        <w:t> </w:t>
      </w:r>
      <w:r>
        <w:rPr/>
        <w:t>lower</w:t>
      </w:r>
      <w:r>
        <w:rPr>
          <w:spacing w:val="-57"/>
        </w:rPr>
        <w:t> </w:t>
      </w:r>
      <w:r>
        <w:rPr/>
        <w:t>labour demand and pushes wages down. In the context of growing population, the net result of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effects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poverty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poor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outcomes</w:t>
      </w:r>
      <w:r>
        <w:rPr>
          <w:spacing w:val="-4"/>
        </w:rPr>
        <w:t> </w:t>
      </w:r>
      <w:r>
        <w:rPr/>
        <w:t>(Brown,</w:t>
      </w:r>
      <w:r>
        <w:rPr>
          <w:spacing w:val="-1"/>
        </w:rPr>
        <w:t> </w:t>
      </w:r>
      <w:r>
        <w:rPr/>
        <w:t>2004).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</w:t>
      </w:r>
      <w:r>
        <w:rPr>
          <w:spacing w:val="-57"/>
        </w:rPr>
        <w:t> </w:t>
      </w:r>
      <w:r>
        <w:rPr/>
        <w:t>will</w:t>
      </w:r>
      <w:r>
        <w:rPr>
          <w:spacing w:val="46"/>
        </w:rPr>
        <w:t> </w:t>
      </w:r>
      <w:r>
        <w:rPr/>
        <w:t>collapse</w:t>
      </w:r>
      <w:r>
        <w:rPr>
          <w:spacing w:val="44"/>
        </w:rPr>
        <w:t> </w:t>
      </w:r>
      <w:r>
        <w:rPr/>
        <w:t>due</w:t>
      </w:r>
      <w:r>
        <w:rPr>
          <w:spacing w:val="47"/>
        </w:rPr>
        <w:t> </w:t>
      </w:r>
      <w:r>
        <w:rPr/>
        <w:t>to</w:t>
      </w:r>
      <w:r>
        <w:rPr>
          <w:spacing w:val="45"/>
        </w:rPr>
        <w:t> </w:t>
      </w:r>
      <w:r>
        <w:rPr/>
        <w:t>declining</w:t>
      </w:r>
      <w:r>
        <w:rPr>
          <w:spacing w:val="43"/>
        </w:rPr>
        <w:t> </w:t>
      </w:r>
      <w:r>
        <w:rPr/>
        <w:t>wages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poverty</w:t>
      </w:r>
      <w:r>
        <w:rPr>
          <w:spacing w:val="42"/>
        </w:rPr>
        <w:t> </w:t>
      </w:r>
      <w:r>
        <w:rPr/>
        <w:t>among</w:t>
      </w:r>
      <w:r>
        <w:rPr>
          <w:spacing w:val="42"/>
        </w:rPr>
        <w:t> </w:t>
      </w:r>
      <w:r>
        <w:rPr/>
        <w:t>workers,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face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capitalistic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61"/>
        <w:jc w:val="both"/>
      </w:pPr>
      <w:r>
        <w:rPr/>
        <w:t>accumulation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long-run</w:t>
      </w:r>
      <w:r>
        <w:rPr>
          <w:spacing w:val="1"/>
        </w:rPr>
        <w:t> </w:t>
      </w:r>
      <w:r>
        <w:rPr/>
        <w:t>(Cline,</w:t>
      </w:r>
      <w:r>
        <w:rPr>
          <w:spacing w:val="1"/>
        </w:rPr>
        <w:t> </w:t>
      </w:r>
      <w:r>
        <w:rPr/>
        <w:t>1975:361).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inequality from capitalism as key constrain to healthy outcomes among the workers (Clark,</w:t>
      </w:r>
      <w:r>
        <w:rPr>
          <w:spacing w:val="1"/>
        </w:rPr>
        <w:t> </w:t>
      </w:r>
      <w:r>
        <w:rPr/>
        <w:t>1994:7).</w:t>
      </w:r>
      <w:r>
        <w:rPr>
          <w:spacing w:val="-1"/>
        </w:rPr>
        <w:t> </w:t>
      </w:r>
      <w:r>
        <w:rPr/>
        <w:t>As solution to this issue, Karl Marx</w:t>
      </w:r>
      <w:r>
        <w:rPr>
          <w:spacing w:val="1"/>
        </w:rPr>
        <w:t> </w:t>
      </w:r>
      <w:r>
        <w:rPr/>
        <w:t>suggested</w:t>
      </w:r>
      <w:r>
        <w:rPr>
          <w:spacing w:val="2"/>
        </w:rPr>
        <w:t> </w:t>
      </w:r>
      <w:r>
        <w:rPr/>
        <w:t>communism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Heading4"/>
        <w:numPr>
          <w:ilvl w:val="2"/>
          <w:numId w:val="11"/>
        </w:numPr>
        <w:tabs>
          <w:tab w:pos="881" w:val="left" w:leader="none"/>
        </w:tabs>
        <w:spacing w:line="240" w:lineRule="auto" w:before="213" w:after="0"/>
        <w:ind w:left="880" w:right="0" w:hanging="721"/>
        <w:jc w:val="both"/>
      </w:pPr>
      <w:bookmarkStart w:name="_TOC_250054" w:id="23"/>
      <w:r>
        <w:rPr/>
        <w:t>Keynesians</w:t>
      </w:r>
      <w:r>
        <w:rPr>
          <w:spacing w:val="-2"/>
        </w:rPr>
        <w:t> </w:t>
      </w:r>
      <w:bookmarkEnd w:id="23"/>
      <w:r>
        <w:rPr/>
        <w:t>Views</w:t>
      </w:r>
    </w:p>
    <w:p>
      <w:pPr>
        <w:pStyle w:val="BodyText"/>
        <w:spacing w:line="360" w:lineRule="auto" w:before="132"/>
        <w:ind w:left="160" w:right="153"/>
        <w:jc w:val="both"/>
      </w:pPr>
      <w:r>
        <w:rPr/>
        <w:t>Keynes in his argument strongly contested the claim for communism. He posited that publicly</w:t>
      </w:r>
      <w:r>
        <w:rPr>
          <w:spacing w:val="1"/>
        </w:rPr>
        <w:t> </w:t>
      </w:r>
      <w:r>
        <w:rPr/>
        <w:t>provided</w:t>
      </w:r>
      <w:r>
        <w:rPr>
          <w:spacing w:val="-10"/>
        </w:rPr>
        <w:t> </w:t>
      </w:r>
      <w:r>
        <w:rPr/>
        <w:t>health</w:t>
      </w:r>
      <w:r>
        <w:rPr>
          <w:spacing w:val="-8"/>
        </w:rPr>
        <w:t> </w:t>
      </w:r>
      <w:r>
        <w:rPr/>
        <w:t>facility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interventions,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include</w:t>
      </w:r>
      <w:r>
        <w:rPr>
          <w:spacing w:val="-10"/>
        </w:rPr>
        <w:t> </w:t>
      </w:r>
      <w:r>
        <w:rPr/>
        <w:t>healthcare</w:t>
      </w:r>
      <w:r>
        <w:rPr>
          <w:spacing w:val="-10"/>
        </w:rPr>
        <w:t> </w:t>
      </w:r>
      <w:r>
        <w:rPr/>
        <w:t>services</w:t>
      </w:r>
      <w:r>
        <w:rPr>
          <w:spacing w:val="-9"/>
        </w:rPr>
        <w:t> </w:t>
      </w:r>
      <w:r>
        <w:rPr/>
        <w:t>has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major</w:t>
      </w:r>
      <w:r>
        <w:rPr>
          <w:spacing w:val="-58"/>
        </w:rPr>
        <w:t> </w:t>
      </w:r>
      <w:r>
        <w:rPr/>
        <w:t>role to play in reducing poor health outcomes. This is contrary to giving money to member of the</w:t>
      </w:r>
      <w:r>
        <w:rPr>
          <w:spacing w:val="-57"/>
        </w:rPr>
        <w:t> </w:t>
      </w:r>
      <w:r>
        <w:rPr/>
        <w:t>community (workers) to reduce income inequality (as Marx argued) or letting them take care of</w:t>
      </w:r>
      <w:r>
        <w:rPr>
          <w:spacing w:val="1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through market</w:t>
      </w:r>
      <w:r>
        <w:rPr>
          <w:spacing w:val="-1"/>
        </w:rPr>
        <w:t> </w:t>
      </w:r>
      <w:r>
        <w:rPr/>
        <w:t>forces as</w:t>
      </w:r>
      <w:r>
        <w:rPr>
          <w:spacing w:val="-1"/>
        </w:rPr>
        <w:t> </w:t>
      </w:r>
      <w:r>
        <w:rPr/>
        <w:t>Neoclassical</w:t>
      </w:r>
      <w:r>
        <w:rPr>
          <w:spacing w:val="2"/>
        </w:rPr>
        <w:t> </w:t>
      </w:r>
      <w:r>
        <w:rPr/>
        <w:t>thinkers concluded</w:t>
      </w:r>
      <w:r>
        <w:rPr>
          <w:spacing w:val="-1"/>
        </w:rPr>
        <w:t> </w:t>
      </w:r>
      <w:r>
        <w:rPr/>
        <w:t>(Evans, 2004).</w:t>
      </w:r>
    </w:p>
    <w:p>
      <w:pPr>
        <w:pStyle w:val="BodyText"/>
        <w:spacing w:line="360" w:lineRule="auto" w:before="184"/>
        <w:ind w:left="160" w:right="157"/>
        <w:jc w:val="both"/>
      </w:pPr>
      <w:r>
        <w:rPr/>
        <w:t>Unlike Marxian thought, Keynes made more than a passing comment on the effect of income</w:t>
      </w:r>
      <w:r>
        <w:rPr>
          <w:spacing w:val="1"/>
        </w:rPr>
        <w:t> </w:t>
      </w:r>
      <w:r>
        <w:rPr>
          <w:spacing w:val="-1"/>
        </w:rPr>
        <w:t>inequality</w:t>
      </w:r>
      <w:r>
        <w:rPr>
          <w:spacing w:val="-20"/>
        </w:rPr>
        <w:t> </w:t>
      </w:r>
      <w:r>
        <w:rPr/>
        <w:t>in</w:t>
      </w:r>
      <w:r>
        <w:rPr>
          <w:spacing w:val="-14"/>
        </w:rPr>
        <w:t> </w:t>
      </w:r>
      <w:r>
        <w:rPr/>
        <w:t>Chapter</w:t>
      </w:r>
      <w:r>
        <w:rPr>
          <w:spacing w:val="-16"/>
        </w:rPr>
        <w:t> </w:t>
      </w:r>
      <w:r>
        <w:rPr/>
        <w:t>8</w:t>
      </w:r>
      <w:r>
        <w:rPr>
          <w:spacing w:val="-13"/>
        </w:rPr>
        <w:t> </w:t>
      </w:r>
      <w:r>
        <w:rPr/>
        <w:t>(‘The</w:t>
      </w:r>
      <w:r>
        <w:rPr>
          <w:spacing w:val="-15"/>
        </w:rPr>
        <w:t> </w:t>
      </w:r>
      <w:r>
        <w:rPr/>
        <w:t>Propensity</w:t>
      </w:r>
      <w:r>
        <w:rPr>
          <w:spacing w:val="-20"/>
        </w:rPr>
        <w:t> </w:t>
      </w:r>
      <w:r>
        <w:rPr/>
        <w:t>to</w:t>
      </w:r>
      <w:r>
        <w:rPr>
          <w:spacing w:val="-14"/>
        </w:rPr>
        <w:t> </w:t>
      </w:r>
      <w:r>
        <w:rPr/>
        <w:t>Consume’)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1936</w:t>
      </w:r>
      <w:r>
        <w:rPr>
          <w:spacing w:val="-13"/>
        </w:rPr>
        <w:t> </w:t>
      </w:r>
      <w:r>
        <w:rPr/>
        <w:t>‘General</w:t>
      </w:r>
      <w:r>
        <w:rPr>
          <w:spacing w:val="-14"/>
        </w:rPr>
        <w:t> </w:t>
      </w:r>
      <w:r>
        <w:rPr/>
        <w:t>Theory’.</w:t>
      </w:r>
      <w:r>
        <w:rPr>
          <w:spacing w:val="-13"/>
        </w:rPr>
        <w:t> </w:t>
      </w:r>
      <w:r>
        <w:rPr/>
        <w:t>His</w:t>
      </w:r>
      <w:r>
        <w:rPr>
          <w:spacing w:val="-15"/>
        </w:rPr>
        <w:t> </w:t>
      </w:r>
      <w:r>
        <w:rPr/>
        <w:t>comment</w:t>
      </w:r>
      <w:r>
        <w:rPr>
          <w:spacing w:val="-57"/>
        </w:rPr>
        <w:t> </w:t>
      </w:r>
      <w:r>
        <w:rPr/>
        <w:t>that:</w:t>
      </w:r>
      <w:r>
        <w:rPr>
          <w:spacing w:val="-1"/>
        </w:rPr>
        <w:t> </w:t>
      </w:r>
      <w:r>
        <w:rPr/>
        <w:t>‘if fiscal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is used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deliberate</w:t>
      </w:r>
      <w:r>
        <w:rPr>
          <w:spacing w:val="-1"/>
        </w:rPr>
        <w:t> </w:t>
      </w:r>
      <w:r>
        <w:rPr/>
        <w:t>instrument for</w:t>
      </w:r>
      <w:r>
        <w:rPr>
          <w:spacing w:val="-2"/>
        </w:rPr>
        <w:t> </w:t>
      </w:r>
      <w:r>
        <w:rPr/>
        <w:t>the more</w:t>
      </w:r>
      <w:r>
        <w:rPr>
          <w:spacing w:val="-1"/>
        </w:rPr>
        <w:t> </w:t>
      </w:r>
      <w:r>
        <w:rPr/>
        <w:t>equal</w:t>
      </w:r>
      <w:r>
        <w:rPr>
          <w:spacing w:val="-1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incomes,</w:t>
      </w:r>
      <w:r>
        <w:rPr>
          <w:spacing w:val="-58"/>
        </w:rPr>
        <w:t> </w:t>
      </w:r>
      <w:r>
        <w:rPr/>
        <w:t>it</w:t>
      </w:r>
      <w:r>
        <w:rPr>
          <w:spacing w:val="-6"/>
        </w:rPr>
        <w:t> </w:t>
      </w:r>
      <w:r>
        <w:rPr/>
        <w:t>effects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increasing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propensity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/>
        <w:t>consume</w:t>
      </w:r>
      <w:r>
        <w:rPr>
          <w:spacing w:val="-5"/>
        </w:rPr>
        <w:t> </w:t>
      </w:r>
      <w:r>
        <w:rPr/>
        <w:t>(healthy</w:t>
      </w:r>
      <w:r>
        <w:rPr>
          <w:spacing w:val="-11"/>
        </w:rPr>
        <w:t> </w:t>
      </w:r>
      <w:r>
        <w:rPr/>
        <w:t>goods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improve</w:t>
      </w:r>
      <w:r>
        <w:rPr>
          <w:spacing w:val="-8"/>
        </w:rPr>
        <w:t> </w:t>
      </w:r>
      <w:r>
        <w:rPr/>
        <w:t>health)</w:t>
      </w:r>
      <w:r>
        <w:rPr>
          <w:spacing w:val="-58"/>
        </w:rPr>
        <w:t> </w:t>
      </w:r>
      <w:r>
        <w:rPr/>
        <w:t>is,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course,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greater’</w:t>
      </w:r>
      <w:r>
        <w:rPr>
          <w:spacing w:val="-3"/>
        </w:rPr>
        <w:t> </w:t>
      </w:r>
      <w:r>
        <w:rPr/>
        <w:t>(Keynes,</w:t>
      </w:r>
      <w:r>
        <w:rPr>
          <w:spacing w:val="-3"/>
        </w:rPr>
        <w:t> </w:t>
      </w:r>
      <w:r>
        <w:rPr/>
        <w:t>1936:95).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clearly</w:t>
      </w:r>
      <w:r>
        <w:rPr>
          <w:spacing w:val="-5"/>
        </w:rPr>
        <w:t> </w:t>
      </w:r>
      <w:r>
        <w:rPr/>
        <w:t>demonstrate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income</w:t>
      </w:r>
      <w:r>
        <w:rPr>
          <w:spacing w:val="-4"/>
        </w:rPr>
        <w:t> </w:t>
      </w:r>
      <w:r>
        <w:rPr/>
        <w:t>distribution</w:t>
      </w:r>
      <w:r>
        <w:rPr>
          <w:spacing w:val="-58"/>
        </w:rPr>
        <w:t> </w:t>
      </w:r>
      <w:r>
        <w:rPr/>
        <w:t>matters to health if, </w:t>
      </w:r>
      <w:r>
        <w:rPr>
          <w:i/>
        </w:rPr>
        <w:t>ceteris paribus</w:t>
      </w:r>
      <w:r>
        <w:rPr/>
        <w:t>. A change in income distribution often causes a change in the</w:t>
      </w:r>
      <w:r>
        <w:rPr>
          <w:spacing w:val="-57"/>
        </w:rPr>
        <w:t> </w:t>
      </w:r>
      <w:r>
        <w:rPr/>
        <w:t>aggregate</w:t>
      </w:r>
      <w:r>
        <w:rPr>
          <w:spacing w:val="-2"/>
        </w:rPr>
        <w:t> </w:t>
      </w:r>
      <w:r>
        <w:rPr/>
        <w:t>propensity</w:t>
      </w:r>
      <w:r>
        <w:rPr>
          <w:spacing w:val="-5"/>
        </w:rPr>
        <w:t> </w:t>
      </w:r>
      <w:r>
        <w:rPr/>
        <w:t>to consume</w:t>
      </w:r>
      <w:r>
        <w:rPr>
          <w:spacing w:val="-1"/>
        </w:rPr>
        <w:t> </w:t>
      </w:r>
      <w:r>
        <w:rPr/>
        <w:t>healthy</w:t>
      </w:r>
      <w:r>
        <w:rPr>
          <w:spacing w:val="-3"/>
        </w:rPr>
        <w:t> </w:t>
      </w:r>
      <w:r>
        <w:rPr/>
        <w:t>goods</w:t>
      </w:r>
      <w:r>
        <w:rPr>
          <w:spacing w:val="2"/>
        </w:rPr>
        <w:t> </w:t>
      </w:r>
      <w:r>
        <w:rPr/>
        <w:t>and services (Brown,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360" w:lineRule="auto" w:before="117"/>
        <w:ind w:left="160" w:right="154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theories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Keynesian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Neoliberal</w:t>
      </w:r>
      <w:r>
        <w:rPr>
          <w:spacing w:val="-9"/>
        </w:rPr>
        <w:t> </w:t>
      </w:r>
      <w:r>
        <w:rPr/>
        <w:t>economists</w:t>
      </w:r>
      <w:r>
        <w:rPr>
          <w:spacing w:val="-11"/>
        </w:rPr>
        <w:t> </w:t>
      </w:r>
      <w:r>
        <w:rPr/>
        <w:t>also</w:t>
      </w:r>
      <w:r>
        <w:rPr>
          <w:spacing w:val="-11"/>
        </w:rPr>
        <w:t> </w:t>
      </w:r>
      <w:r>
        <w:rPr/>
        <w:t>emphasize</w:t>
      </w:r>
      <w:r>
        <w:rPr>
          <w:spacing w:val="-13"/>
        </w:rPr>
        <w:t> </w:t>
      </w:r>
      <w:r>
        <w:rPr/>
        <w:t>on</w:t>
      </w:r>
      <w:r>
        <w:rPr>
          <w:spacing w:val="-9"/>
        </w:rPr>
        <w:t> </w:t>
      </w:r>
      <w:r>
        <w:rPr/>
        <w:t>government</w:t>
      </w:r>
      <w:r>
        <w:rPr>
          <w:spacing w:val="-11"/>
        </w:rPr>
        <w:t> </w:t>
      </w:r>
      <w:r>
        <w:rPr/>
        <w:t>interventions</w:t>
      </w:r>
      <w:r>
        <w:rPr>
          <w:spacing w:val="-58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establishment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public</w:t>
      </w:r>
      <w:r>
        <w:rPr>
          <w:spacing w:val="-16"/>
        </w:rPr>
        <w:t> </w:t>
      </w:r>
      <w:r>
        <w:rPr/>
        <w:t>services.</w:t>
      </w:r>
      <w:r>
        <w:rPr>
          <w:spacing w:val="-15"/>
        </w:rPr>
        <w:t> </w:t>
      </w:r>
      <w:r>
        <w:rPr/>
        <w:t>Particularly,</w:t>
      </w:r>
      <w:r>
        <w:rPr>
          <w:spacing w:val="-14"/>
        </w:rPr>
        <w:t> </w:t>
      </w:r>
      <w:r>
        <w:rPr/>
        <w:t>those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concern</w:t>
      </w:r>
      <w:r>
        <w:rPr>
          <w:spacing w:val="-16"/>
        </w:rPr>
        <w:t> </w:t>
      </w:r>
      <w:r>
        <w:rPr/>
        <w:t>healthcare,</w:t>
      </w:r>
      <w:r>
        <w:rPr>
          <w:spacing w:val="-12"/>
        </w:rPr>
        <w:t> </w:t>
      </w:r>
      <w:r>
        <w:rPr/>
        <w:t>water</w:t>
      </w:r>
      <w:r>
        <w:rPr>
          <w:spacing w:val="-16"/>
        </w:rPr>
        <w:t> </w:t>
      </w:r>
      <w:r>
        <w:rPr/>
        <w:t>and</w:t>
      </w:r>
      <w:r>
        <w:rPr>
          <w:spacing w:val="-14"/>
        </w:rPr>
        <w:t> </w:t>
      </w:r>
      <w:r>
        <w:rPr/>
        <w:t>public</w:t>
      </w:r>
      <w:r>
        <w:rPr>
          <w:spacing w:val="-58"/>
        </w:rPr>
        <w:t> </w:t>
      </w:r>
      <w:r>
        <w:rPr>
          <w:spacing w:val="-1"/>
        </w:rPr>
        <w:t>housing,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public</w:t>
      </w:r>
      <w:r>
        <w:rPr>
          <w:spacing w:val="-16"/>
        </w:rPr>
        <w:t> </w:t>
      </w:r>
      <w:r>
        <w:rPr/>
        <w:t>income</w:t>
      </w:r>
      <w:r>
        <w:rPr>
          <w:spacing w:val="-15"/>
        </w:rPr>
        <w:t> </w:t>
      </w:r>
      <w:r>
        <w:rPr/>
        <w:t>transfers</w:t>
      </w:r>
      <w:r>
        <w:rPr>
          <w:spacing w:val="-12"/>
        </w:rPr>
        <w:t> </w:t>
      </w:r>
      <w:r>
        <w:rPr/>
        <w:t>–pensions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cash</w:t>
      </w:r>
      <w:r>
        <w:rPr>
          <w:spacing w:val="-15"/>
        </w:rPr>
        <w:t> </w:t>
      </w:r>
      <w:r>
        <w:rPr/>
        <w:t>transfers</w:t>
      </w:r>
      <w:r>
        <w:rPr>
          <w:spacing w:val="-13"/>
        </w:rPr>
        <w:t> </w:t>
      </w:r>
      <w:r>
        <w:rPr/>
        <w:t>(Schultz,</w:t>
      </w:r>
      <w:r>
        <w:rPr>
          <w:spacing w:val="-14"/>
        </w:rPr>
        <w:t> </w:t>
      </w:r>
      <w:r>
        <w:rPr/>
        <w:t>1961).</w:t>
      </w:r>
      <w:r>
        <w:rPr>
          <w:spacing w:val="-15"/>
        </w:rPr>
        <w:t> </w:t>
      </w:r>
      <w:r>
        <w:rPr/>
        <w:t>Hence,</w:t>
      </w:r>
      <w:r>
        <w:rPr>
          <w:spacing w:val="-15"/>
        </w:rPr>
        <w:t> </w:t>
      </w:r>
      <w:r>
        <w:rPr/>
        <w:t>contrary</w:t>
      </w:r>
      <w:r>
        <w:rPr>
          <w:spacing w:val="-58"/>
        </w:rPr>
        <w:t> </w:t>
      </w:r>
      <w:r>
        <w:rPr/>
        <w:t>to the argument of Marxian, Keynes in General theory of 1936 emphasize that government focus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public</w:t>
      </w:r>
      <w:r>
        <w:rPr>
          <w:spacing w:val="-5"/>
        </w:rPr>
        <w:t> </w:t>
      </w:r>
      <w:r>
        <w:rPr/>
        <w:t>goods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more</w:t>
      </w:r>
      <w:r>
        <w:rPr>
          <w:spacing w:val="-5"/>
        </w:rPr>
        <w:t> </w:t>
      </w:r>
      <w:r>
        <w:rPr/>
        <w:t>equitable</w:t>
      </w:r>
      <w:r>
        <w:rPr>
          <w:spacing w:val="-3"/>
        </w:rPr>
        <w:t> </w:t>
      </w:r>
      <w:r>
        <w:rPr/>
        <w:t>income</w:t>
      </w:r>
      <w:r>
        <w:rPr>
          <w:spacing w:val="-5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reduce</w:t>
      </w:r>
      <w:r>
        <w:rPr>
          <w:spacing w:val="-5"/>
        </w:rPr>
        <w:t> </w:t>
      </w:r>
      <w:r>
        <w:rPr/>
        <w:t>poor</w:t>
      </w:r>
      <w:r>
        <w:rPr>
          <w:spacing w:val="-5"/>
        </w:rPr>
        <w:t> </w:t>
      </w:r>
      <w:r>
        <w:rPr/>
        <w:t>health</w:t>
      </w:r>
      <w:r>
        <w:rPr>
          <w:spacing w:val="-3"/>
        </w:rPr>
        <w:t> </w:t>
      </w:r>
      <w:r>
        <w:rPr/>
        <w:t>outcomes.</w:t>
      </w:r>
      <w:r>
        <w:rPr>
          <w:spacing w:val="-4"/>
        </w:rPr>
        <w:t> </w:t>
      </w:r>
      <w:r>
        <w:rPr/>
        <w:t>Unlike</w:t>
      </w:r>
      <w:r>
        <w:rPr>
          <w:spacing w:val="-58"/>
        </w:rPr>
        <w:t> </w:t>
      </w:r>
      <w:r>
        <w:rPr/>
        <w:t>the Classical explanations, Keynesians ideas is that rising income inequality is detrimental to</w:t>
      </w:r>
      <w:r>
        <w:rPr>
          <w:spacing w:val="1"/>
        </w:rPr>
        <w:t> </w:t>
      </w:r>
      <w:r>
        <w:rPr/>
        <w:t>healthy</w:t>
      </w:r>
      <w:r>
        <w:rPr>
          <w:spacing w:val="-5"/>
        </w:rPr>
        <w:t> </w:t>
      </w:r>
      <w:r>
        <w:rPr/>
        <w:t>outcomes (Hansen, 1939:13; Samuelson, 1947, 1948).</w:t>
      </w:r>
    </w:p>
    <w:p>
      <w:pPr>
        <w:pStyle w:val="BodyText"/>
        <w:spacing w:line="360" w:lineRule="auto" w:before="115"/>
        <w:ind w:left="160" w:right="161"/>
        <w:jc w:val="both"/>
      </w:pPr>
      <w:r>
        <w:rPr/>
        <w:t>However, the weakness of this argument is that, although many developed countries experience</w:t>
      </w:r>
      <w:r>
        <w:rPr>
          <w:spacing w:val="1"/>
        </w:rPr>
        <w:t> </w:t>
      </w:r>
      <w:r>
        <w:rPr/>
        <w:t>an improvement in their health indicators in 1960s, while their income inequality is also rising</w:t>
      </w:r>
      <w:r>
        <w:rPr>
          <w:spacing w:val="1"/>
        </w:rPr>
        <w:t> </w:t>
      </w:r>
      <w:r>
        <w:rPr/>
        <w:t>(Pulok, 2012:2). This reality appear that they are in agreement with the classical and neoclassical</w:t>
      </w:r>
      <w:r>
        <w:rPr>
          <w:spacing w:val="-57"/>
        </w:rPr>
        <w:t> </w:t>
      </w:r>
      <w:r>
        <w:rPr/>
        <w:t>explanations, that income inequality is associated with health positively. Nonetheless, the effect</w:t>
      </w:r>
      <w:r>
        <w:rPr>
          <w:spacing w:val="1"/>
        </w:rPr>
        <w:t> </w:t>
      </w:r>
      <w:r>
        <w:rPr/>
        <w:t>of</w:t>
      </w:r>
      <w:r>
        <w:rPr>
          <w:spacing w:val="26"/>
        </w:rPr>
        <w:t> </w:t>
      </w:r>
      <w:r>
        <w:rPr/>
        <w:t>income</w:t>
      </w:r>
      <w:r>
        <w:rPr>
          <w:spacing w:val="27"/>
        </w:rPr>
        <w:t> </w:t>
      </w:r>
      <w:r>
        <w:rPr/>
        <w:t>inequality</w:t>
      </w:r>
      <w:r>
        <w:rPr>
          <w:spacing w:val="23"/>
        </w:rPr>
        <w:t> </w:t>
      </w:r>
      <w:r>
        <w:rPr/>
        <w:t>on</w:t>
      </w:r>
      <w:r>
        <w:rPr>
          <w:spacing w:val="29"/>
        </w:rPr>
        <w:t> </w:t>
      </w:r>
      <w:r>
        <w:rPr/>
        <w:t>health</w:t>
      </w:r>
      <w:r>
        <w:rPr>
          <w:spacing w:val="28"/>
        </w:rPr>
        <w:t> </w:t>
      </w:r>
      <w:r>
        <w:rPr/>
        <w:t>seems</w:t>
      </w:r>
      <w:r>
        <w:rPr>
          <w:spacing w:val="29"/>
        </w:rPr>
        <w:t> </w:t>
      </w:r>
      <w:r>
        <w:rPr/>
        <w:t>not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be</w:t>
      </w:r>
      <w:r>
        <w:rPr>
          <w:spacing w:val="30"/>
        </w:rPr>
        <w:t> </w:t>
      </w:r>
      <w:r>
        <w:rPr/>
        <w:t>settled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mainstream</w:t>
      </w:r>
      <w:r>
        <w:rPr>
          <w:spacing w:val="29"/>
        </w:rPr>
        <w:t> </w:t>
      </w:r>
      <w:r>
        <w:rPr/>
        <w:t>economic</w:t>
      </w:r>
      <w:r>
        <w:rPr>
          <w:spacing w:val="27"/>
        </w:rPr>
        <w:t> </w:t>
      </w:r>
      <w:r>
        <w:rPr/>
        <w:t>theories.</w:t>
      </w:r>
      <w:r>
        <w:rPr>
          <w:spacing w:val="27"/>
        </w:rPr>
        <w:t> </w:t>
      </w:r>
      <w:r>
        <w:rPr/>
        <w:t>This</w:t>
      </w:r>
    </w:p>
    <w:p>
      <w:pPr>
        <w:pStyle w:val="BodyText"/>
        <w:spacing w:before="10"/>
        <w:rPr>
          <w:sz w:val="11"/>
        </w:rPr>
      </w:pPr>
      <w:r>
        <w:rPr/>
        <w:pict>
          <v:rect style="position:absolute;margin-left:72.024002pt;margin-top:8.778663pt;width:144.020pt;height:.71997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Communism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 theory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system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organization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which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all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property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owned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community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each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member contributes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receives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according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their ability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needs.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64"/>
        <w:jc w:val="both"/>
      </w:pPr>
      <w:r>
        <w:rPr/>
        <w:t>particularly led to post-Keynesian theories that the effect of income inequality on health concern</w:t>
      </w:r>
      <w:r>
        <w:rPr>
          <w:spacing w:val="1"/>
        </w:rPr>
        <w:t> </w:t>
      </w:r>
      <w:r>
        <w:rPr/>
        <w:t>absolute</w:t>
      </w:r>
      <w:r>
        <w:rPr>
          <w:spacing w:val="-1"/>
        </w:rPr>
        <w:t> </w:t>
      </w:r>
      <w:r>
        <w:rPr/>
        <w:t>and/or relative</w:t>
      </w:r>
      <w:r>
        <w:rPr>
          <w:spacing w:val="-1"/>
        </w:rPr>
        <w:t> </w:t>
      </w:r>
      <w:r>
        <w:rPr/>
        <w:t>income</w:t>
      </w:r>
      <w:r>
        <w:rPr>
          <w:spacing w:val="-1"/>
        </w:rPr>
        <w:t> </w:t>
      </w:r>
      <w:r>
        <w:rPr/>
        <w:t>perspectives.</w:t>
      </w:r>
    </w:p>
    <w:p>
      <w:pPr>
        <w:pStyle w:val="BodyText"/>
        <w:spacing w:line="360" w:lineRule="auto" w:before="70"/>
        <w:ind w:left="160" w:right="157"/>
        <w:jc w:val="both"/>
      </w:pPr>
      <w:r>
        <w:rPr/>
        <w:t>Specifically, the 1970s to date have witnessed resurgence in theoretical attention on the effect of</w:t>
      </w:r>
      <w:r>
        <w:rPr>
          <w:spacing w:val="1"/>
        </w:rPr>
        <w:t> </w:t>
      </w:r>
      <w:r>
        <w:rPr>
          <w:spacing w:val="-1"/>
        </w:rPr>
        <w:t>income</w:t>
      </w:r>
      <w:r>
        <w:rPr>
          <w:spacing w:val="-9"/>
        </w:rPr>
        <w:t> </w:t>
      </w:r>
      <w:r>
        <w:rPr>
          <w:spacing w:val="-1"/>
        </w:rPr>
        <w:t>disparity</w:t>
      </w:r>
      <w:r>
        <w:rPr>
          <w:spacing w:val="-14"/>
        </w:rPr>
        <w:t> </w:t>
      </w:r>
      <w:r>
        <w:rPr/>
        <w:t>on</w:t>
      </w:r>
      <w:r>
        <w:rPr>
          <w:spacing w:val="-8"/>
        </w:rPr>
        <w:t> </w:t>
      </w:r>
      <w:r>
        <w:rPr/>
        <w:t>health</w:t>
      </w:r>
      <w:r>
        <w:rPr>
          <w:spacing w:val="-7"/>
        </w:rPr>
        <w:t> </w:t>
      </w:r>
      <w:r>
        <w:rPr/>
        <w:t>by</w:t>
      </w:r>
      <w:r>
        <w:rPr>
          <w:spacing w:val="-11"/>
        </w:rPr>
        <w:t> </w:t>
      </w:r>
      <w:r>
        <w:rPr/>
        <w:t>economists.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example,</w:t>
      </w:r>
      <w:r>
        <w:rPr>
          <w:spacing w:val="-7"/>
        </w:rPr>
        <w:t> </w:t>
      </w:r>
      <w:r>
        <w:rPr/>
        <w:t>several</w:t>
      </w:r>
      <w:r>
        <w:rPr>
          <w:spacing w:val="-6"/>
        </w:rPr>
        <w:t> </w:t>
      </w:r>
      <w:r>
        <w:rPr/>
        <w:t>contemporary</w:t>
      </w:r>
      <w:r>
        <w:rPr>
          <w:spacing w:val="-12"/>
        </w:rPr>
        <w:t> </w:t>
      </w:r>
      <w:r>
        <w:rPr/>
        <w:t>authors</w:t>
      </w:r>
      <w:r>
        <w:rPr>
          <w:spacing w:val="-7"/>
        </w:rPr>
        <w:t> </w:t>
      </w:r>
      <w:r>
        <w:rPr/>
        <w:t>(Grossman,</w:t>
      </w:r>
      <w:r>
        <w:rPr>
          <w:spacing w:val="-58"/>
        </w:rPr>
        <w:t> </w:t>
      </w:r>
      <w:r>
        <w:rPr/>
        <w:t>1972,</w:t>
      </w:r>
      <w:r>
        <w:rPr>
          <w:spacing w:val="-13"/>
        </w:rPr>
        <w:t> </w:t>
      </w:r>
      <w:r>
        <w:rPr/>
        <w:t>2000;</w:t>
      </w:r>
      <w:r>
        <w:rPr>
          <w:spacing w:val="-13"/>
        </w:rPr>
        <w:t> </w:t>
      </w:r>
      <w:r>
        <w:rPr/>
        <w:t>Preston,</w:t>
      </w:r>
      <w:r>
        <w:rPr>
          <w:spacing w:val="-13"/>
        </w:rPr>
        <w:t> </w:t>
      </w:r>
      <w:r>
        <w:rPr/>
        <w:t>1975;</w:t>
      </w:r>
      <w:r>
        <w:rPr>
          <w:spacing w:val="-12"/>
        </w:rPr>
        <w:t> </w:t>
      </w:r>
      <w:r>
        <w:rPr/>
        <w:t>Wilkinson,</w:t>
      </w:r>
      <w:r>
        <w:rPr>
          <w:spacing w:val="-13"/>
        </w:rPr>
        <w:t> </w:t>
      </w:r>
      <w:r>
        <w:rPr/>
        <w:t>1992,</w:t>
      </w:r>
      <w:r>
        <w:rPr>
          <w:spacing w:val="-13"/>
        </w:rPr>
        <w:t> </w:t>
      </w:r>
      <w:r>
        <w:rPr/>
        <w:t>1994,</w:t>
      </w:r>
      <w:r>
        <w:rPr>
          <w:spacing w:val="-12"/>
        </w:rPr>
        <w:t> </w:t>
      </w:r>
      <w:r>
        <w:rPr/>
        <w:t>1996;</w:t>
      </w:r>
      <w:r>
        <w:rPr>
          <w:spacing w:val="-13"/>
        </w:rPr>
        <w:t> </w:t>
      </w:r>
      <w:r>
        <w:rPr/>
        <w:t>Deaton,</w:t>
      </w:r>
      <w:r>
        <w:rPr>
          <w:spacing w:val="-11"/>
        </w:rPr>
        <w:t> </w:t>
      </w:r>
      <w:r>
        <w:rPr/>
        <w:t>2003;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Pickett,</w:t>
      </w:r>
      <w:r>
        <w:rPr>
          <w:spacing w:val="-13"/>
        </w:rPr>
        <w:t> </w:t>
      </w:r>
      <w:r>
        <w:rPr/>
        <w:t>2015)</w:t>
      </w:r>
      <w:r>
        <w:rPr>
          <w:spacing w:val="-13"/>
        </w:rPr>
        <w:t> </w:t>
      </w:r>
      <w:r>
        <w:rPr/>
        <w:t>present</w:t>
      </w:r>
      <w:r>
        <w:rPr>
          <w:spacing w:val="-58"/>
        </w:rPr>
        <w:t> </w:t>
      </w:r>
      <w:r>
        <w:rPr/>
        <w:t>numbers of perspective and hypothesis to better explain income inequality-health links. Several</w:t>
      </w:r>
      <w:r>
        <w:rPr>
          <w:spacing w:val="1"/>
        </w:rPr>
        <w:t> </w:t>
      </w:r>
      <w:r>
        <w:rPr/>
        <w:t>income</w:t>
      </w:r>
      <w:r>
        <w:rPr>
          <w:spacing w:val="-2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explain the</w:t>
      </w:r>
      <w:r>
        <w:rPr>
          <w:spacing w:val="-2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</w:t>
      </w:r>
      <w:r>
        <w:rPr>
          <w:spacing w:val="-6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presented:</w:t>
      </w:r>
    </w:p>
    <w:p>
      <w:pPr>
        <w:pStyle w:val="Heading4"/>
        <w:numPr>
          <w:ilvl w:val="2"/>
          <w:numId w:val="11"/>
        </w:numPr>
        <w:tabs>
          <w:tab w:pos="881" w:val="left" w:leader="none"/>
        </w:tabs>
        <w:spacing w:line="240" w:lineRule="auto" w:before="95" w:after="0"/>
        <w:ind w:left="880" w:right="0" w:hanging="721"/>
        <w:jc w:val="both"/>
      </w:pPr>
      <w:bookmarkStart w:name="_TOC_250053" w:id="24"/>
      <w:r>
        <w:rPr/>
        <w:t>Absolute</w:t>
      </w:r>
      <w:r>
        <w:rPr>
          <w:spacing w:val="-3"/>
        </w:rPr>
        <w:t> </w:t>
      </w:r>
      <w:bookmarkEnd w:id="24"/>
      <w:r>
        <w:rPr/>
        <w:t>Income-Health Hypothesis</w:t>
      </w:r>
    </w:p>
    <w:p>
      <w:pPr>
        <w:pStyle w:val="BodyText"/>
        <w:spacing w:line="360" w:lineRule="auto" w:before="135"/>
        <w:ind w:left="160" w:right="156"/>
        <w:jc w:val="both"/>
      </w:pPr>
      <w:r>
        <w:rPr/>
        <w:t>The argument of income inequality suggests that a rise in absolute income can lead to improved</w:t>
      </w:r>
      <w:r>
        <w:rPr>
          <w:spacing w:val="1"/>
        </w:rPr>
        <w:t> </w:t>
      </w:r>
      <w:r>
        <w:rPr/>
        <w:t>health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reduction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deaths</w:t>
      </w:r>
      <w:r>
        <w:rPr>
          <w:spacing w:val="-3"/>
        </w:rPr>
        <w:t> </w:t>
      </w:r>
      <w:r>
        <w:rPr/>
        <w:t>(Liu,</w:t>
      </w:r>
      <w:r>
        <w:rPr>
          <w:spacing w:val="-1"/>
        </w:rPr>
        <w:t> </w:t>
      </w:r>
      <w:r>
        <w:rPr/>
        <w:t>2017:5).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absolute</w:t>
      </w:r>
      <w:r>
        <w:rPr>
          <w:spacing w:val="-4"/>
        </w:rPr>
        <w:t> </w:t>
      </w:r>
      <w:r>
        <w:rPr/>
        <w:t>income</w:t>
      </w:r>
      <w:r>
        <w:rPr>
          <w:spacing w:val="-3"/>
        </w:rPr>
        <w:t> </w:t>
      </w:r>
      <w:r>
        <w:rPr/>
        <w:t>hypothesis</w:t>
      </w:r>
      <w:r>
        <w:rPr>
          <w:spacing w:val="-3"/>
        </w:rPr>
        <w:t> </w:t>
      </w:r>
      <w:r>
        <w:rPr/>
        <w:t>(AIH)</w:t>
      </w:r>
      <w:r>
        <w:rPr>
          <w:spacing w:val="-2"/>
        </w:rPr>
        <w:t> </w:t>
      </w:r>
      <w:r>
        <w:rPr/>
        <w:t>assumed</w:t>
      </w:r>
      <w:r>
        <w:rPr>
          <w:spacing w:val="-2"/>
        </w:rPr>
        <w:t> </w:t>
      </w:r>
      <w:r>
        <w:rPr/>
        <w:t>that</w:t>
      </w:r>
      <w:r>
        <w:rPr>
          <w:spacing w:val="-58"/>
        </w:rPr>
        <w:t> </w:t>
      </w:r>
      <w:r>
        <w:rPr>
          <w:spacing w:val="-1"/>
        </w:rPr>
        <w:t>there</w:t>
      </w:r>
      <w:r>
        <w:rPr>
          <w:spacing w:val="-13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>
          <w:spacing w:val="-1"/>
        </w:rPr>
        <w:t>two</w:t>
      </w:r>
      <w:r>
        <w:rPr>
          <w:spacing w:val="-15"/>
        </w:rPr>
        <w:t> </w:t>
      </w:r>
      <w:r>
        <w:rPr/>
        <w:t>income-groups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any</w:t>
      </w:r>
      <w:r>
        <w:rPr>
          <w:spacing w:val="-19"/>
        </w:rPr>
        <w:t> </w:t>
      </w:r>
      <w:r>
        <w:rPr/>
        <w:t>society</w:t>
      </w:r>
      <w:r>
        <w:rPr>
          <w:spacing w:val="-16"/>
        </w:rPr>
        <w:t> </w:t>
      </w:r>
      <w:r>
        <w:rPr/>
        <w:t>–</w:t>
      </w:r>
      <w:r>
        <w:rPr>
          <w:spacing w:val="-15"/>
        </w:rPr>
        <w:t> </w:t>
      </w:r>
      <w:r>
        <w:rPr/>
        <w:t>low-</w:t>
      </w:r>
      <w:r>
        <w:rPr>
          <w:spacing w:val="-11"/>
        </w:rPr>
        <w:t> </w:t>
      </w:r>
      <w:r>
        <w:rPr/>
        <w:t>and</w:t>
      </w:r>
      <w:r>
        <w:rPr>
          <w:spacing w:val="-15"/>
        </w:rPr>
        <w:t> </w:t>
      </w:r>
      <w:r>
        <w:rPr/>
        <w:t>high-income</w:t>
      </w:r>
      <w:r>
        <w:rPr>
          <w:spacing w:val="-10"/>
        </w:rPr>
        <w:t> </w:t>
      </w:r>
      <w:r>
        <w:rPr/>
        <w:t>groups</w:t>
      </w:r>
      <w:r>
        <w:rPr>
          <w:spacing w:val="-15"/>
        </w:rPr>
        <w:t> </w:t>
      </w:r>
      <w:r>
        <w:rPr/>
        <w:t>(Preston,</w:t>
      </w:r>
      <w:r>
        <w:rPr>
          <w:spacing w:val="-14"/>
        </w:rPr>
        <w:t> </w:t>
      </w:r>
      <w:r>
        <w:rPr/>
        <w:t>1975).</w:t>
      </w:r>
      <w:r>
        <w:rPr>
          <w:spacing w:val="-14"/>
        </w:rPr>
        <w:t> </w:t>
      </w:r>
      <w:r>
        <w:rPr/>
        <w:t>Hence,</w:t>
      </w:r>
      <w:r>
        <w:rPr>
          <w:spacing w:val="-57"/>
        </w:rPr>
        <w:t> </w:t>
      </w:r>
      <w:r>
        <w:rPr/>
        <w:t>any one-unit of naira transfer from the high-income group to the low-income would improve</w:t>
      </w:r>
      <w:r>
        <w:rPr>
          <w:spacing w:val="1"/>
        </w:rPr>
        <w:t> </w:t>
      </w:r>
      <w:r>
        <w:rPr/>
        <w:t>overall or aggregate health. This is the central idea of AIH (Deaton, 2003). It then contends that</w:t>
      </w:r>
      <w:r>
        <w:rPr>
          <w:spacing w:val="1"/>
        </w:rPr>
        <w:t> </w:t>
      </w:r>
      <w:r>
        <w:rPr/>
        <w:t>though higher income level will always guarantee people to have healthy outcomes, however,</w:t>
      </w:r>
      <w:r>
        <w:rPr>
          <w:spacing w:val="1"/>
        </w:rPr>
        <w:t> </w:t>
      </w:r>
      <w:r>
        <w:rPr/>
        <w:t>income inequality does not directly impact health (Babones, 2008). According to the hypothesis,</w:t>
      </w:r>
      <w:r>
        <w:rPr>
          <w:spacing w:val="1"/>
        </w:rPr>
        <w:t> </w:t>
      </w:r>
      <w:r>
        <w:rPr/>
        <w:t>absolute</w:t>
      </w:r>
      <w:r>
        <w:rPr>
          <w:spacing w:val="-9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income</w:t>
      </w:r>
      <w:r>
        <w:rPr>
          <w:spacing w:val="-10"/>
        </w:rPr>
        <w:t> </w:t>
      </w:r>
      <w:r>
        <w:rPr/>
        <w:t>determines</w:t>
      </w:r>
      <w:r>
        <w:rPr>
          <w:spacing w:val="-7"/>
        </w:rPr>
        <w:t> </w:t>
      </w:r>
      <w:r>
        <w:rPr/>
        <w:t>consumption,</w:t>
      </w:r>
      <w:r>
        <w:rPr>
          <w:spacing w:val="-9"/>
        </w:rPr>
        <w:t> </w:t>
      </w:r>
      <w:r>
        <w:rPr/>
        <w:t>while</w:t>
      </w:r>
      <w:r>
        <w:rPr>
          <w:spacing w:val="-9"/>
        </w:rPr>
        <w:t> </w:t>
      </w:r>
      <w:r>
        <w:rPr/>
        <w:t>low-income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poverty</w:t>
      </w:r>
      <w:r>
        <w:rPr>
          <w:spacing w:val="-13"/>
        </w:rPr>
        <w:t> </w:t>
      </w:r>
      <w:r>
        <w:rPr/>
        <w:t>will</w:t>
      </w:r>
      <w:r>
        <w:rPr>
          <w:spacing w:val="-8"/>
        </w:rPr>
        <w:t> </w:t>
      </w:r>
      <w:r>
        <w:rPr/>
        <w:t>lead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poor</w:t>
      </w:r>
      <w:r>
        <w:rPr>
          <w:spacing w:val="-58"/>
        </w:rPr>
        <w:t> </w:t>
      </w:r>
      <w:r>
        <w:rPr/>
        <w:t>health</w:t>
      </w:r>
      <w:r>
        <w:rPr>
          <w:spacing w:val="-1"/>
        </w:rPr>
        <w:t> </w:t>
      </w:r>
      <w:r>
        <w:rPr/>
        <w:t>outcomes (Laporte, 2002).</w:t>
      </w:r>
    </w:p>
    <w:p>
      <w:pPr>
        <w:pStyle w:val="BodyText"/>
        <w:spacing w:line="360" w:lineRule="auto" w:before="69"/>
        <w:ind w:left="160" w:right="158"/>
        <w:jc w:val="both"/>
      </w:pPr>
      <w:r>
        <w:rPr/>
        <w:t>In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words,</w:t>
      </w:r>
      <w:r>
        <w:rPr>
          <w:spacing w:val="-4"/>
        </w:rPr>
        <w:t> </w:t>
      </w:r>
      <w:r>
        <w:rPr/>
        <w:t>more</w:t>
      </w:r>
      <w:r>
        <w:rPr>
          <w:spacing w:val="-5"/>
        </w:rPr>
        <w:t> </w:t>
      </w:r>
      <w:r>
        <w:rPr/>
        <w:t>income</w:t>
      </w:r>
      <w:r>
        <w:rPr>
          <w:spacing w:val="-4"/>
        </w:rPr>
        <w:t> </w:t>
      </w:r>
      <w:r>
        <w:rPr/>
        <w:t>typically</w:t>
      </w:r>
      <w:r>
        <w:rPr>
          <w:spacing w:val="-9"/>
        </w:rPr>
        <w:t> </w:t>
      </w:r>
      <w:r>
        <w:rPr/>
        <w:t>reduces</w:t>
      </w:r>
      <w:r>
        <w:rPr>
          <w:spacing w:val="-4"/>
        </w:rPr>
        <w:t> </w:t>
      </w:r>
      <w:r>
        <w:rPr/>
        <w:t>illnesses/diseases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are</w:t>
      </w:r>
      <w:r>
        <w:rPr>
          <w:spacing w:val="-6"/>
        </w:rPr>
        <w:t> </w:t>
      </w:r>
      <w:r>
        <w:rPr/>
        <w:t>devoted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>
          <w:spacing w:val="-1"/>
        </w:rPr>
        <w:t>higher</w:t>
      </w:r>
      <w:r>
        <w:rPr>
          <w:spacing w:val="-13"/>
        </w:rPr>
        <w:t> </w:t>
      </w:r>
      <w:r>
        <w:rPr>
          <w:spacing w:val="-1"/>
        </w:rPr>
        <w:t>quantity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health-promoting</w:t>
      </w:r>
      <w:r>
        <w:rPr>
          <w:spacing w:val="-12"/>
        </w:rPr>
        <w:t> </w:t>
      </w:r>
      <w:r>
        <w:rPr/>
        <w:t>goods</w:t>
      </w:r>
      <w:r>
        <w:rPr>
          <w:spacing w:val="-12"/>
        </w:rPr>
        <w:t> </w:t>
      </w:r>
      <w:r>
        <w:rPr/>
        <w:t>(diet,</w:t>
      </w:r>
      <w:r>
        <w:rPr>
          <w:spacing w:val="-12"/>
        </w:rPr>
        <w:t> </w:t>
      </w:r>
      <w:r>
        <w:rPr/>
        <w:t>clothing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housing).</w:t>
      </w:r>
      <w:r>
        <w:rPr>
          <w:spacing w:val="-11"/>
        </w:rPr>
        <w:t> </w:t>
      </w:r>
      <w:r>
        <w:rPr/>
        <w:t>It</w:t>
      </w:r>
      <w:r>
        <w:rPr>
          <w:spacing w:val="-12"/>
        </w:rPr>
        <w:t> </w:t>
      </w:r>
      <w:r>
        <w:rPr/>
        <w:t>also</w:t>
      </w:r>
      <w:r>
        <w:rPr>
          <w:spacing w:val="-12"/>
        </w:rPr>
        <w:t> </w:t>
      </w:r>
      <w:r>
        <w:rPr/>
        <w:t>provides</w:t>
      </w:r>
      <w:r>
        <w:rPr>
          <w:spacing w:val="-57"/>
        </w:rPr>
        <w:t> </w:t>
      </w:r>
      <w:r>
        <w:rPr/>
        <w:t>healthier environments particularly in developing countries (Deaton, 2003). Both Preston (1975)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Grossman</w:t>
      </w:r>
      <w:r>
        <w:rPr>
          <w:spacing w:val="-1"/>
        </w:rPr>
        <w:t> </w:t>
      </w:r>
      <w:r>
        <w:rPr/>
        <w:t>(1972)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pioneers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hypothesis</w:t>
      </w:r>
      <w:r>
        <w:rPr>
          <w:spacing w:val="-3"/>
        </w:rPr>
        <w:t> </w:t>
      </w:r>
      <w:r>
        <w:rPr/>
        <w:t>with emphasize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57"/>
        </w:rPr>
        <w:t> </w:t>
      </w:r>
      <w:r>
        <w:rPr/>
        <w:t>income</w:t>
      </w:r>
      <w:r>
        <w:rPr>
          <w:spacing w:val="-11"/>
        </w:rPr>
        <w:t> </w:t>
      </w:r>
      <w:r>
        <w:rPr/>
        <w:t>will</w:t>
      </w:r>
      <w:r>
        <w:rPr>
          <w:spacing w:val="-9"/>
        </w:rPr>
        <w:t> </w:t>
      </w:r>
      <w:r>
        <w:rPr/>
        <w:t>increase</w:t>
      </w:r>
      <w:r>
        <w:rPr>
          <w:spacing w:val="-10"/>
        </w:rPr>
        <w:t> </w:t>
      </w:r>
      <w:r>
        <w:rPr/>
        <w:t>investments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health-enhancing</w:t>
      </w:r>
      <w:r>
        <w:rPr>
          <w:spacing w:val="-9"/>
        </w:rPr>
        <w:t> </w:t>
      </w:r>
      <w:r>
        <w:rPr/>
        <w:t>goods.</w:t>
      </w:r>
      <w:r>
        <w:rPr>
          <w:spacing w:val="-9"/>
        </w:rPr>
        <w:t> </w:t>
      </w:r>
      <w:r>
        <w:rPr/>
        <w:t>Their</w:t>
      </w:r>
      <w:r>
        <w:rPr>
          <w:spacing w:val="-10"/>
        </w:rPr>
        <w:t> </w:t>
      </w:r>
      <w:r>
        <w:rPr/>
        <w:t>explanation</w:t>
      </w:r>
      <w:r>
        <w:rPr>
          <w:spacing w:val="-10"/>
        </w:rPr>
        <w:t> </w:t>
      </w:r>
      <w:r>
        <w:rPr/>
        <w:t>further</w:t>
      </w:r>
      <w:r>
        <w:rPr>
          <w:spacing w:val="-11"/>
        </w:rPr>
        <w:t> </w:t>
      </w:r>
      <w:r>
        <w:rPr/>
        <w:t>argued</w:t>
      </w:r>
      <w:r>
        <w:rPr>
          <w:spacing w:val="-8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 relationship between absolute income and health outcomes is </w:t>
      </w:r>
      <w:r>
        <w:rPr>
          <w:i/>
        </w:rPr>
        <w:t>concave. </w:t>
      </w:r>
      <w:r>
        <w:rPr/>
        <w:t>The concavity shape</w:t>
      </w:r>
      <w:r>
        <w:rPr>
          <w:spacing w:val="1"/>
        </w:rPr>
        <w:t> </w:t>
      </w:r>
      <w:r>
        <w:rPr/>
        <w:t>demonstrates that any naira transferred to the poor will not only improve the health outcomes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poor,</w:t>
      </w:r>
      <w:r>
        <w:rPr>
          <w:spacing w:val="-13"/>
        </w:rPr>
        <w:t> </w:t>
      </w:r>
      <w:r>
        <w:rPr>
          <w:spacing w:val="-1"/>
        </w:rPr>
        <w:t>but</w:t>
      </w:r>
      <w:r>
        <w:rPr>
          <w:spacing w:val="-12"/>
        </w:rPr>
        <w:t> </w:t>
      </w:r>
      <w:r>
        <w:rPr>
          <w:spacing w:val="-1"/>
        </w:rPr>
        <w:t>also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aggregate</w:t>
      </w:r>
      <w:r>
        <w:rPr>
          <w:spacing w:val="-13"/>
        </w:rPr>
        <w:t> </w:t>
      </w:r>
      <w:r>
        <w:rPr/>
        <w:t>health</w:t>
      </w:r>
      <w:r>
        <w:rPr>
          <w:spacing w:val="-12"/>
        </w:rPr>
        <w:t> </w:t>
      </w:r>
      <w:r>
        <w:rPr/>
        <w:t>status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all</w:t>
      </w:r>
      <w:r>
        <w:rPr>
          <w:spacing w:val="-11"/>
        </w:rPr>
        <w:t> </w:t>
      </w:r>
      <w:r>
        <w:rPr/>
        <w:t>households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society</w:t>
      </w:r>
      <w:r>
        <w:rPr>
          <w:spacing w:val="-17"/>
        </w:rPr>
        <w:t> </w:t>
      </w:r>
      <w:r>
        <w:rPr/>
        <w:t>–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wealthy</w:t>
      </w:r>
      <w:r>
        <w:rPr>
          <w:spacing w:val="-20"/>
        </w:rPr>
        <w:t> </w:t>
      </w:r>
      <w:r>
        <w:rPr/>
        <w:t>inclusive</w:t>
      </w:r>
      <w:r>
        <w:rPr>
          <w:spacing w:val="-57"/>
        </w:rPr>
        <w:t> </w:t>
      </w:r>
      <w:r>
        <w:rPr/>
        <w:t>(Wagstaff,</w:t>
      </w:r>
      <w:r>
        <w:rPr>
          <w:spacing w:val="-1"/>
        </w:rPr>
        <w:t> </w:t>
      </w:r>
      <w:r>
        <w:rPr/>
        <w:t>2000:546; Deaton, 2003:116).</w:t>
      </w:r>
    </w:p>
    <w:p>
      <w:pPr>
        <w:pStyle w:val="Heading4"/>
        <w:numPr>
          <w:ilvl w:val="2"/>
          <w:numId w:val="11"/>
        </w:numPr>
        <w:tabs>
          <w:tab w:pos="881" w:val="left" w:leader="none"/>
        </w:tabs>
        <w:spacing w:line="240" w:lineRule="auto" w:before="137" w:after="0"/>
        <w:ind w:left="880" w:right="0" w:hanging="721"/>
        <w:jc w:val="both"/>
      </w:pPr>
      <w:bookmarkStart w:name="_TOC_250052" w:id="25"/>
      <w:r>
        <w:rPr/>
        <w:t>Relative</w:t>
      </w:r>
      <w:r>
        <w:rPr>
          <w:spacing w:val="-2"/>
        </w:rPr>
        <w:t> </w:t>
      </w:r>
      <w:r>
        <w:rPr/>
        <w:t>Income-Health</w:t>
      </w:r>
      <w:r>
        <w:rPr>
          <w:spacing w:val="1"/>
        </w:rPr>
        <w:t> </w:t>
      </w:r>
      <w:bookmarkEnd w:id="25"/>
      <w:r>
        <w:rPr/>
        <w:t>Hypothesis</w:t>
      </w:r>
    </w:p>
    <w:p>
      <w:pPr>
        <w:pStyle w:val="BodyText"/>
        <w:spacing w:line="360" w:lineRule="auto" w:before="19"/>
        <w:ind w:left="160" w:right="157"/>
        <w:jc w:val="both"/>
      </w:pPr>
      <w:r>
        <w:rPr/>
        <w:t>Since the 1980s, there has also been developments in health economic literature suggesting that</w:t>
      </w:r>
      <w:r>
        <w:rPr>
          <w:spacing w:val="1"/>
        </w:rPr>
        <w:t> </w:t>
      </w:r>
      <w:r>
        <w:rPr/>
        <w:t>poor health outcomes might be linked to income inequality (see Legrand, 1987; Pampel and</w:t>
      </w:r>
      <w:r>
        <w:rPr>
          <w:spacing w:val="1"/>
        </w:rPr>
        <w:t> </w:t>
      </w:r>
      <w:r>
        <w:rPr/>
        <w:t>Zimmer, 1989). However, no theory explicitly provides adequate explanations for this link, not</w:t>
      </w:r>
      <w:r>
        <w:rPr>
          <w:spacing w:val="1"/>
        </w:rPr>
        <w:t> </w:t>
      </w:r>
      <w:r>
        <w:rPr/>
        <w:t>until</w:t>
      </w:r>
      <w:r>
        <w:rPr>
          <w:spacing w:val="-1"/>
        </w:rPr>
        <w:t> </w:t>
      </w:r>
      <w:r>
        <w:rPr/>
        <w:t>Wilkinson’s seminal papers of</w:t>
      </w:r>
      <w:r>
        <w:rPr>
          <w:spacing w:val="-2"/>
        </w:rPr>
        <w:t> </w:t>
      </w:r>
      <w:r>
        <w:rPr/>
        <w:t>1990s (Wilkinson, 1992,</w:t>
      </w:r>
      <w:r>
        <w:rPr>
          <w:spacing w:val="-1"/>
        </w:rPr>
        <w:t> </w:t>
      </w:r>
      <w:r>
        <w:rPr/>
        <w:t>1994).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4"/>
        <w:jc w:val="both"/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1035129</wp:posOffset>
            </wp:positionH>
            <wp:positionV relativeFrom="paragraph">
              <wp:posOffset>2226603</wp:posOffset>
            </wp:positionV>
            <wp:extent cx="5699047" cy="3156204"/>
            <wp:effectExtent l="0" t="0" r="0" b="0"/>
            <wp:wrapTopAndBottom/>
            <wp:docPr id="9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7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047" cy="315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Wilkinson and Pickett (2010) contended that people in more equal nations live longer and have</w:t>
      </w:r>
      <w:r>
        <w:rPr>
          <w:spacing w:val="1"/>
        </w:rPr>
        <w:t> </w:t>
      </w:r>
      <w:r>
        <w:rPr/>
        <w:t>positive health outcomes. The premises of Wilkinson’s hypothesis was based on observations on</w:t>
      </w:r>
      <w:r>
        <w:rPr>
          <w:spacing w:val="1"/>
        </w:rPr>
        <w:t> </w:t>
      </w:r>
      <w:r>
        <w:rPr/>
        <w:t>income inequality-health links of 21 developed countries (see Figure 3.3). The figure shows that</w:t>
      </w:r>
      <w:r>
        <w:rPr>
          <w:spacing w:val="1"/>
        </w:rPr>
        <w:t> </w:t>
      </w:r>
      <w:r>
        <w:rPr/>
        <w:t>with increasing income inequality to the right on the horizontal axis, the higher the poorer health</w:t>
      </w:r>
      <w:r>
        <w:rPr>
          <w:spacing w:val="1"/>
        </w:rPr>
        <w:t> </w:t>
      </w:r>
      <w:r>
        <w:rPr/>
        <w:t>outomes. He then argued that the two (income inequality and health) are extraordinarily closely</w:t>
      </w:r>
      <w:r>
        <w:rPr>
          <w:spacing w:val="1"/>
        </w:rPr>
        <w:t> </w:t>
      </w:r>
      <w:r>
        <w:rPr/>
        <w:t>related in both developed and developing nations (Wilkinson, 1994). Hence, the prevalence of</w:t>
      </w:r>
      <w:r>
        <w:rPr>
          <w:spacing w:val="1"/>
        </w:rPr>
        <w:t> </w:t>
      </w:r>
      <w:r>
        <w:rPr/>
        <w:t>poor health outcomes and weak HSB in any society strongly associated with income inequality,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not the average</w:t>
      </w:r>
      <w:r>
        <w:rPr>
          <w:spacing w:val="-1"/>
        </w:rPr>
        <w:t> </w:t>
      </w:r>
      <w:r>
        <w:rPr/>
        <w:t>living standards</w:t>
      </w:r>
      <w:r>
        <w:rPr>
          <w:spacing w:val="-1"/>
        </w:rPr>
        <w:t> </w:t>
      </w:r>
      <w:r>
        <w:rPr/>
        <w:t>(Wilkinson and Pickett, 2010:20).</w:t>
      </w:r>
    </w:p>
    <w:p>
      <w:pPr>
        <w:pStyle w:val="Heading4"/>
        <w:spacing w:line="221" w:lineRule="exact"/>
      </w:pPr>
      <w:r>
        <w:rPr/>
        <w:t>Figure</w:t>
      </w:r>
      <w:r>
        <w:rPr>
          <w:spacing w:val="-3"/>
        </w:rPr>
        <w:t> </w:t>
      </w:r>
      <w:r>
        <w:rPr/>
        <w:t>3.3:</w:t>
      </w:r>
      <w:r>
        <w:rPr>
          <w:spacing w:val="-2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Inequality-Health</w:t>
      </w:r>
      <w:r>
        <w:rPr>
          <w:spacing w:val="-2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among</w:t>
      </w:r>
      <w:r>
        <w:rPr>
          <w:spacing w:val="-1"/>
        </w:rPr>
        <w:t> </w:t>
      </w:r>
      <w:r>
        <w:rPr/>
        <w:t>rich</w:t>
      </w:r>
      <w:r>
        <w:rPr>
          <w:spacing w:val="-2"/>
        </w:rPr>
        <w:t> </w:t>
      </w:r>
      <w:r>
        <w:rPr/>
        <w:t>countries</w:t>
      </w:r>
    </w:p>
    <w:p>
      <w:pPr>
        <w:spacing w:line="274" w:lineRule="exact" w:before="0"/>
        <w:ind w:left="160" w:right="0" w:firstLine="0"/>
        <w:jc w:val="both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sz w:val="24"/>
        </w:rPr>
        <w:t>Wilkinson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Pickett</w:t>
      </w:r>
      <w:r>
        <w:rPr>
          <w:spacing w:val="-1"/>
          <w:sz w:val="24"/>
        </w:rPr>
        <w:t> </w:t>
      </w:r>
      <w:r>
        <w:rPr>
          <w:sz w:val="24"/>
        </w:rPr>
        <w:t>(2010:20)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60" w:right="149"/>
        <w:jc w:val="both"/>
      </w:pPr>
      <w:r>
        <w:rPr/>
        <w:t>One of the major contribution of his argument is that; in the process of economic development,</w:t>
      </w:r>
      <w:r>
        <w:rPr>
          <w:spacing w:val="1"/>
        </w:rPr>
        <w:t> </w:t>
      </w:r>
      <w:r>
        <w:rPr/>
        <w:t>there will be a </w:t>
      </w:r>
      <w:r>
        <w:rPr>
          <w:i/>
        </w:rPr>
        <w:t>point </w:t>
      </w:r>
      <w:r>
        <w:rPr/>
        <w:t>where a vast majority of citizens gaining access to basic necessities of life.</w:t>
      </w:r>
      <w:r>
        <w:rPr>
          <w:spacing w:val="1"/>
        </w:rPr>
        <w:t> </w:t>
      </w:r>
      <w:r>
        <w:rPr/>
        <w:t>That is where income differences among individuals rises. This point corresponds to the shift in</w:t>
      </w:r>
      <w:r>
        <w:rPr>
          <w:spacing w:val="1"/>
        </w:rPr>
        <w:t> </w:t>
      </w:r>
      <w:r>
        <w:rPr/>
        <w:t>the main causes of death arising from infectious diseases to more of degenerative NCDs</w:t>
      </w:r>
      <w:r>
        <w:rPr>
          <w:vertAlign w:val="superscript"/>
        </w:rPr>
        <w:t>7</w:t>
      </w:r>
      <w:r>
        <w:rPr>
          <w:vertAlign w:val="baseline"/>
        </w:rPr>
        <w:t>. Simply</w:t>
      </w:r>
      <w:r>
        <w:rPr>
          <w:spacing w:val="-57"/>
          <w:vertAlign w:val="baseline"/>
        </w:rPr>
        <w:t> </w:t>
      </w:r>
      <w:r>
        <w:rPr>
          <w:vertAlign w:val="baseline"/>
        </w:rPr>
        <w:t>put, rising income inequality is detrimental to healthy outcomes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main causes of illness</w:t>
      </w:r>
      <w:r>
        <w:rPr>
          <w:spacing w:val="1"/>
          <w:vertAlign w:val="baseline"/>
        </w:rPr>
        <w:t> </w:t>
      </w:r>
      <w:r>
        <w:rPr>
          <w:vertAlign w:val="baseline"/>
        </w:rPr>
        <w:t>(Wilkinson,</w:t>
      </w:r>
      <w:r>
        <w:rPr>
          <w:spacing w:val="-1"/>
          <w:vertAlign w:val="baseline"/>
        </w:rPr>
        <w:t> </w:t>
      </w:r>
      <w:r>
        <w:rPr>
          <w:vertAlign w:val="baseline"/>
        </w:rPr>
        <w:t>1994:62).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is</w:t>
      </w:r>
      <w:r>
        <w:rPr>
          <w:spacing w:val="-1"/>
          <w:vertAlign w:val="baseline"/>
        </w:rPr>
        <w:t> </w:t>
      </w:r>
      <w:r>
        <w:rPr>
          <w:vertAlign w:val="baseline"/>
        </w:rPr>
        <w:t>known as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income or</w:t>
      </w:r>
      <w:r>
        <w:rPr>
          <w:spacing w:val="-3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1"/>
          <w:vertAlign w:val="baseline"/>
        </w:rPr>
        <w:t> </w:t>
      </w:r>
      <w:r>
        <w:rPr>
          <w:vertAlign w:val="baseline"/>
        </w:rPr>
        <w:t>inequality-health</w:t>
      </w:r>
      <w:r>
        <w:rPr>
          <w:spacing w:val="-1"/>
          <w:vertAlign w:val="baseline"/>
        </w:rPr>
        <w:t> </w:t>
      </w:r>
      <w:r>
        <w:rPr>
          <w:vertAlign w:val="baseline"/>
        </w:rPr>
        <w:t>hypothesis.</w:t>
      </w:r>
    </w:p>
    <w:p>
      <w:pPr>
        <w:pStyle w:val="BodyText"/>
        <w:spacing w:before="1"/>
        <w:rPr>
          <w:sz w:val="15"/>
        </w:rPr>
      </w:pPr>
      <w:r>
        <w:rPr/>
        <w:pict>
          <v:rect style="position:absolute;margin-left:72.024002pt;margin-top:10.665984pt;width:144.020pt;height:.72003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5" w:lineRule="auto" w:before="77"/>
        <w:ind w:left="160" w:right="156" w:firstLine="0"/>
        <w:jc w:val="both"/>
        <w:rPr>
          <w:sz w:val="20"/>
        </w:rPr>
      </w:pPr>
      <w:r>
        <w:rPr>
          <w:rFonts w:ascii="Calibri"/>
          <w:sz w:val="20"/>
          <w:vertAlign w:val="superscript"/>
        </w:rPr>
        <w:t>7</w:t>
      </w:r>
      <w:r>
        <w:rPr>
          <w:rFonts w:ascii="Calibri"/>
          <w:sz w:val="20"/>
          <w:vertAlign w:val="baseline"/>
        </w:rPr>
        <w:t> </w:t>
      </w:r>
      <w:r>
        <w:rPr>
          <w:sz w:val="20"/>
          <w:vertAlign w:val="baseline"/>
        </w:rPr>
        <w:t>According to WHO (2018), deaths from NCDs (heart attacks, hypertension and strokes) is on the deadly rise 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Nigeria in recent years; and 1 out of every 5 Nigerian adults over the age of 30 will continue to die prematurely from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hypertension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other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NCDs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adequate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measures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taken.</w:t>
      </w:r>
    </w:p>
    <w:p>
      <w:pPr>
        <w:spacing w:after="0" w:line="235" w:lineRule="auto"/>
        <w:jc w:val="both"/>
        <w:rPr>
          <w:sz w:val="20"/>
        </w:rPr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8"/>
        <w:jc w:val="both"/>
      </w:pPr>
      <w:r>
        <w:rPr/>
        <w:t>The Wilkinson ideas was also built on the ‘theory of epidemiologic transition’ as proposed by</w:t>
      </w:r>
      <w:r>
        <w:rPr>
          <w:spacing w:val="1"/>
        </w:rPr>
        <w:t> </w:t>
      </w:r>
      <w:r>
        <w:rPr>
          <w:spacing w:val="-1"/>
        </w:rPr>
        <w:t>Omran</w:t>
      </w:r>
      <w:r>
        <w:rPr>
          <w:spacing w:val="-12"/>
        </w:rPr>
        <w:t> </w:t>
      </w:r>
      <w:r>
        <w:rPr>
          <w:spacing w:val="-1"/>
        </w:rPr>
        <w:t>(1971).</w:t>
      </w:r>
      <w:r>
        <w:rPr>
          <w:spacing w:val="-11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12"/>
        </w:rPr>
        <w:t> </w:t>
      </w:r>
      <w:r>
        <w:rPr/>
        <w:t>mid-1990s,</w:t>
      </w:r>
      <w:r>
        <w:rPr>
          <w:spacing w:val="-12"/>
        </w:rPr>
        <w:t> </w:t>
      </w:r>
      <w:r>
        <w:rPr/>
        <w:t>Omran’s</w:t>
      </w:r>
      <w:r>
        <w:rPr>
          <w:spacing w:val="-11"/>
        </w:rPr>
        <w:t> </w:t>
      </w:r>
      <w:r>
        <w:rPr/>
        <w:t>explanations</w:t>
      </w:r>
      <w:r>
        <w:rPr>
          <w:spacing w:val="-11"/>
        </w:rPr>
        <w:t> </w:t>
      </w:r>
      <w:r>
        <w:rPr/>
        <w:t>formed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key</w:t>
      </w:r>
      <w:r>
        <w:rPr>
          <w:spacing w:val="-17"/>
        </w:rPr>
        <w:t> </w:t>
      </w:r>
      <w:r>
        <w:rPr/>
        <w:t>theoretical</w:t>
      </w:r>
      <w:r>
        <w:rPr>
          <w:spacing w:val="-11"/>
        </w:rPr>
        <w:t> </w:t>
      </w:r>
      <w:r>
        <w:rPr/>
        <w:t>basis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links</w:t>
      </w:r>
      <w:r>
        <w:rPr>
          <w:spacing w:val="-57"/>
        </w:rPr>
        <w:t> </w:t>
      </w:r>
      <w:r>
        <w:rPr/>
        <w:t>health with economic development processes. There are five epidemiologic transition stages that</w:t>
      </w:r>
      <w:r>
        <w:rPr>
          <w:spacing w:val="1"/>
        </w:rPr>
        <w:t> </w:t>
      </w:r>
      <w:r>
        <w:rPr/>
        <w:t>explains phases of development witnessed by a sudden and stark increase in population growth</w:t>
      </w:r>
      <w:r>
        <w:rPr>
          <w:spacing w:val="1"/>
        </w:rPr>
        <w:t> </w:t>
      </w:r>
      <w:r>
        <w:rPr/>
        <w:t>rates</w:t>
      </w:r>
      <w:r>
        <w:rPr>
          <w:spacing w:val="-1"/>
        </w:rPr>
        <w:t> </w:t>
      </w:r>
      <w:r>
        <w:rPr/>
        <w:t>and health, as Figure</w:t>
      </w:r>
      <w:r>
        <w:rPr>
          <w:spacing w:val="-1"/>
        </w:rPr>
        <w:t> </w:t>
      </w:r>
      <w:r>
        <w:rPr/>
        <w:t>3.4</w:t>
      </w:r>
      <w:r>
        <w:rPr>
          <w:spacing w:val="1"/>
        </w:rPr>
        <w:t> </w:t>
      </w:r>
      <w:r>
        <w:rPr/>
        <w:t>shown.</w:t>
      </w:r>
    </w:p>
    <w:p>
      <w:pPr>
        <w:pStyle w:val="BodyText"/>
        <w:rPr>
          <w:sz w:val="17"/>
        </w:rPr>
      </w:pPr>
      <w:r>
        <w:rPr/>
        <w:pict>
          <v:group style="position:absolute;margin-left:71.999992pt;margin-top:11.769741pt;width:467.45pt;height:222pt;mso-position-horizontal-relative:page;mso-position-vertical-relative:paragraph;z-index:-15697920;mso-wrap-distance-left:0;mso-wrap-distance-right:0" coordorigin="1440,235" coordsize="9349,4440">
            <v:shape style="position:absolute;left:1440;top:235;width:9349;height:4440" type="#_x0000_t75" stroked="false">
              <v:imagedata r:id="rId145" o:title=""/>
            </v:shape>
            <v:rect style="position:absolute;left:3151;top:4176;width:708;height:360" filled="true" fillcolor="#ffffff" stroked="false">
              <v:fill type="solid"/>
            </v:rect>
            <v:rect style="position:absolute;left:3151;top:4176;width:708;height:360" filled="false" stroked="true" strokeweight=".48pt" strokecolor="#000000">
              <v:stroke dashstyle="solid"/>
            </v:rect>
            <v:rect style="position:absolute;left:4860;top:4176;width:711;height:360" filled="true" fillcolor="#ffffff" stroked="false">
              <v:fill type="solid"/>
            </v:rect>
            <v:rect style="position:absolute;left:4860;top:4176;width:711;height:360" filled="false" stroked="true" strokeweight=".48pt" strokecolor="#000000">
              <v:stroke dashstyle="solid"/>
            </v:rect>
            <v:rect style="position:absolute;left:7920;top:4161;width:711;height:375" filled="true" fillcolor="#ffffff" stroked="false">
              <v:fill type="solid"/>
            </v:rect>
            <v:rect style="position:absolute;left:7920;top:4161;width:711;height:375" filled="false" stroked="true" strokeweight=".48pt" strokecolor="#000000">
              <v:stroke dashstyle="solid"/>
            </v:rect>
            <v:rect style="position:absolute;left:6420;top:4176;width:711;height:360" filled="true" fillcolor="#ffffff" stroked="false">
              <v:fill type="solid"/>
            </v:rect>
            <v:rect style="position:absolute;left:6420;top:4176;width:711;height:360" filled="false" stroked="true" strokeweight=".48pt" strokecolor="#000000">
              <v:stroke dashstyle="solid"/>
            </v:rect>
            <v:rect style="position:absolute;left:9480;top:4161;width:711;height:375" filled="true" fillcolor="#ffffff" stroked="false">
              <v:fill type="solid"/>
            </v:rect>
            <v:rect style="position:absolute;left:9480;top:4161;width:711;height:375" filled="false" stroked="true" strokeweight=".48pt" strokecolor="#000000">
              <v:stroke dashstyle="solid"/>
            </v:rect>
            <v:shape style="position:absolute;left:9480;top:4161;width:711;height:375" type="#_x0000_t202" filled="false" stroked="false">
              <v:textbox inset="0,0,0,0">
                <w:txbxContent>
                  <w:p>
                    <w:pPr>
                      <w:spacing w:before="76"/>
                      <w:ind w:left="150" w:right="0" w:firstLine="0"/>
                      <w:jc w:val="left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sz w:val="12"/>
                      </w:rPr>
                      <w:t>STAGE</w:t>
                    </w:r>
                    <w:r>
                      <w:rPr>
                        <w:rFonts w:ascii="Calibri"/>
                        <w:b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b/>
                        <w:sz w:val="1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920;top:4161;width:711;height:375" type="#_x0000_t202" filled="false" stroked="false">
              <v:textbox inset="0,0,0,0">
                <w:txbxContent>
                  <w:p>
                    <w:pPr>
                      <w:spacing w:before="76"/>
                      <w:ind w:left="150" w:right="0" w:firstLine="0"/>
                      <w:jc w:val="left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sz w:val="12"/>
                      </w:rPr>
                      <w:t>STAGE</w:t>
                    </w:r>
                    <w:r>
                      <w:rPr>
                        <w:rFonts w:ascii="Calibri"/>
                        <w:b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b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420;top:4176;width:711;height:360" type="#_x0000_t202" filled="false" stroked="false">
              <v:textbox inset="0,0,0,0">
                <w:txbxContent>
                  <w:p>
                    <w:pPr>
                      <w:spacing w:before="76"/>
                      <w:ind w:left="150" w:right="0" w:firstLine="0"/>
                      <w:jc w:val="left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sz w:val="12"/>
                      </w:rPr>
                      <w:t>STAGE</w:t>
                    </w:r>
                    <w:r>
                      <w:rPr>
                        <w:rFonts w:ascii="Calibri"/>
                        <w:b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b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860;top:4176;width:711;height:360" type="#_x0000_t202" filled="false" stroked="false">
              <v:textbox inset="0,0,0,0">
                <w:txbxContent>
                  <w:p>
                    <w:pPr>
                      <w:spacing w:before="76"/>
                      <w:ind w:left="149" w:right="0" w:firstLine="0"/>
                      <w:jc w:val="left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sz w:val="12"/>
                      </w:rPr>
                      <w:t>STAGE</w:t>
                    </w:r>
                    <w:r>
                      <w:rPr>
                        <w:rFonts w:ascii="Calibri"/>
                        <w:b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b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151;top:4176;width:708;height:360" type="#_x0000_t202" filled="false" stroked="false">
              <v:textbox inset="0,0,0,0">
                <w:txbxContent>
                  <w:p>
                    <w:pPr>
                      <w:spacing w:before="76"/>
                      <w:ind w:left="149" w:right="0" w:firstLine="0"/>
                      <w:jc w:val="left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sz w:val="12"/>
                      </w:rPr>
                      <w:t>STAGE</w:t>
                    </w:r>
                    <w:r>
                      <w:rPr>
                        <w:rFonts w:ascii="Calibri"/>
                        <w:b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libri"/>
                        <w:b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4"/>
        <w:spacing w:line="244" w:lineRule="exact"/>
      </w:pPr>
      <w:r>
        <w:rPr/>
        <w:t>Figure</w:t>
      </w:r>
      <w:r>
        <w:rPr>
          <w:spacing w:val="-2"/>
        </w:rPr>
        <w:t> </w:t>
      </w:r>
      <w:r>
        <w:rPr/>
        <w:t>3.4:</w:t>
      </w:r>
      <w:r>
        <w:rPr>
          <w:spacing w:val="58"/>
        </w:rPr>
        <w:t> </w:t>
      </w:r>
      <w:r>
        <w:rPr/>
        <w:t>Stages</w:t>
      </w:r>
      <w:r>
        <w:rPr>
          <w:spacing w:val="-1"/>
        </w:rPr>
        <w:t> </w:t>
      </w:r>
      <w:r>
        <w:rPr/>
        <w:t>of Epidemiological</w:t>
      </w:r>
      <w:r>
        <w:rPr>
          <w:spacing w:val="-1"/>
        </w:rPr>
        <w:t> </w:t>
      </w:r>
      <w:r>
        <w:rPr/>
        <w:t>Transition</w:t>
      </w:r>
    </w:p>
    <w:p>
      <w:pPr>
        <w:spacing w:line="252" w:lineRule="exact" w:before="0"/>
        <w:ind w:left="160" w:right="0" w:firstLine="0"/>
        <w:jc w:val="both"/>
        <w:rPr>
          <w:sz w:val="22"/>
        </w:rPr>
      </w:pPr>
      <w:r>
        <w:rPr>
          <w:i/>
          <w:sz w:val="22"/>
        </w:rPr>
        <w:t>Source:</w:t>
      </w:r>
      <w:r>
        <w:rPr>
          <w:i/>
          <w:spacing w:val="-1"/>
          <w:sz w:val="22"/>
        </w:rPr>
        <w:t> </w:t>
      </w:r>
      <w:r>
        <w:rPr>
          <w:sz w:val="22"/>
        </w:rPr>
        <w:t>Epidemiologic</w:t>
      </w:r>
      <w:r>
        <w:rPr>
          <w:spacing w:val="-3"/>
          <w:sz w:val="22"/>
        </w:rPr>
        <w:t> </w:t>
      </w:r>
      <w:r>
        <w:rPr>
          <w:sz w:val="22"/>
        </w:rPr>
        <w:t>Transition</w:t>
      </w:r>
      <w:r>
        <w:rPr>
          <w:spacing w:val="-3"/>
          <w:sz w:val="22"/>
        </w:rPr>
        <w:t> </w:t>
      </w:r>
      <w:r>
        <w:rPr>
          <w:sz w:val="22"/>
        </w:rPr>
        <w:t>Model</w:t>
      </w:r>
      <w:r>
        <w:rPr>
          <w:spacing w:val="-3"/>
          <w:sz w:val="22"/>
        </w:rPr>
        <w:t> </w:t>
      </w:r>
      <w:r>
        <w:rPr>
          <w:sz w:val="22"/>
        </w:rPr>
        <w:t>(</w:t>
      </w:r>
      <w:hyperlink r:id="rId146">
        <w:r>
          <w:rPr>
            <w:sz w:val="22"/>
            <w:u w:val="single"/>
          </w:rPr>
          <w:t>www.murrieta.k12.ca.us</w:t>
        </w:r>
      </w:hyperlink>
      <w:r>
        <w:rPr>
          <w:sz w:val="22"/>
        </w:rPr>
        <w:t>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160" w:right="158"/>
        <w:jc w:val="both"/>
      </w:pPr>
      <w:r>
        <w:rPr/>
        <w:t>Stage 1 is called pestilence stage where infections, parasitic diseases and famine are the principal</w:t>
      </w:r>
      <w:r>
        <w:rPr>
          <w:spacing w:val="-57"/>
        </w:rPr>
        <w:t> </w:t>
      </w:r>
      <w:r>
        <w:rPr/>
        <w:t>causes of human deaths and ill-health issues. In this stage, the annual birth and death rates (per</w:t>
      </w:r>
      <w:r>
        <w:rPr>
          <w:spacing w:val="1"/>
        </w:rPr>
        <w:t> </w:t>
      </w:r>
      <w:r>
        <w:rPr/>
        <w:t>1,000</w:t>
      </w:r>
      <w:r>
        <w:rPr>
          <w:spacing w:val="-9"/>
        </w:rPr>
        <w:t> </w:t>
      </w:r>
      <w:r>
        <w:rPr/>
        <w:t>people)</w:t>
      </w:r>
      <w:r>
        <w:rPr>
          <w:spacing w:val="-7"/>
        </w:rPr>
        <w:t> </w:t>
      </w:r>
      <w:r>
        <w:rPr/>
        <w:t>co-moves</w:t>
      </w:r>
      <w:r>
        <w:rPr>
          <w:spacing w:val="-5"/>
        </w:rPr>
        <w:t> </w:t>
      </w:r>
      <w:r>
        <w:rPr/>
        <w:t>but</w:t>
      </w:r>
      <w:r>
        <w:rPr>
          <w:spacing w:val="-7"/>
        </w:rPr>
        <w:t> </w:t>
      </w:r>
      <w:r>
        <w:rPr/>
        <w:t>greater</w:t>
      </w:r>
      <w:r>
        <w:rPr>
          <w:spacing w:val="-8"/>
        </w:rPr>
        <w:t> </w:t>
      </w:r>
      <w:r>
        <w:rPr/>
        <w:t>than</w:t>
      </w:r>
      <w:r>
        <w:rPr>
          <w:spacing w:val="-8"/>
        </w:rPr>
        <w:t> </w:t>
      </w:r>
      <w:r>
        <w:rPr/>
        <w:t>35</w:t>
      </w:r>
      <w:r>
        <w:rPr>
          <w:spacing w:val="-8"/>
        </w:rPr>
        <w:t> </w:t>
      </w:r>
      <w:r>
        <w:rPr/>
        <w:t>per</w:t>
      </w:r>
      <w:r>
        <w:rPr>
          <w:spacing w:val="-6"/>
        </w:rPr>
        <w:t> </w:t>
      </w:r>
      <w:r>
        <w:rPr/>
        <w:t>1,000</w:t>
      </w:r>
      <w:r>
        <w:rPr>
          <w:spacing w:val="-8"/>
        </w:rPr>
        <w:t> </w:t>
      </w:r>
      <w:r>
        <w:rPr/>
        <w:t>citizens.</w:t>
      </w:r>
      <w:r>
        <w:rPr>
          <w:spacing w:val="-7"/>
        </w:rPr>
        <w:t> </w:t>
      </w:r>
      <w:r>
        <w:rPr/>
        <w:t>Stage</w:t>
      </w:r>
      <w:r>
        <w:rPr>
          <w:spacing w:val="-9"/>
        </w:rPr>
        <w:t> </w:t>
      </w:r>
      <w:r>
        <w:rPr/>
        <w:t>2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receding</w:t>
      </w:r>
      <w:r>
        <w:rPr>
          <w:spacing w:val="-11"/>
        </w:rPr>
        <w:t> </w:t>
      </w:r>
      <w:r>
        <w:rPr/>
        <w:t>pandemics</w:t>
      </w:r>
      <w:r>
        <w:rPr>
          <w:spacing w:val="-6"/>
        </w:rPr>
        <w:t> </w:t>
      </w:r>
      <w:r>
        <w:rPr/>
        <w:t>with</w:t>
      </w:r>
      <w:r>
        <w:rPr>
          <w:spacing w:val="-57"/>
        </w:rPr>
        <w:t> </w:t>
      </w:r>
      <w:r>
        <w:rPr/>
        <w:t>annual</w:t>
      </w:r>
      <w:r>
        <w:rPr>
          <w:spacing w:val="-1"/>
        </w:rPr>
        <w:t> </w:t>
      </w:r>
      <w:r>
        <w:rPr/>
        <w:t>death rate</w:t>
      </w:r>
      <w:r>
        <w:rPr>
          <w:spacing w:val="-1"/>
        </w:rPr>
        <w:t> </w:t>
      </w:r>
      <w:r>
        <w:rPr/>
        <w:t>per 1,000</w:t>
      </w:r>
      <w:r>
        <w:rPr>
          <w:spacing w:val="-1"/>
        </w:rPr>
        <w:t> </w:t>
      </w:r>
      <w:r>
        <w:rPr/>
        <w:t>people declining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steady</w:t>
      </w:r>
      <w:r>
        <w:rPr>
          <w:spacing w:val="-5"/>
        </w:rPr>
        <w:t> </w:t>
      </w:r>
      <w:r>
        <w:rPr/>
        <w:t>birth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total population increases.</w:t>
      </w:r>
    </w:p>
    <w:p>
      <w:pPr>
        <w:pStyle w:val="BodyText"/>
        <w:spacing w:line="360" w:lineRule="auto" w:before="115"/>
        <w:ind w:left="160" w:right="153"/>
        <w:jc w:val="both"/>
      </w:pPr>
      <w:r>
        <w:rPr/>
        <w:t>Stage 3 refers to the degenerative and human-created diseases stage where both birth and death</w:t>
      </w:r>
      <w:r>
        <w:rPr>
          <w:spacing w:val="1"/>
        </w:rPr>
        <w:t> </w:t>
      </w:r>
      <w:r>
        <w:rPr>
          <w:spacing w:val="-1"/>
        </w:rPr>
        <w:t>rates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infectious</w:t>
      </w:r>
      <w:r>
        <w:rPr>
          <w:spacing w:val="-12"/>
        </w:rPr>
        <w:t> </w:t>
      </w:r>
      <w:r>
        <w:rPr/>
        <w:t>diseases</w:t>
      </w:r>
      <w:r>
        <w:rPr>
          <w:spacing w:val="-11"/>
        </w:rPr>
        <w:t> </w:t>
      </w:r>
      <w:r>
        <w:rPr/>
        <w:t>decline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rising</w:t>
      </w:r>
      <w:r>
        <w:rPr>
          <w:spacing w:val="-15"/>
        </w:rPr>
        <w:t> </w:t>
      </w:r>
      <w:r>
        <w:rPr/>
        <w:t>population.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called</w:t>
      </w:r>
      <w:r>
        <w:rPr>
          <w:spacing w:val="-12"/>
        </w:rPr>
        <w:t> </w:t>
      </w:r>
      <w:r>
        <w:rPr/>
        <w:t>human-created</w:t>
      </w:r>
      <w:r>
        <w:rPr>
          <w:spacing w:val="-13"/>
        </w:rPr>
        <w:t> </w:t>
      </w:r>
      <w:r>
        <w:rPr/>
        <w:t>diseases</w:t>
      </w:r>
      <w:r>
        <w:rPr>
          <w:spacing w:val="-57"/>
        </w:rPr>
        <w:t> </w:t>
      </w:r>
      <w:r>
        <w:rPr/>
        <w:t>because deaths at this periods strongly related with stress, fear, shock, anxiety, depression, crime,</w:t>
      </w:r>
      <w:r>
        <w:rPr>
          <w:spacing w:val="-57"/>
        </w:rPr>
        <w:t> </w:t>
      </w:r>
      <w:r>
        <w:rPr/>
        <w:t>insecurity and kidnapping (Liu, 2017:36; Patel, 2018:76). The stage is mainly characterized by a</w:t>
      </w:r>
      <w:r>
        <w:rPr>
          <w:spacing w:val="1"/>
        </w:rPr>
        <w:t> </w:t>
      </w:r>
      <w:r>
        <w:rPr/>
        <w:t>fall in deaths rate from infectious diseases and a rise in cardiovascular diseases</w:t>
      </w:r>
      <w:r>
        <w:rPr>
          <w:vertAlign w:val="superscript"/>
        </w:rPr>
        <w:t>8</w:t>
      </w:r>
      <w:r>
        <w:rPr>
          <w:vertAlign w:val="baseline"/>
        </w:rPr>
        <w:t>. However, stage</w:t>
      </w:r>
      <w:r>
        <w:rPr>
          <w:spacing w:val="1"/>
          <w:vertAlign w:val="baseline"/>
        </w:rPr>
        <w:t> </w:t>
      </w:r>
      <w:r>
        <w:rPr>
          <w:vertAlign w:val="baseline"/>
        </w:rPr>
        <w:t>4 and 5 are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extension of stage</w:t>
      </w:r>
      <w:r>
        <w:rPr>
          <w:spacing w:val="-1"/>
          <w:vertAlign w:val="baseline"/>
        </w:rPr>
        <w:t> </w:t>
      </w:r>
      <w:r>
        <w:rPr>
          <w:vertAlign w:val="baseline"/>
        </w:rPr>
        <w:t>3 (see</w:t>
      </w:r>
      <w:r>
        <w:rPr>
          <w:spacing w:val="-1"/>
          <w:vertAlign w:val="baseline"/>
        </w:rPr>
        <w:t> </w:t>
      </w:r>
      <w:r>
        <w:rPr>
          <w:vertAlign w:val="baseline"/>
        </w:rPr>
        <w:t>Omran, 1971).</w:t>
      </w:r>
    </w:p>
    <w:p>
      <w:pPr>
        <w:pStyle w:val="BodyText"/>
        <w:spacing w:before="5"/>
        <w:rPr>
          <w:sz w:val="16"/>
        </w:rPr>
      </w:pPr>
    </w:p>
    <w:p>
      <w:pPr>
        <w:spacing w:line="242" w:lineRule="auto" w:before="91"/>
        <w:ind w:left="160" w:right="162" w:firstLine="0"/>
        <w:jc w:val="both"/>
        <w:rPr>
          <w:sz w:val="19"/>
        </w:rPr>
      </w:pPr>
      <w:r>
        <w:rPr>
          <w:rFonts w:ascii="Calibri"/>
          <w:position w:val="6"/>
          <w:sz w:val="12"/>
        </w:rPr>
        <w:t>8 </w:t>
      </w:r>
      <w:r>
        <w:rPr>
          <w:sz w:val="19"/>
        </w:rPr>
        <w:t>Nigeria is in </w:t>
      </w:r>
      <w:r>
        <w:rPr>
          <w:b/>
          <w:i/>
          <w:sz w:val="19"/>
        </w:rPr>
        <w:t>Stage 3 </w:t>
      </w:r>
      <w:r>
        <w:rPr>
          <w:sz w:val="19"/>
        </w:rPr>
        <w:t>since her annual death rate per 1,000 </w:t>
      </w:r>
      <w:r>
        <w:rPr>
          <w:i/>
          <w:sz w:val="19"/>
        </w:rPr>
        <w:t>declines rapidly </w:t>
      </w:r>
      <w:r>
        <w:rPr>
          <w:sz w:val="19"/>
        </w:rPr>
        <w:t>from 25 per 1,000 in 1970s to 12 in 2017, and</w:t>
      </w:r>
      <w:r>
        <w:rPr>
          <w:spacing w:val="1"/>
          <w:sz w:val="19"/>
        </w:rPr>
        <w:t> </w:t>
      </w:r>
      <w:r>
        <w:rPr>
          <w:sz w:val="19"/>
        </w:rPr>
        <w:t>annual birth rate </w:t>
      </w:r>
      <w:r>
        <w:rPr>
          <w:i/>
          <w:sz w:val="19"/>
        </w:rPr>
        <w:t>falls rapidly </w:t>
      </w:r>
      <w:r>
        <w:rPr>
          <w:sz w:val="19"/>
        </w:rPr>
        <w:t>from 47 to 38 per 1,000 in 1970s and 2017 respectively; while total population rises from 70</w:t>
      </w:r>
      <w:r>
        <w:rPr>
          <w:spacing w:val="1"/>
          <w:sz w:val="19"/>
        </w:rPr>
        <w:t> </w:t>
      </w:r>
      <w:r>
        <w:rPr>
          <w:sz w:val="19"/>
        </w:rPr>
        <w:t>million in</w:t>
      </w:r>
      <w:r>
        <w:rPr>
          <w:spacing w:val="-1"/>
          <w:sz w:val="19"/>
        </w:rPr>
        <w:t> </w:t>
      </w:r>
      <w:r>
        <w:rPr>
          <w:sz w:val="19"/>
        </w:rPr>
        <w:t>1970s to nearly</w:t>
      </w:r>
      <w:r>
        <w:rPr>
          <w:spacing w:val="-6"/>
          <w:sz w:val="19"/>
        </w:rPr>
        <w:t> </w:t>
      </w:r>
      <w:r>
        <w:rPr>
          <w:sz w:val="19"/>
        </w:rPr>
        <w:t>200</w:t>
      </w:r>
      <w:r>
        <w:rPr>
          <w:spacing w:val="-1"/>
          <w:sz w:val="19"/>
        </w:rPr>
        <w:t> </w:t>
      </w:r>
      <w:r>
        <w:rPr>
          <w:sz w:val="19"/>
        </w:rPr>
        <w:t>million</w:t>
      </w:r>
      <w:r>
        <w:rPr>
          <w:spacing w:val="1"/>
          <w:sz w:val="19"/>
        </w:rPr>
        <w:t> </w:t>
      </w:r>
      <w:r>
        <w:rPr>
          <w:sz w:val="19"/>
        </w:rPr>
        <w:t>in</w:t>
      </w:r>
      <w:r>
        <w:rPr>
          <w:spacing w:val="-2"/>
          <w:sz w:val="19"/>
        </w:rPr>
        <w:t> </w:t>
      </w:r>
      <w:r>
        <w:rPr>
          <w:sz w:val="19"/>
        </w:rPr>
        <w:t>2018</w:t>
      </w:r>
      <w:r>
        <w:rPr>
          <w:spacing w:val="1"/>
          <w:sz w:val="19"/>
        </w:rPr>
        <w:t> </w:t>
      </w:r>
      <w:r>
        <w:rPr>
          <w:sz w:val="19"/>
        </w:rPr>
        <w:t>(World</w:t>
      </w:r>
      <w:r>
        <w:rPr>
          <w:spacing w:val="1"/>
          <w:sz w:val="19"/>
        </w:rPr>
        <w:t> </w:t>
      </w:r>
      <w:r>
        <w:rPr>
          <w:sz w:val="19"/>
        </w:rPr>
        <w:t>Bank,</w:t>
      </w:r>
      <w:r>
        <w:rPr>
          <w:spacing w:val="-1"/>
          <w:sz w:val="19"/>
        </w:rPr>
        <w:t> </w:t>
      </w:r>
      <w:r>
        <w:rPr>
          <w:sz w:val="19"/>
        </w:rPr>
        <w:t>2019).</w:t>
      </w:r>
    </w:p>
    <w:p>
      <w:pPr>
        <w:spacing w:after="0" w:line="242" w:lineRule="auto"/>
        <w:jc w:val="both"/>
        <w:rPr>
          <w:sz w:val="19"/>
        </w:rPr>
        <w:sectPr>
          <w:footerReference w:type="default" r:id="rId144"/>
          <w:pgSz w:w="12240" w:h="15840"/>
          <w:pgMar w:footer="1407" w:header="0" w:top="1360" w:bottom="1600" w:left="1280" w:right="1280"/>
        </w:sectPr>
      </w:pPr>
    </w:p>
    <w:p>
      <w:pPr>
        <w:pStyle w:val="BodyText"/>
        <w:spacing w:line="360" w:lineRule="auto" w:before="74"/>
        <w:ind w:left="160" w:right="154"/>
        <w:jc w:val="both"/>
      </w:pPr>
      <w:r>
        <w:rPr/>
        <w:t>The</w:t>
      </w:r>
      <w:r>
        <w:rPr>
          <w:spacing w:val="-3"/>
        </w:rPr>
        <w:t> </w:t>
      </w:r>
      <w:r>
        <w:rPr/>
        <w:t>explanation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Wilkinson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stage</w:t>
      </w:r>
      <w:r>
        <w:rPr>
          <w:spacing w:val="-1"/>
        </w:rPr>
        <w:t> </w:t>
      </w:r>
      <w:r>
        <w:rPr/>
        <w:t>3,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of citizens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affected by</w:t>
      </w:r>
      <w:r>
        <w:rPr>
          <w:spacing w:val="-9"/>
        </w:rPr>
        <w:t> </w:t>
      </w:r>
      <w:r>
        <w:rPr/>
        <w:t>income</w:t>
      </w:r>
      <w:r>
        <w:rPr>
          <w:spacing w:val="-1"/>
        </w:rPr>
        <w:t> </w:t>
      </w:r>
      <w:r>
        <w:rPr/>
        <w:t>inequality</w:t>
      </w:r>
      <w:r>
        <w:rPr>
          <w:spacing w:val="-58"/>
        </w:rPr>
        <w:t> </w:t>
      </w:r>
      <w:r>
        <w:rPr/>
        <w:t>(Wilkinson, 1994:66). This prompted the </w:t>
      </w:r>
      <w:r>
        <w:rPr>
          <w:i/>
        </w:rPr>
        <w:t>relative income-health hypothesis </w:t>
      </w:r>
      <w:r>
        <w:rPr/>
        <w:t>(RIH) that income</w:t>
      </w:r>
      <w:r>
        <w:rPr>
          <w:spacing w:val="1"/>
        </w:rPr>
        <w:t> </w:t>
      </w:r>
      <w:r>
        <w:rPr/>
        <w:t>inequality itself (rather than, absolute income) has an impact on the health of individuals in any</w:t>
      </w:r>
      <w:r>
        <w:rPr>
          <w:spacing w:val="1"/>
        </w:rPr>
        <w:t> </w:t>
      </w:r>
      <w:r>
        <w:rPr/>
        <w:t>nation. This implies that citizen’s income relative to others in his or her ‘group’ rather than an</w:t>
      </w:r>
      <w:r>
        <w:rPr>
          <w:spacing w:val="1"/>
        </w:rPr>
        <w:t> </w:t>
      </w:r>
      <w:r>
        <w:rPr/>
        <w:t>individual’s absolute income will predict their health outcome. Accordingly, if the income of</w:t>
      </w:r>
      <w:r>
        <w:rPr>
          <w:spacing w:val="1"/>
        </w:rPr>
        <w:t> </w:t>
      </w:r>
      <w:r>
        <w:rPr/>
        <w:t>everyone but one in a neighborhood rises, that person’s health is expected to deteriorate (Drabo,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line="360" w:lineRule="auto" w:before="230"/>
        <w:ind w:left="160" w:right="155"/>
        <w:jc w:val="both"/>
      </w:pPr>
      <w:r>
        <w:rPr/>
        <w:t>Income inequality-health hypothesis (IIH) further asserts that the chronic stress provoked by this</w:t>
      </w:r>
      <w:r>
        <w:rPr>
          <w:spacing w:val="1"/>
        </w:rPr>
        <w:t> </w:t>
      </w:r>
      <w:r>
        <w:rPr/>
        <w:t>comparison may lower resistance to some diseases or harm their health status. Hence, the central</w:t>
      </w:r>
      <w:r>
        <w:rPr>
          <w:spacing w:val="1"/>
        </w:rPr>
        <w:t> </w:t>
      </w:r>
      <w:r>
        <w:rPr/>
        <w:t>explanation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IIH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that</w:t>
      </w:r>
      <w:r>
        <w:rPr>
          <w:spacing w:val="-6"/>
        </w:rPr>
        <w:t> </w:t>
      </w:r>
      <w:r>
        <w:rPr/>
        <w:t>there</w:t>
      </w:r>
      <w:r>
        <w:rPr>
          <w:spacing w:val="-12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direct</w:t>
      </w:r>
      <w:r>
        <w:rPr>
          <w:spacing w:val="-11"/>
        </w:rPr>
        <w:t> </w:t>
      </w:r>
      <w:r>
        <w:rPr/>
        <w:t>negative</w:t>
      </w:r>
      <w:r>
        <w:rPr>
          <w:spacing w:val="-7"/>
        </w:rPr>
        <w:t> </w:t>
      </w:r>
      <w:r>
        <w:rPr/>
        <w:t>effect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people’s</w:t>
      </w:r>
      <w:r>
        <w:rPr>
          <w:spacing w:val="-9"/>
        </w:rPr>
        <w:t> </w:t>
      </w:r>
      <w:r>
        <w:rPr/>
        <w:t>health</w:t>
      </w:r>
      <w:r>
        <w:rPr>
          <w:spacing w:val="-7"/>
        </w:rPr>
        <w:t> </w:t>
      </w:r>
      <w:r>
        <w:rPr/>
        <w:t>from</w:t>
      </w:r>
      <w:r>
        <w:rPr>
          <w:spacing w:val="-11"/>
        </w:rPr>
        <w:t> </w:t>
      </w:r>
      <w:r>
        <w:rPr/>
        <w:t>income</w:t>
      </w:r>
      <w:r>
        <w:rPr>
          <w:spacing w:val="-10"/>
        </w:rPr>
        <w:t> </w:t>
      </w:r>
      <w:r>
        <w:rPr/>
        <w:t>disparity,</w:t>
      </w:r>
      <w:r>
        <w:rPr>
          <w:spacing w:val="-58"/>
        </w:rPr>
        <w:t> </w:t>
      </w:r>
      <w:r>
        <w:rPr/>
        <w:t>independent of individual’s absolute income (Wilkinson and Pickett, 2010). This implies that if</w:t>
      </w:r>
      <w:r>
        <w:rPr>
          <w:spacing w:val="1"/>
        </w:rPr>
        <w:t> </w:t>
      </w:r>
      <w:r>
        <w:rPr/>
        <w:t>citizens assess their income level in comparison to their strata, their health would also be affected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other’s</w:t>
      </w:r>
      <w:r>
        <w:rPr>
          <w:spacing w:val="-1"/>
        </w:rPr>
        <w:t> </w:t>
      </w:r>
      <w:r>
        <w:rPr/>
        <w:t>income (Wilkinson, 1992).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60" w:right="157"/>
        <w:jc w:val="both"/>
      </w:pPr>
      <w:r>
        <w:rPr/>
        <w:t>What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unclear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pathways/mechanisms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7"/>
        </w:rPr>
        <w:t> </w:t>
      </w:r>
      <w:r>
        <w:rPr/>
        <w:t>affects</w:t>
      </w:r>
      <w:r>
        <w:rPr>
          <w:spacing w:val="-5"/>
        </w:rPr>
        <w:t> </w:t>
      </w:r>
      <w:r>
        <w:rPr/>
        <w:t>health</w:t>
      </w:r>
      <w:r>
        <w:rPr>
          <w:spacing w:val="-6"/>
        </w:rPr>
        <w:t> </w:t>
      </w:r>
      <w:r>
        <w:rPr/>
        <w:t>(Liu,</w:t>
      </w:r>
      <w:r>
        <w:rPr>
          <w:spacing w:val="-58"/>
        </w:rPr>
        <w:t> </w:t>
      </w:r>
      <w:r>
        <w:rPr>
          <w:spacing w:val="-1"/>
        </w:rPr>
        <w:t>2017:14).</w:t>
      </w:r>
      <w:r>
        <w:rPr>
          <w:spacing w:val="-13"/>
        </w:rPr>
        <w:t> </w:t>
      </w:r>
      <w:r>
        <w:rPr/>
        <w:t>Hill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</w:t>
      </w:r>
      <w:r>
        <w:rPr>
          <w:i/>
          <w:spacing w:val="-12"/>
        </w:rPr>
        <w:t> </w:t>
      </w:r>
      <w:r>
        <w:rPr/>
        <w:t>(2019)</w:t>
      </w:r>
      <w:r>
        <w:rPr>
          <w:spacing w:val="-13"/>
        </w:rPr>
        <w:t> </w:t>
      </w:r>
      <w:r>
        <w:rPr/>
        <w:t>recently</w:t>
      </w:r>
      <w:r>
        <w:rPr>
          <w:spacing w:val="-14"/>
        </w:rPr>
        <w:t> </w:t>
      </w:r>
      <w:r>
        <w:rPr/>
        <w:t>argued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ways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income</w:t>
      </w:r>
      <w:r>
        <w:rPr>
          <w:spacing w:val="-12"/>
        </w:rPr>
        <w:t> </w:t>
      </w:r>
      <w:r>
        <w:rPr/>
        <w:t>inequality</w:t>
      </w:r>
      <w:r>
        <w:rPr>
          <w:spacing w:val="-15"/>
        </w:rPr>
        <w:t> </w:t>
      </w:r>
      <w:r>
        <w:rPr/>
        <w:t>affect</w:t>
      </w:r>
      <w:r>
        <w:rPr>
          <w:spacing w:val="-12"/>
        </w:rPr>
        <w:t> </w:t>
      </w:r>
      <w:r>
        <w:rPr/>
        <w:t>health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United</w:t>
      </w:r>
      <w:r>
        <w:rPr>
          <w:spacing w:val="-57"/>
        </w:rPr>
        <w:t> </w:t>
      </w:r>
      <w:r>
        <w:rPr/>
        <w:t>States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via</w:t>
      </w:r>
      <w:r>
        <w:rPr>
          <w:spacing w:val="-4"/>
        </w:rPr>
        <w:t> </w:t>
      </w:r>
      <w:r>
        <w:rPr/>
        <w:t>air</w:t>
      </w:r>
      <w:r>
        <w:rPr>
          <w:spacing w:val="-5"/>
        </w:rPr>
        <w:t> </w:t>
      </w:r>
      <w:r>
        <w:rPr/>
        <w:t>pollution.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theory,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reasonable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think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air</w:t>
      </w:r>
      <w:r>
        <w:rPr>
          <w:spacing w:val="-6"/>
        </w:rPr>
        <w:t> </w:t>
      </w:r>
      <w:r>
        <w:rPr/>
        <w:t>pollution</w:t>
      </w:r>
      <w:r>
        <w:rPr>
          <w:spacing w:val="-5"/>
        </w:rPr>
        <w:t> </w:t>
      </w:r>
      <w:r>
        <w:rPr/>
        <w:t>in</w:t>
      </w:r>
      <w:r>
        <w:rPr>
          <w:spacing w:val="-58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countries is relative</w:t>
      </w:r>
      <w:r>
        <w:rPr>
          <w:spacing w:val="-2"/>
        </w:rPr>
        <w:t> </w:t>
      </w:r>
      <w:r>
        <w:rPr/>
        <w:t>more, because</w:t>
      </w:r>
      <w:r>
        <w:rPr>
          <w:spacing w:val="-1"/>
        </w:rPr>
        <w:t> </w:t>
      </w:r>
      <w:r>
        <w:rPr/>
        <w:t>of their</w:t>
      </w:r>
      <w:r>
        <w:rPr>
          <w:spacing w:val="-1"/>
        </w:rPr>
        <w:t> </w:t>
      </w:r>
      <w:r>
        <w:rPr/>
        <w:t>level of industrialization.</w:t>
      </w:r>
    </w:p>
    <w:p>
      <w:pPr>
        <w:pStyle w:val="BodyText"/>
        <w:spacing w:line="360" w:lineRule="auto" w:before="207"/>
        <w:ind w:left="160" w:right="155"/>
        <w:jc w:val="both"/>
      </w:pPr>
      <w:r>
        <w:rPr/>
        <w:t>All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same,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Wilkinson’s</w:t>
      </w:r>
      <w:r>
        <w:rPr>
          <w:spacing w:val="-12"/>
        </w:rPr>
        <w:t> </w:t>
      </w:r>
      <w:r>
        <w:rPr/>
        <w:t>(1992,</w:t>
      </w:r>
      <w:r>
        <w:rPr>
          <w:spacing w:val="-11"/>
        </w:rPr>
        <w:t> </w:t>
      </w:r>
      <w:r>
        <w:rPr/>
        <w:t>1994)</w:t>
      </w:r>
      <w:r>
        <w:rPr>
          <w:spacing w:val="-12"/>
        </w:rPr>
        <w:t> </w:t>
      </w:r>
      <w:r>
        <w:rPr/>
        <w:t>RIH</w:t>
      </w:r>
      <w:r>
        <w:rPr>
          <w:spacing w:val="-12"/>
        </w:rPr>
        <w:t> </w:t>
      </w:r>
      <w:r>
        <w:rPr/>
        <w:t>triggered</w:t>
      </w:r>
      <w:r>
        <w:rPr>
          <w:spacing w:val="-11"/>
        </w:rPr>
        <w:t> </w:t>
      </w:r>
      <w:r>
        <w:rPr/>
        <w:t>new</w:t>
      </w:r>
      <w:r>
        <w:rPr>
          <w:spacing w:val="-12"/>
        </w:rPr>
        <w:t> </w:t>
      </w:r>
      <w:r>
        <w:rPr/>
        <w:t>insight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income</w:t>
      </w:r>
      <w:r>
        <w:rPr>
          <w:spacing w:val="-12"/>
        </w:rPr>
        <w:t> </w:t>
      </w:r>
      <w:r>
        <w:rPr/>
        <w:t>inequality-health</w:t>
      </w:r>
      <w:r>
        <w:rPr>
          <w:spacing w:val="-58"/>
        </w:rPr>
        <w:t> </w:t>
      </w:r>
      <w:r>
        <w:rPr/>
        <w:t>links. However, the way income inequality affect health is still </w:t>
      </w:r>
      <w:r>
        <w:rPr>
          <w:i/>
        </w:rPr>
        <w:t>not clear </w:t>
      </w:r>
      <w:r>
        <w:rPr/>
        <w:t>(Truesdale, 2016; Liu,</w:t>
      </w:r>
      <w:r>
        <w:rPr>
          <w:spacing w:val="1"/>
        </w:rPr>
        <w:t> </w:t>
      </w:r>
      <w:r>
        <w:rPr/>
        <w:t>2017:14). These potential causal mechanisms largely include: political capture (Bartels, 2008,</w:t>
      </w:r>
      <w:r>
        <w:rPr>
          <w:spacing w:val="1"/>
        </w:rPr>
        <w:t> </w:t>
      </w:r>
      <w:r>
        <w:rPr/>
        <w:t>Fuentes-Nieva and Galasso, 2014; Wolf, 2015), social capital (Kragten and Rozer, 2017), socio-</w:t>
      </w:r>
      <w:r>
        <w:rPr>
          <w:spacing w:val="1"/>
        </w:rPr>
        <w:t> </w:t>
      </w:r>
      <w:r>
        <w:rPr/>
        <w:t>biological</w:t>
      </w:r>
      <w:r>
        <w:rPr>
          <w:spacing w:val="-2"/>
        </w:rPr>
        <w:t> </w:t>
      </w:r>
      <w:r>
        <w:rPr/>
        <w:t>(Brockway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>
          <w:i/>
          <w:spacing w:val="-2"/>
        </w:rPr>
        <w:t> </w:t>
      </w:r>
      <w:r>
        <w:rPr/>
        <w:t>2014),</w:t>
      </w:r>
      <w:r>
        <w:rPr>
          <w:spacing w:val="-2"/>
        </w:rPr>
        <w:t> </w:t>
      </w:r>
      <w:r>
        <w:rPr/>
        <w:t>neo-material</w:t>
      </w:r>
      <w:r>
        <w:rPr>
          <w:spacing w:val="-2"/>
        </w:rPr>
        <w:t> </w:t>
      </w:r>
      <w:r>
        <w:rPr/>
        <w:t>(Benzeval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>
          <w:i/>
          <w:spacing w:val="-2"/>
        </w:rPr>
        <w:t> </w:t>
      </w:r>
      <w:r>
        <w:rPr/>
        <w:t>2014),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psycho-social</w:t>
      </w:r>
      <w:r>
        <w:rPr>
          <w:spacing w:val="-2"/>
        </w:rPr>
        <w:t> </w:t>
      </w:r>
      <w:r>
        <w:rPr/>
        <w:t>(Lynch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2010).</w:t>
      </w:r>
    </w:p>
    <w:p>
      <w:pPr>
        <w:pStyle w:val="Heading4"/>
        <w:numPr>
          <w:ilvl w:val="2"/>
          <w:numId w:val="11"/>
        </w:numPr>
        <w:tabs>
          <w:tab w:pos="881" w:val="left" w:leader="none"/>
        </w:tabs>
        <w:spacing w:line="240" w:lineRule="auto" w:before="228" w:after="0"/>
        <w:ind w:left="880" w:right="0" w:hanging="721"/>
        <w:jc w:val="both"/>
      </w:pPr>
      <w:bookmarkStart w:name="_TOC_250051" w:id="26"/>
      <w:r>
        <w:rPr/>
        <w:t>Political</w:t>
      </w:r>
      <w:r>
        <w:rPr>
          <w:spacing w:val="-4"/>
        </w:rPr>
        <w:t> </w:t>
      </w:r>
      <w:r>
        <w:rPr/>
        <w:t>Capture</w:t>
      </w:r>
      <w:r>
        <w:rPr>
          <w:spacing w:val="-2"/>
        </w:rPr>
        <w:t> </w:t>
      </w:r>
      <w:bookmarkEnd w:id="26"/>
      <w:r>
        <w:rPr/>
        <w:t>Mechanisms</w:t>
      </w:r>
    </w:p>
    <w:p>
      <w:pPr>
        <w:pStyle w:val="BodyText"/>
        <w:spacing w:line="360" w:lineRule="auto" w:before="20"/>
        <w:ind w:left="160" w:right="156"/>
        <w:jc w:val="both"/>
      </w:pPr>
      <w:r>
        <w:rPr/>
        <w:t>The</w:t>
      </w:r>
      <w:r>
        <w:rPr>
          <w:spacing w:val="-11"/>
        </w:rPr>
        <w:t> </w:t>
      </w:r>
      <w:r>
        <w:rPr/>
        <w:t>income</w:t>
      </w:r>
      <w:r>
        <w:rPr>
          <w:spacing w:val="-11"/>
        </w:rPr>
        <w:t> </w:t>
      </w:r>
      <w:r>
        <w:rPr/>
        <w:t>inequality-health</w:t>
      </w:r>
      <w:r>
        <w:rPr>
          <w:spacing w:val="-10"/>
        </w:rPr>
        <w:t> </w:t>
      </w:r>
      <w:r>
        <w:rPr/>
        <w:t>link</w:t>
      </w:r>
      <w:r>
        <w:rPr>
          <w:spacing w:val="-9"/>
        </w:rPr>
        <w:t> </w:t>
      </w:r>
      <w:r>
        <w:rPr/>
        <w:t>relates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‘political</w:t>
      </w:r>
      <w:r>
        <w:rPr>
          <w:spacing w:val="-9"/>
        </w:rPr>
        <w:t> </w:t>
      </w:r>
      <w:r>
        <w:rPr/>
        <w:t>capture’</w:t>
      </w:r>
      <w:r>
        <w:rPr>
          <w:spacing w:val="-9"/>
        </w:rPr>
        <w:t> </w:t>
      </w:r>
      <w:r>
        <w:rPr/>
        <w:t>(Bartels,</w:t>
      </w:r>
      <w:r>
        <w:rPr>
          <w:spacing w:val="-9"/>
        </w:rPr>
        <w:t> </w:t>
      </w:r>
      <w:r>
        <w:rPr/>
        <w:t>2008;</w:t>
      </w:r>
      <w:r>
        <w:rPr>
          <w:spacing w:val="-9"/>
        </w:rPr>
        <w:t> </w:t>
      </w:r>
      <w:r>
        <w:rPr/>
        <w:t>Gilens,</w:t>
      </w:r>
      <w:r>
        <w:rPr>
          <w:spacing w:val="-10"/>
        </w:rPr>
        <w:t> </w:t>
      </w:r>
      <w:r>
        <w:rPr/>
        <w:t>2012;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Wolf,</w:t>
      </w:r>
      <w:r>
        <w:rPr>
          <w:spacing w:val="-11"/>
        </w:rPr>
        <w:t> </w:t>
      </w:r>
      <w:r>
        <w:rPr/>
        <w:t>2015:1).</w:t>
      </w:r>
      <w:r>
        <w:rPr>
          <w:spacing w:val="-11"/>
        </w:rPr>
        <w:t> </w:t>
      </w:r>
      <w:r>
        <w:rPr/>
        <w:t>Political</w:t>
      </w:r>
      <w:r>
        <w:rPr>
          <w:spacing w:val="-10"/>
        </w:rPr>
        <w:t> </w:t>
      </w:r>
      <w:r>
        <w:rPr/>
        <w:t>capture</w:t>
      </w:r>
      <w:r>
        <w:rPr>
          <w:spacing w:val="-12"/>
        </w:rPr>
        <w:t> </w:t>
      </w:r>
      <w:r>
        <w:rPr/>
        <w:t>implies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gap</w:t>
      </w:r>
      <w:r>
        <w:rPr>
          <w:spacing w:val="-11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rich</w:t>
      </w:r>
      <w:r>
        <w:rPr>
          <w:spacing w:val="-5"/>
        </w:rPr>
        <w:t> </w:t>
      </w:r>
      <w:r>
        <w:rPr/>
        <w:t>(mostly,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ruling</w:t>
      </w:r>
      <w:r>
        <w:rPr>
          <w:spacing w:val="-11"/>
        </w:rPr>
        <w:t> </w:t>
      </w:r>
      <w:r>
        <w:rPr/>
        <w:t>class)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-10"/>
        </w:rPr>
        <w:t> </w:t>
      </w:r>
      <w:r>
        <w:rPr/>
        <w:t>poor</w:t>
      </w:r>
      <w:r>
        <w:rPr>
          <w:spacing w:val="-9"/>
        </w:rPr>
        <w:t> </w:t>
      </w:r>
      <w:r>
        <w:rPr/>
        <w:t>coexists</w:t>
      </w:r>
      <w:r>
        <w:rPr>
          <w:spacing w:val="-8"/>
        </w:rPr>
        <w:t> </w:t>
      </w:r>
      <w:r>
        <w:rPr/>
        <w:t>with</w:t>
      </w:r>
      <w:r>
        <w:rPr>
          <w:spacing w:val="-11"/>
        </w:rPr>
        <w:t> </w:t>
      </w:r>
      <w:r>
        <w:rPr/>
        <w:t>less</w:t>
      </w:r>
      <w:r>
        <w:rPr>
          <w:spacing w:val="-9"/>
        </w:rPr>
        <w:t> </w:t>
      </w:r>
      <w:r>
        <w:rPr/>
        <w:t>public</w:t>
      </w:r>
      <w:r>
        <w:rPr>
          <w:spacing w:val="-10"/>
        </w:rPr>
        <w:t> </w:t>
      </w:r>
      <w:r>
        <w:rPr/>
        <w:t>goods</w:t>
      </w:r>
      <w:r>
        <w:rPr>
          <w:spacing w:val="-8"/>
        </w:rPr>
        <w:t> </w:t>
      </w:r>
      <w:r>
        <w:rPr/>
        <w:t>(for</w:t>
      </w:r>
      <w:r>
        <w:rPr>
          <w:spacing w:val="-9"/>
        </w:rPr>
        <w:t> </w:t>
      </w:r>
      <w:r>
        <w:rPr/>
        <w:t>example,</w:t>
      </w:r>
      <w:r>
        <w:rPr>
          <w:spacing w:val="-9"/>
        </w:rPr>
        <w:t> </w:t>
      </w:r>
      <w:r>
        <w:rPr/>
        <w:t>public</w:t>
      </w:r>
      <w:r>
        <w:rPr>
          <w:spacing w:val="-11"/>
        </w:rPr>
        <w:t> </w:t>
      </w:r>
      <w:r>
        <w:rPr/>
        <w:t>healthcare,</w:t>
      </w:r>
      <w:r>
        <w:rPr>
          <w:spacing w:val="-9"/>
        </w:rPr>
        <w:t> </w:t>
      </w:r>
      <w:r>
        <w:rPr/>
        <w:t>children</w:t>
      </w:r>
      <w:r>
        <w:rPr>
          <w:spacing w:val="-9"/>
        </w:rPr>
        <w:t> </w:t>
      </w:r>
      <w:r>
        <w:rPr/>
        <w:t>vaccination,</w:t>
      </w:r>
      <w:r>
        <w:rPr>
          <w:spacing w:val="-9"/>
        </w:rPr>
        <w:t> </w:t>
      </w:r>
      <w:r>
        <w:rPr/>
        <w:t>safe</w:t>
      </w:r>
      <w:r>
        <w:rPr>
          <w:spacing w:val="-58"/>
        </w:rPr>
        <w:t> </w:t>
      </w:r>
      <w:r>
        <w:rPr/>
        <w:t>water and sanitation) in turn affecting health (Lynch </w:t>
      </w:r>
      <w:r>
        <w:rPr>
          <w:i/>
        </w:rPr>
        <w:t>et al. </w:t>
      </w:r>
      <w:r>
        <w:rPr/>
        <w:t>2000). Bartels (2008) argued that most</w:t>
      </w:r>
      <w:r>
        <w:rPr>
          <w:spacing w:val="-57"/>
        </w:rPr>
        <w:t> </w:t>
      </w:r>
      <w:r>
        <w:rPr/>
        <w:t>policies</w:t>
      </w:r>
      <w:r>
        <w:rPr>
          <w:spacing w:val="10"/>
        </w:rPr>
        <w:t> </w:t>
      </w:r>
      <w:r>
        <w:rPr/>
        <w:t>pursued</w:t>
      </w:r>
      <w:r>
        <w:rPr>
          <w:spacing w:val="10"/>
        </w:rPr>
        <w:t> </w:t>
      </w:r>
      <w:r>
        <w:rPr/>
        <w:t>by</w:t>
      </w:r>
      <w:r>
        <w:rPr>
          <w:spacing w:val="9"/>
        </w:rPr>
        <w:t> </w:t>
      </w:r>
      <w:r>
        <w:rPr/>
        <w:t>government</w:t>
      </w:r>
      <w:r>
        <w:rPr>
          <w:spacing w:val="11"/>
        </w:rPr>
        <w:t> </w:t>
      </w:r>
      <w:r>
        <w:rPr/>
        <w:t>often</w:t>
      </w:r>
      <w:r>
        <w:rPr>
          <w:spacing w:val="11"/>
        </w:rPr>
        <w:t> </w:t>
      </w:r>
      <w:r>
        <w:rPr/>
        <w:t>lead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massive</w:t>
      </w:r>
      <w:r>
        <w:rPr>
          <w:spacing w:val="11"/>
        </w:rPr>
        <w:t> </w:t>
      </w:r>
      <w:r>
        <w:rPr/>
        <w:t>rise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income</w:t>
      </w:r>
      <w:r>
        <w:rPr>
          <w:spacing w:val="10"/>
        </w:rPr>
        <w:t> </w:t>
      </w:r>
      <w:r>
        <w:rPr/>
        <w:t>inequality.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17</w:t>
      </w:r>
      <w:r>
        <w:rPr>
          <w:vertAlign w:val="superscript"/>
        </w:rPr>
        <w:t>th</w:t>
      </w:r>
      <w:r>
        <w:rPr>
          <w:spacing w:val="13"/>
          <w:vertAlign w:val="baseline"/>
        </w:rPr>
        <w:t> </w:t>
      </w:r>
      <w:r>
        <w:rPr>
          <w:vertAlign w:val="baseline"/>
        </w:rPr>
        <w:t>century,</w:t>
      </w:r>
    </w:p>
    <w:p>
      <w:pPr>
        <w:spacing w:after="0" w:line="360" w:lineRule="auto"/>
        <w:jc w:val="both"/>
        <w:sectPr>
          <w:footerReference w:type="default" r:id="rId147"/>
          <w:pgSz w:w="12240" w:h="15840"/>
          <w:pgMar w:footer="1015" w:header="0" w:top="1360" w:bottom="1200" w:left="1280" w:right="1280"/>
        </w:sectPr>
      </w:pPr>
    </w:p>
    <w:p>
      <w:pPr>
        <w:pStyle w:val="BodyText"/>
        <w:spacing w:line="360" w:lineRule="auto" w:before="74"/>
        <w:ind w:left="160" w:right="158"/>
        <w:jc w:val="both"/>
      </w:pPr>
      <w:r>
        <w:rPr/>
        <w:t>Adam Smith asserted that: ‘no society can be flourishing and happy of which the far greater part</w:t>
      </w:r>
      <w:r>
        <w:rPr>
          <w:spacing w:val="1"/>
        </w:rPr>
        <w:t> </w:t>
      </w:r>
      <w:r>
        <w:rPr/>
        <w:t>of members is poor and miserable’. This assertion suggests </w:t>
      </w:r>
      <w:r>
        <w:rPr>
          <w:i/>
        </w:rPr>
        <w:t>wide </w:t>
      </w:r>
      <w:r>
        <w:rPr/>
        <w:t>gap between the wealthy- and</w:t>
      </w:r>
      <w:r>
        <w:rPr>
          <w:spacing w:val="1"/>
        </w:rPr>
        <w:t> </w:t>
      </w:r>
      <w:r>
        <w:rPr/>
        <w:t>poorer-households</w:t>
      </w:r>
      <w:r>
        <w:rPr>
          <w:spacing w:val="-1"/>
        </w:rPr>
        <w:t> </w:t>
      </w:r>
      <w:r>
        <w:rPr/>
        <w:t>related with</w:t>
      </w:r>
      <w:r>
        <w:rPr>
          <w:spacing w:val="-1"/>
        </w:rPr>
        <w:t> </w:t>
      </w:r>
      <w:r>
        <w:rPr/>
        <w:t>political capture</w:t>
      </w:r>
      <w:r>
        <w:rPr>
          <w:spacing w:val="-2"/>
        </w:rPr>
        <w:t> </w:t>
      </w:r>
      <w:r>
        <w:rPr/>
        <w:t>(see</w:t>
      </w:r>
      <w:r>
        <w:rPr>
          <w:spacing w:val="-2"/>
        </w:rPr>
        <w:t> </w:t>
      </w:r>
      <w:r>
        <w:rPr/>
        <w:t>Fuentes-Nieva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Galasso,</w:t>
      </w:r>
      <w:r>
        <w:rPr>
          <w:spacing w:val="-1"/>
        </w:rPr>
        <w:t> </w:t>
      </w:r>
      <w:r>
        <w:rPr/>
        <w:t>2014:5).</w:t>
      </w:r>
    </w:p>
    <w:p>
      <w:pPr>
        <w:pStyle w:val="BodyText"/>
        <w:spacing w:line="360" w:lineRule="auto" w:before="93"/>
        <w:ind w:left="160" w:right="155"/>
        <w:jc w:val="both"/>
      </w:pPr>
      <w:r>
        <w:rPr/>
        <w:t>The</w:t>
      </w:r>
      <w:r>
        <w:rPr>
          <w:spacing w:val="-16"/>
        </w:rPr>
        <w:t> </w:t>
      </w:r>
      <w:r>
        <w:rPr/>
        <w:t>gap</w:t>
      </w:r>
      <w:r>
        <w:rPr>
          <w:spacing w:val="-15"/>
        </w:rPr>
        <w:t> </w:t>
      </w:r>
      <w:r>
        <w:rPr/>
        <w:t>may</w:t>
      </w:r>
      <w:r>
        <w:rPr>
          <w:spacing w:val="-19"/>
        </w:rPr>
        <w:t> </w:t>
      </w:r>
      <w:r>
        <w:rPr/>
        <w:t>also</w:t>
      </w:r>
      <w:r>
        <w:rPr>
          <w:spacing w:val="-14"/>
        </w:rPr>
        <w:t> </w:t>
      </w:r>
      <w:r>
        <w:rPr/>
        <w:t>translate</w:t>
      </w:r>
      <w:r>
        <w:rPr>
          <w:spacing w:val="-16"/>
        </w:rPr>
        <w:t> </w:t>
      </w:r>
      <w:r>
        <w:rPr/>
        <w:t>into</w:t>
      </w:r>
      <w:r>
        <w:rPr>
          <w:spacing w:val="-14"/>
        </w:rPr>
        <w:t> </w:t>
      </w:r>
      <w:r>
        <w:rPr/>
        <w:t>less</w:t>
      </w:r>
      <w:r>
        <w:rPr>
          <w:spacing w:val="-15"/>
        </w:rPr>
        <w:t> </w:t>
      </w:r>
      <w:r>
        <w:rPr/>
        <w:t>public</w:t>
      </w:r>
      <w:r>
        <w:rPr>
          <w:spacing w:val="-16"/>
        </w:rPr>
        <w:t> </w:t>
      </w:r>
      <w:r>
        <w:rPr/>
        <w:t>spending</w:t>
      </w:r>
      <w:r>
        <w:rPr>
          <w:spacing w:val="-16"/>
        </w:rPr>
        <w:t> </w:t>
      </w:r>
      <w:r>
        <w:rPr/>
        <w:t>as</w:t>
      </w:r>
      <w:r>
        <w:rPr>
          <w:spacing w:val="-15"/>
        </w:rPr>
        <w:t> </w:t>
      </w:r>
      <w:r>
        <w:rPr/>
        <w:t>income</w:t>
      </w:r>
      <w:r>
        <w:rPr>
          <w:spacing w:val="-15"/>
        </w:rPr>
        <w:t> </w:t>
      </w:r>
      <w:r>
        <w:rPr/>
        <w:t>inequality</w:t>
      </w:r>
      <w:r>
        <w:rPr>
          <w:spacing w:val="-22"/>
        </w:rPr>
        <w:t> </w:t>
      </w:r>
      <w:r>
        <w:rPr/>
        <w:t>may</w:t>
      </w:r>
      <w:r>
        <w:rPr>
          <w:spacing w:val="-20"/>
        </w:rPr>
        <w:t> </w:t>
      </w:r>
      <w:r>
        <w:rPr/>
        <w:t>increase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political</w:t>
      </w:r>
      <w:r>
        <w:rPr>
          <w:spacing w:val="-58"/>
        </w:rPr>
        <w:t> </w:t>
      </w:r>
      <w:r>
        <w:rPr/>
        <w:t>influence of the few rich citizens. If their policy preferences restrict health-related public goods,</w:t>
      </w:r>
      <w:r>
        <w:rPr>
          <w:spacing w:val="1"/>
        </w:rPr>
        <w:t> </w:t>
      </w:r>
      <w:r>
        <w:rPr/>
        <w:t>the health outcomes of the poor citizens may be worsened (Gilens, 2012). In developing nations,</w:t>
      </w:r>
      <w:r>
        <w:rPr>
          <w:spacing w:val="1"/>
        </w:rPr>
        <w:t> </w:t>
      </w:r>
      <w:r>
        <w:rPr/>
        <w:t>public infrastructures are generally paramount to health. Although Fuentes-Nieva and Galasso</w:t>
      </w:r>
      <w:r>
        <w:rPr>
          <w:spacing w:val="1"/>
        </w:rPr>
        <w:t> </w:t>
      </w:r>
      <w:r>
        <w:rPr/>
        <w:t>(2014)</w:t>
      </w:r>
      <w:r>
        <w:rPr>
          <w:spacing w:val="-7"/>
        </w:rPr>
        <w:t> </w:t>
      </w:r>
      <w:r>
        <w:rPr/>
        <w:t>argued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10"/>
        </w:rPr>
        <w:t> </w:t>
      </w:r>
      <w:r>
        <w:rPr/>
        <w:t>is</w:t>
      </w:r>
      <w:r>
        <w:rPr>
          <w:spacing w:val="-3"/>
        </w:rPr>
        <w:t> </w:t>
      </w:r>
      <w:r>
        <w:rPr/>
        <w:t>good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growth,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it</w:t>
      </w:r>
      <w:r>
        <w:rPr>
          <w:spacing w:val="-2"/>
        </w:rPr>
        <w:t> </w:t>
      </w:r>
      <w:r>
        <w:rPr/>
        <w:t>rewards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talent,</w:t>
      </w:r>
      <w:r>
        <w:rPr>
          <w:spacing w:val="-58"/>
        </w:rPr>
        <w:t> </w:t>
      </w:r>
      <w:r>
        <w:rPr/>
        <w:t>hard earned skills, and the ambition to innovate and take entrepreneurial risks. However, extreme</w:t>
      </w:r>
      <w:r>
        <w:rPr>
          <w:spacing w:val="-57"/>
        </w:rPr>
        <w:t> </w:t>
      </w:r>
      <w:r>
        <w:rPr/>
        <w:t>levels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wealth</w:t>
      </w:r>
      <w:r>
        <w:rPr>
          <w:spacing w:val="-3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excludes</w:t>
      </w:r>
      <w:r>
        <w:rPr>
          <w:spacing w:val="-4"/>
        </w:rPr>
        <w:t> </w:t>
      </w:r>
      <w:r>
        <w:rPr/>
        <w:t>hundreds of</w:t>
      </w:r>
      <w:r>
        <w:rPr>
          <w:spacing w:val="-4"/>
        </w:rPr>
        <w:t> </w:t>
      </w:r>
      <w:r>
        <w:rPr/>
        <w:t>millions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realizing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benefits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talents and hard</w:t>
      </w:r>
      <w:r>
        <w:rPr>
          <w:spacing w:val="1"/>
        </w:rPr>
        <w:t> </w:t>
      </w:r>
      <w:r>
        <w:rPr/>
        <w:t>work is bad to health outcomes.</w:t>
      </w:r>
    </w:p>
    <w:p>
      <w:pPr>
        <w:pStyle w:val="Heading4"/>
        <w:numPr>
          <w:ilvl w:val="2"/>
          <w:numId w:val="11"/>
        </w:numPr>
        <w:tabs>
          <w:tab w:pos="881" w:val="left" w:leader="none"/>
        </w:tabs>
        <w:spacing w:line="240" w:lineRule="auto" w:before="121" w:after="0"/>
        <w:ind w:left="880" w:right="0" w:hanging="721"/>
        <w:jc w:val="both"/>
      </w:pPr>
      <w:bookmarkStart w:name="_TOC_250050" w:id="27"/>
      <w:r>
        <w:rPr/>
        <w:t>Social</w:t>
      </w:r>
      <w:r>
        <w:rPr>
          <w:spacing w:val="-3"/>
        </w:rPr>
        <w:t> </w:t>
      </w:r>
      <w:r>
        <w:rPr/>
        <w:t>Capital</w:t>
      </w:r>
      <w:r>
        <w:rPr>
          <w:spacing w:val="-2"/>
        </w:rPr>
        <w:t> </w:t>
      </w:r>
      <w:bookmarkEnd w:id="27"/>
      <w:r>
        <w:rPr/>
        <w:t>Mechanisms</w:t>
      </w:r>
    </w:p>
    <w:p>
      <w:pPr>
        <w:pStyle w:val="BodyText"/>
        <w:spacing w:line="360" w:lineRule="auto" w:before="132"/>
        <w:ind w:left="160" w:right="152"/>
        <w:jc w:val="both"/>
      </w:pPr>
      <w:r>
        <w:rPr/>
        <w:t>The</w:t>
      </w:r>
      <w:r>
        <w:rPr>
          <w:spacing w:val="-5"/>
        </w:rPr>
        <w:t> </w:t>
      </w:r>
      <w:r>
        <w:rPr/>
        <w:t>widening</w:t>
      </w:r>
      <w:r>
        <w:rPr>
          <w:spacing w:val="-3"/>
        </w:rPr>
        <w:t> </w:t>
      </w:r>
      <w:r>
        <w:rPr/>
        <w:t>gap</w:t>
      </w:r>
      <w:r>
        <w:rPr>
          <w:spacing w:val="-1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high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low-income</w:t>
      </w:r>
      <w:r>
        <w:rPr>
          <w:spacing w:val="-3"/>
        </w:rPr>
        <w:t> </w:t>
      </w:r>
      <w:r>
        <w:rPr/>
        <w:t>earners</w:t>
      </w:r>
      <w:r>
        <w:rPr>
          <w:spacing w:val="-3"/>
        </w:rPr>
        <w:t> </w:t>
      </w:r>
      <w:r>
        <w:rPr/>
        <w:t>might</w:t>
      </w:r>
      <w:r>
        <w:rPr>
          <w:spacing w:val="-3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fabric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57"/>
        </w:rPr>
        <w:t> </w:t>
      </w:r>
      <w:r>
        <w:rPr/>
        <w:t>society through reduing social trust. Consequently, declines of </w:t>
      </w:r>
      <w:r>
        <w:rPr>
          <w:i/>
        </w:rPr>
        <w:t>social capital</w:t>
      </w:r>
      <w:r>
        <w:rPr/>
        <w:t>. Income inequality</w:t>
      </w:r>
      <w:r>
        <w:rPr>
          <w:spacing w:val="1"/>
        </w:rPr>
        <w:t> </w:t>
      </w:r>
      <w:r>
        <w:rPr/>
        <w:t>affects</w:t>
      </w:r>
      <w:r>
        <w:rPr>
          <w:spacing w:val="-13"/>
        </w:rPr>
        <w:t> </w:t>
      </w:r>
      <w:r>
        <w:rPr/>
        <w:t>social</w:t>
      </w:r>
      <w:r>
        <w:rPr>
          <w:spacing w:val="-13"/>
        </w:rPr>
        <w:t> </w:t>
      </w:r>
      <w:r>
        <w:rPr/>
        <w:t>trust</w:t>
      </w:r>
      <w:r>
        <w:rPr>
          <w:spacing w:val="-13"/>
        </w:rPr>
        <w:t> </w:t>
      </w:r>
      <w:r>
        <w:rPr/>
        <w:t>because</w:t>
      </w:r>
      <w:r>
        <w:rPr>
          <w:spacing w:val="-14"/>
        </w:rPr>
        <w:t> </w:t>
      </w:r>
      <w:r>
        <w:rPr/>
        <w:t>it</w:t>
      </w:r>
      <w:r>
        <w:rPr>
          <w:spacing w:val="-13"/>
        </w:rPr>
        <w:t> </w:t>
      </w:r>
      <w:r>
        <w:rPr/>
        <w:t>creates</w:t>
      </w:r>
      <w:r>
        <w:rPr>
          <w:spacing w:val="-14"/>
        </w:rPr>
        <w:t> </w:t>
      </w:r>
      <w:r>
        <w:rPr/>
        <w:t>differences</w:t>
      </w:r>
      <w:r>
        <w:rPr>
          <w:spacing w:val="-13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citizens</w:t>
      </w:r>
      <w:r>
        <w:rPr>
          <w:spacing w:val="-13"/>
        </w:rPr>
        <w:t> </w:t>
      </w:r>
      <w:r>
        <w:rPr/>
        <w:t>(Kragten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Rozer,</w:t>
      </w:r>
      <w:r>
        <w:rPr>
          <w:spacing w:val="-14"/>
        </w:rPr>
        <w:t> </w:t>
      </w:r>
      <w:r>
        <w:rPr/>
        <w:t>2017:1017).</w:t>
      </w:r>
      <w:r>
        <w:rPr>
          <w:spacing w:val="-58"/>
        </w:rPr>
        <w:t> </w:t>
      </w:r>
      <w:r>
        <w:rPr/>
        <w:t>It also raises </w:t>
      </w:r>
      <w:r>
        <w:rPr>
          <w:i/>
        </w:rPr>
        <w:t>social dysfunctions </w:t>
      </w:r>
      <w:r>
        <w:rPr/>
        <w:t>(theft, kidnaping, insecurities and violent crimes). This in turn</w:t>
      </w:r>
      <w:r>
        <w:rPr>
          <w:spacing w:val="1"/>
        </w:rPr>
        <w:t> </w:t>
      </w:r>
      <w:r>
        <w:rPr/>
        <w:t>increases fear and shock which may leads to ailments such as heart-attack, stroke, hypertension</w:t>
      </w:r>
      <w:r>
        <w:rPr>
          <w:spacing w:val="1"/>
        </w:rPr>
        <w:t> </w:t>
      </w:r>
      <w:r>
        <w:rPr/>
        <w:t>and death (Kawachi </w:t>
      </w:r>
      <w:r>
        <w:rPr>
          <w:i/>
        </w:rPr>
        <w:t>et al. </w:t>
      </w:r>
      <w:r>
        <w:rPr/>
        <w:t>1997). Income inequality often affects health resulting from </w:t>
      </w:r>
      <w:r>
        <w:rPr>
          <w:i/>
        </w:rPr>
        <w:t>decay of</w:t>
      </w:r>
      <w:r>
        <w:rPr>
          <w:i/>
          <w:spacing w:val="1"/>
        </w:rPr>
        <w:t> </w:t>
      </w:r>
      <w:r>
        <w:rPr>
          <w:i/>
        </w:rPr>
        <w:t>social capital </w:t>
      </w:r>
      <w:r>
        <w:rPr/>
        <w:t>as it frays the social fabric, reducing social capital and mutual trust among citizens</w:t>
      </w:r>
      <w:r>
        <w:rPr>
          <w:spacing w:val="1"/>
        </w:rPr>
        <w:t> </w:t>
      </w:r>
      <w:r>
        <w:rPr/>
        <w:t>(Wilkinson</w:t>
      </w:r>
      <w:r>
        <w:rPr>
          <w:spacing w:val="-1"/>
        </w:rPr>
        <w:t> </w:t>
      </w:r>
      <w:r>
        <w:rPr>
          <w:i/>
        </w:rPr>
        <w:t>et al. </w:t>
      </w:r>
      <w:r>
        <w:rPr/>
        <w:t>2010).</w:t>
      </w:r>
    </w:p>
    <w:p>
      <w:pPr>
        <w:pStyle w:val="BodyText"/>
        <w:spacing w:line="360" w:lineRule="auto" w:before="185"/>
        <w:ind w:left="160" w:right="156"/>
        <w:jc w:val="both"/>
      </w:pPr>
      <w:r>
        <w:rPr>
          <w:spacing w:val="-1"/>
        </w:rPr>
        <w:t>Finally,</w:t>
      </w:r>
      <w:r>
        <w:rPr>
          <w:spacing w:val="-12"/>
        </w:rPr>
        <w:t> </w:t>
      </w:r>
      <w:r>
        <w:rPr>
          <w:spacing w:val="-1"/>
        </w:rPr>
        <w:t>income</w:t>
      </w:r>
      <w:r>
        <w:rPr>
          <w:spacing w:val="-13"/>
        </w:rPr>
        <w:t> </w:t>
      </w:r>
      <w:r>
        <w:rPr/>
        <w:t>inequality</w:t>
      </w:r>
      <w:r>
        <w:rPr>
          <w:spacing w:val="-15"/>
        </w:rPr>
        <w:t> </w:t>
      </w:r>
      <w:r>
        <w:rPr/>
        <w:t>creates</w:t>
      </w:r>
      <w:r>
        <w:rPr>
          <w:spacing w:val="-11"/>
        </w:rPr>
        <w:t> </w:t>
      </w:r>
      <w:r>
        <w:rPr/>
        <w:t>distrust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individual</w:t>
      </w:r>
      <w:r>
        <w:rPr>
          <w:spacing w:val="-12"/>
        </w:rPr>
        <w:t> </w:t>
      </w:r>
      <w:r>
        <w:rPr/>
        <w:t>level,</w:t>
      </w:r>
      <w:r>
        <w:rPr>
          <w:spacing w:val="-12"/>
        </w:rPr>
        <w:t> </w:t>
      </w:r>
      <w:r>
        <w:rPr/>
        <w:t>translating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anti-social</w:t>
      </w:r>
      <w:r>
        <w:rPr>
          <w:spacing w:val="-12"/>
        </w:rPr>
        <w:t> </w:t>
      </w:r>
      <w:r>
        <w:rPr/>
        <w:t>behavior</w:t>
      </w:r>
      <w:r>
        <w:rPr>
          <w:spacing w:val="-57"/>
        </w:rPr>
        <w:t> </w:t>
      </w:r>
      <w:r>
        <w:rPr/>
        <w:t>and reduced civic participation. This weak social relation may have health consequences because</w:t>
      </w:r>
      <w:r>
        <w:rPr>
          <w:spacing w:val="-57"/>
        </w:rPr>
        <w:t> </w:t>
      </w:r>
      <w:r>
        <w:rPr/>
        <w:t>socially integrated people have been shown to display increased immunological resistance to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diseases while</w:t>
      </w:r>
      <w:r>
        <w:rPr>
          <w:spacing w:val="-2"/>
        </w:rPr>
        <w:t> </w:t>
      </w:r>
      <w:r>
        <w:rPr/>
        <w:t>social isolation</w:t>
      </w:r>
      <w:r>
        <w:rPr>
          <w:spacing w:val="-1"/>
        </w:rPr>
        <w:t> </w:t>
      </w:r>
      <w:r>
        <w:rPr/>
        <w:t>is related</w:t>
      </w:r>
      <w:r>
        <w:rPr>
          <w:spacing w:val="-1"/>
        </w:rPr>
        <w:t> </w:t>
      </w:r>
      <w:r>
        <w:rPr/>
        <w:t>with unhappiness</w:t>
      </w:r>
      <w:r>
        <w:rPr>
          <w:spacing w:val="-1"/>
        </w:rPr>
        <w:t> </w:t>
      </w:r>
      <w:r>
        <w:rPr/>
        <w:t>(Pabayo,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2013).</w:t>
      </w:r>
    </w:p>
    <w:p>
      <w:pPr>
        <w:pStyle w:val="Heading4"/>
        <w:numPr>
          <w:ilvl w:val="2"/>
          <w:numId w:val="11"/>
        </w:numPr>
        <w:tabs>
          <w:tab w:pos="881" w:val="left" w:leader="none"/>
        </w:tabs>
        <w:spacing w:line="240" w:lineRule="auto" w:before="227" w:after="0"/>
        <w:ind w:left="880" w:right="0" w:hanging="721"/>
        <w:jc w:val="both"/>
      </w:pPr>
      <w:bookmarkStart w:name="_TOC_250049" w:id="28"/>
      <w:r>
        <w:rPr/>
        <w:t>Neo-material</w:t>
      </w:r>
      <w:r>
        <w:rPr>
          <w:spacing w:val="-5"/>
        </w:rPr>
        <w:t> </w:t>
      </w:r>
      <w:bookmarkEnd w:id="28"/>
      <w:r>
        <w:rPr/>
        <w:t>Mechanisms</w:t>
      </w:r>
    </w:p>
    <w:p>
      <w:pPr>
        <w:pStyle w:val="BodyText"/>
        <w:spacing w:line="360" w:lineRule="auto" w:before="19"/>
        <w:ind w:left="160" w:right="157"/>
        <w:jc w:val="both"/>
      </w:pPr>
      <w:r>
        <w:rPr/>
        <w:t>The neo-material mechanism as suggested by Lynch </w:t>
      </w:r>
      <w:r>
        <w:rPr>
          <w:i/>
        </w:rPr>
        <w:t>et al. </w:t>
      </w:r>
      <w:r>
        <w:rPr/>
        <w:t>(2000) explains that, any society with</w:t>
      </w:r>
      <w:r>
        <w:rPr>
          <w:spacing w:val="1"/>
        </w:rPr>
        <w:t> </w:t>
      </w:r>
      <w:r>
        <w:rPr>
          <w:spacing w:val="-1"/>
        </w:rPr>
        <w:t>greater</w:t>
      </w:r>
      <w:r>
        <w:rPr>
          <w:spacing w:val="-13"/>
        </w:rPr>
        <w:t> </w:t>
      </w:r>
      <w:r>
        <w:rPr>
          <w:spacing w:val="-1"/>
        </w:rPr>
        <w:t>income</w:t>
      </w:r>
      <w:r>
        <w:rPr>
          <w:spacing w:val="-13"/>
        </w:rPr>
        <w:t> </w:t>
      </w:r>
      <w:r>
        <w:rPr/>
        <w:t>disparity</w:t>
      </w:r>
      <w:r>
        <w:rPr>
          <w:spacing w:val="-16"/>
        </w:rPr>
        <w:t> </w:t>
      </w:r>
      <w:r>
        <w:rPr/>
        <w:t>will</w:t>
      </w:r>
      <w:r>
        <w:rPr>
          <w:spacing w:val="-12"/>
        </w:rPr>
        <w:t> </w:t>
      </w:r>
      <w:r>
        <w:rPr/>
        <w:t>have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higher</w:t>
      </w:r>
      <w:r>
        <w:rPr>
          <w:spacing w:val="-13"/>
        </w:rPr>
        <w:t> </w:t>
      </w:r>
      <w:r>
        <w:rPr/>
        <w:t>number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citizens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low</w:t>
      </w:r>
      <w:r>
        <w:rPr>
          <w:spacing w:val="-15"/>
        </w:rPr>
        <w:t> </w:t>
      </w:r>
      <w:r>
        <w:rPr/>
        <w:t>incomes.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limits</w:t>
      </w:r>
      <w:r>
        <w:rPr>
          <w:spacing w:val="-15"/>
        </w:rPr>
        <w:t> </w:t>
      </w:r>
      <w:r>
        <w:rPr/>
        <w:t>access</w:t>
      </w:r>
      <w:r>
        <w:rPr>
          <w:spacing w:val="-57"/>
        </w:rPr>
        <w:t> </w:t>
      </w:r>
      <w:r>
        <w:rPr/>
        <w:t>to education, employment, healthcare and healthy housing, etc. Further, individuals living in the</w:t>
      </w:r>
      <w:r>
        <w:rPr>
          <w:spacing w:val="1"/>
        </w:rPr>
        <w:t> </w:t>
      </w:r>
      <w:r>
        <w:rPr/>
        <w:t>most income-deprived societies may be more exposed to pollution (Bhattacharjee </w:t>
      </w:r>
      <w:r>
        <w:rPr>
          <w:i/>
        </w:rPr>
        <w:t>et al., </w:t>
      </w:r>
      <w:r>
        <w:rPr/>
        <w:t>2014).</w:t>
      </w:r>
      <w:r>
        <w:rPr>
          <w:spacing w:val="1"/>
        </w:rPr>
        <w:t> </w:t>
      </w:r>
      <w:r>
        <w:rPr/>
        <w:t>Income</w:t>
      </w:r>
      <w:r>
        <w:rPr>
          <w:spacing w:val="4"/>
        </w:rPr>
        <w:t> </w:t>
      </w:r>
      <w:r>
        <w:rPr/>
        <w:t>inequality</w:t>
      </w:r>
      <w:r>
        <w:rPr>
          <w:spacing w:val="1"/>
        </w:rPr>
        <w:t> </w:t>
      </w:r>
      <w:r>
        <w:rPr/>
        <w:t>implies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fewer</w:t>
      </w:r>
      <w:r>
        <w:rPr>
          <w:spacing w:val="5"/>
        </w:rPr>
        <w:t> </w:t>
      </w:r>
      <w:r>
        <w:rPr/>
        <w:t>economic</w:t>
      </w:r>
      <w:r>
        <w:rPr>
          <w:spacing w:val="4"/>
        </w:rPr>
        <w:t> </w:t>
      </w:r>
      <w:r>
        <w:rPr/>
        <w:t>resources</w:t>
      </w:r>
      <w:r>
        <w:rPr>
          <w:spacing w:val="6"/>
        </w:rPr>
        <w:t> </w:t>
      </w:r>
      <w:r>
        <w:rPr/>
        <w:t>reach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most</w:t>
      </w:r>
      <w:r>
        <w:rPr>
          <w:spacing w:val="6"/>
        </w:rPr>
        <w:t> </w:t>
      </w:r>
      <w:r>
        <w:rPr/>
        <w:t>vulnerable</w:t>
      </w:r>
      <w:r>
        <w:rPr>
          <w:spacing w:val="6"/>
        </w:rPr>
        <w:t> </w:t>
      </w:r>
      <w:r>
        <w:rPr/>
        <w:t>groups.</w:t>
      </w:r>
      <w:r>
        <w:rPr>
          <w:spacing w:val="5"/>
        </w:rPr>
        <w:t> </w:t>
      </w:r>
      <w:r>
        <w:rPr/>
        <w:t>This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64"/>
        <w:jc w:val="both"/>
      </w:pPr>
      <w:r>
        <w:rPr/>
        <w:t>thereby reduces their capacity to mitigate risk, address injuries and/or diseases, and to prevent</w:t>
      </w:r>
      <w:r>
        <w:rPr>
          <w:spacing w:val="1"/>
        </w:rPr>
        <w:t> </w:t>
      </w:r>
      <w:r>
        <w:rPr/>
        <w:t>ailments</w:t>
      </w:r>
      <w:r>
        <w:rPr>
          <w:spacing w:val="-1"/>
        </w:rPr>
        <w:t> </w:t>
      </w:r>
      <w:r>
        <w:rPr/>
        <w:t>(Macinko </w:t>
      </w:r>
      <w:r>
        <w:rPr>
          <w:i/>
        </w:rPr>
        <w:t>et al.</w:t>
      </w:r>
      <w:r>
        <w:rPr>
          <w:i/>
          <w:spacing w:val="3"/>
        </w:rPr>
        <w:t> </w:t>
      </w:r>
      <w:r>
        <w:rPr/>
        <w:t>2003:416).</w:t>
      </w:r>
    </w:p>
    <w:p>
      <w:pPr>
        <w:pStyle w:val="BodyText"/>
        <w:spacing w:line="360" w:lineRule="auto" w:before="185"/>
        <w:ind w:left="160" w:right="156"/>
        <w:jc w:val="both"/>
      </w:pPr>
      <w:r>
        <w:rPr/>
        <w:t>Interestingly,</w:t>
      </w:r>
      <w:r>
        <w:rPr>
          <w:spacing w:val="-7"/>
        </w:rPr>
        <w:t> </w:t>
      </w:r>
      <w:r>
        <w:rPr/>
        <w:t>health</w:t>
      </w:r>
      <w:r>
        <w:rPr>
          <w:spacing w:val="-9"/>
        </w:rPr>
        <w:t> </w:t>
      </w:r>
      <w:r>
        <w:rPr/>
        <w:t>outcomes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citizens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often</w:t>
      </w:r>
      <w:r>
        <w:rPr>
          <w:spacing w:val="-7"/>
        </w:rPr>
        <w:t> </w:t>
      </w:r>
      <w:r>
        <w:rPr/>
        <w:t>predicted</w:t>
      </w:r>
      <w:r>
        <w:rPr>
          <w:spacing w:val="-9"/>
        </w:rPr>
        <w:t> </w:t>
      </w:r>
      <w:r>
        <w:rPr/>
        <w:t>by</w:t>
      </w:r>
      <w:r>
        <w:rPr>
          <w:spacing w:val="-13"/>
        </w:rPr>
        <w:t> </w:t>
      </w:r>
      <w:r>
        <w:rPr/>
        <w:t>various</w:t>
      </w:r>
      <w:r>
        <w:rPr>
          <w:spacing w:val="-9"/>
        </w:rPr>
        <w:t> </w:t>
      </w:r>
      <w:r>
        <w:rPr/>
        <w:t>factors</w:t>
      </w:r>
      <w:r>
        <w:rPr>
          <w:spacing w:val="-9"/>
        </w:rPr>
        <w:t> </w:t>
      </w:r>
      <w:r>
        <w:rPr/>
        <w:t>(Grossman,</w:t>
      </w:r>
      <w:r>
        <w:rPr>
          <w:spacing w:val="-8"/>
        </w:rPr>
        <w:t> </w:t>
      </w:r>
      <w:r>
        <w:rPr/>
        <w:t>1972).</w:t>
      </w:r>
      <w:r>
        <w:rPr>
          <w:spacing w:val="-58"/>
        </w:rPr>
        <w:t> </w:t>
      </w:r>
      <w:r>
        <w:rPr/>
        <w:t>These</w:t>
      </w:r>
      <w:r>
        <w:rPr>
          <w:spacing w:val="-7"/>
        </w:rPr>
        <w:t> </w:t>
      </w:r>
      <w:r>
        <w:rPr/>
        <w:t>include</w:t>
      </w:r>
      <w:r>
        <w:rPr>
          <w:spacing w:val="-7"/>
        </w:rPr>
        <w:t> </w:t>
      </w:r>
      <w:r>
        <w:rPr/>
        <w:t>clothing,</w:t>
      </w:r>
      <w:r>
        <w:rPr>
          <w:spacing w:val="-5"/>
        </w:rPr>
        <w:t> </w:t>
      </w:r>
      <w:r>
        <w:rPr/>
        <w:t>housing</w:t>
      </w:r>
      <w:r>
        <w:rPr>
          <w:spacing w:val="-9"/>
        </w:rPr>
        <w:t> </w:t>
      </w:r>
      <w:r>
        <w:rPr/>
        <w:t>conditions,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healthy</w:t>
      </w:r>
      <w:r>
        <w:rPr>
          <w:spacing w:val="-11"/>
        </w:rPr>
        <w:t> </w:t>
      </w:r>
      <w:r>
        <w:rPr/>
        <w:t>calorie/diet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are</w:t>
      </w:r>
      <w:r>
        <w:rPr>
          <w:spacing w:val="-8"/>
        </w:rPr>
        <w:t> </w:t>
      </w:r>
      <w:r>
        <w:rPr/>
        <w:t>also</w:t>
      </w:r>
      <w:r>
        <w:rPr>
          <w:spacing w:val="-6"/>
        </w:rPr>
        <w:t> </w:t>
      </w:r>
      <w:r>
        <w:rPr/>
        <w:t>called</w:t>
      </w:r>
      <w:r>
        <w:rPr>
          <w:spacing w:val="-5"/>
        </w:rPr>
        <w:t> </w:t>
      </w:r>
      <w:r>
        <w:rPr/>
        <w:t>material</w:t>
      </w:r>
      <w:r>
        <w:rPr>
          <w:spacing w:val="-58"/>
        </w:rPr>
        <w:t> </w:t>
      </w:r>
      <w:r>
        <w:rPr/>
        <w:t>(see</w:t>
      </w:r>
      <w:r>
        <w:rPr>
          <w:spacing w:val="-7"/>
        </w:rPr>
        <w:t> </w:t>
      </w:r>
      <w:r>
        <w:rPr/>
        <w:t>Lundberg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</w:t>
      </w:r>
      <w:r>
        <w:rPr>
          <w:i/>
          <w:spacing w:val="-7"/>
        </w:rPr>
        <w:t> </w:t>
      </w:r>
      <w:r>
        <w:rPr/>
        <w:t>2010;</w:t>
      </w:r>
      <w:r>
        <w:rPr>
          <w:spacing w:val="-7"/>
        </w:rPr>
        <w:t> </w:t>
      </w:r>
      <w:r>
        <w:rPr/>
        <w:t>Benzeval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</w:t>
      </w:r>
      <w:r>
        <w:rPr>
          <w:i/>
          <w:spacing w:val="-7"/>
        </w:rPr>
        <w:t> </w:t>
      </w:r>
      <w:r>
        <w:rPr/>
        <w:t>2014).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implies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status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individuals</w:t>
      </w:r>
      <w:r>
        <w:rPr>
          <w:spacing w:val="-7"/>
        </w:rPr>
        <w:t> </w:t>
      </w:r>
      <w:r>
        <w:rPr/>
        <w:t>(</w:t>
      </w: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𝑡</w:t>
      </w:r>
      <w:r>
        <w:rPr>
          <w:vertAlign w:val="baseline"/>
        </w:rPr>
        <w:t>)</w:t>
      </w:r>
      <w:r>
        <w:rPr>
          <w:spacing w:val="-58"/>
          <w:vertAlign w:val="baseline"/>
        </w:rPr>
        <w:t> </w:t>
      </w:r>
      <w:r>
        <w:rPr>
          <w:vertAlign w:val="baseline"/>
        </w:rPr>
        <w:t>depreciate during their lifetime (when important health-enhancing goods and services are lacking</w:t>
      </w:r>
      <w:r>
        <w:rPr>
          <w:spacing w:val="-57"/>
          <w:vertAlign w:val="baseline"/>
        </w:rPr>
        <w:t> </w:t>
      </w:r>
      <w:r>
        <w:rPr>
          <w:vertAlign w:val="baseline"/>
        </w:rPr>
        <w:t>or inadequate). But individuals can invest in their health to offset this depreciation (Grossman,</w:t>
      </w:r>
      <w:r>
        <w:rPr>
          <w:spacing w:val="1"/>
          <w:vertAlign w:val="baseline"/>
        </w:rPr>
        <w:t> </w:t>
      </w:r>
      <w:r>
        <w:rPr>
          <w:vertAlign w:val="baseline"/>
        </w:rPr>
        <w:t>1972,</w:t>
      </w:r>
      <w:r>
        <w:rPr>
          <w:spacing w:val="-1"/>
          <w:vertAlign w:val="baseline"/>
        </w:rPr>
        <w:t> </w:t>
      </w:r>
      <w:r>
        <w:rPr>
          <w:vertAlign w:val="baseline"/>
        </w:rPr>
        <w:t>2000;</w:t>
      </w:r>
      <w:r>
        <w:rPr>
          <w:spacing w:val="-5"/>
          <w:vertAlign w:val="baseline"/>
        </w:rPr>
        <w:t> </w:t>
      </w:r>
      <w:r>
        <w:rPr>
          <w:vertAlign w:val="baseline"/>
        </w:rPr>
        <w:t>Berkman</w:t>
      </w:r>
      <w:r>
        <w:rPr>
          <w:spacing w:val="-5"/>
          <w:vertAlign w:val="baseline"/>
        </w:rPr>
        <w:t> </w:t>
      </w:r>
      <w:r>
        <w:rPr>
          <w:i/>
          <w:sz w:val="22"/>
          <w:vertAlign w:val="baseline"/>
        </w:rPr>
        <w:t>et</w:t>
      </w:r>
      <w:r>
        <w:rPr>
          <w:i/>
          <w:spacing w:val="1"/>
          <w:sz w:val="22"/>
          <w:vertAlign w:val="baseline"/>
        </w:rPr>
        <w:t> </w:t>
      </w:r>
      <w:r>
        <w:rPr>
          <w:i/>
          <w:sz w:val="22"/>
          <w:vertAlign w:val="baseline"/>
        </w:rPr>
        <w:t>al.</w:t>
      </w:r>
      <w:r>
        <w:rPr>
          <w:i/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2000</w:t>
      </w:r>
      <w:r>
        <w:rPr>
          <w:vertAlign w:val="baseline"/>
        </w:rPr>
        <w:t>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before="185"/>
        <w:ind w:left="160"/>
      </w:pPr>
      <w:r>
        <w:rPr/>
        <w:t>Such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tabs>
          <w:tab w:pos="6641" w:val="left" w:leader="none"/>
        </w:tabs>
        <w:spacing w:before="251"/>
        <w:ind w:left="160"/>
      </w:pPr>
      <w:r>
        <w:rPr>
          <w:rFonts w:ascii="Cambria Math" w:eastAsia="Cambria Math"/>
          <w:w w:val="105"/>
        </w:rPr>
        <w:t>𝐻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1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5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𝛿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w w:val="105"/>
          <w:vertAlign w:val="baseline"/>
        </w:rPr>
        <w:t>𝐻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4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𝐼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(3.1)</w:t>
      </w:r>
    </w:p>
    <w:p>
      <w:pPr>
        <w:spacing w:after="0"/>
        <w:sectPr>
          <w:type w:val="continuous"/>
          <w:pgSz w:w="12240" w:h="15840"/>
          <w:pgMar w:top="1380" w:bottom="280" w:left="1280" w:right="1280"/>
          <w:cols w:num="2" w:equalWidth="0">
            <w:col w:w="1167" w:space="272"/>
            <w:col w:w="8241"/>
          </w:cols>
        </w:sectPr>
      </w:pPr>
    </w:p>
    <w:p>
      <w:pPr>
        <w:pStyle w:val="BodyText"/>
        <w:spacing w:line="352" w:lineRule="auto" w:before="141"/>
        <w:ind w:left="160" w:right="155"/>
        <w:jc w:val="both"/>
      </w:pPr>
      <w:r>
        <w:rPr/>
        <w:t>where </w:t>
      </w: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denotes citizens’ healthiness at current period; </w:t>
      </w:r>
      <w:r>
        <w:rPr>
          <w:rFonts w:ascii="Cambria Math" w:hAnsi="Cambria Math" w:eastAsia="Cambria Math"/>
          <w:vertAlign w:val="baseline"/>
        </w:rPr>
        <w:t>𝛿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is the depreciation in households’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health status through diseases and sick-days,</w:t>
      </w:r>
      <w:r>
        <w:rPr>
          <w:spacing w:val="1"/>
          <w:position w:val="2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𝛿</w:t>
      </w:r>
      <w:r>
        <w:rPr>
          <w:rFonts w:ascii="Cambria Math" w:hAnsi="Cambria Math" w:eastAsia="Cambria Math"/>
          <w:position w:val="2"/>
          <w:vertAlign w:val="subscript"/>
        </w:rPr>
        <w:t>𝑡</w:t>
      </w:r>
      <w:r>
        <w:rPr>
          <w:rFonts w:ascii="Cambria Math" w:hAnsi="Cambria Math" w:eastAsia="Cambria Math"/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the rate of depreciation,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while</w:t>
      </w:r>
      <w:r>
        <w:rPr>
          <w:spacing w:val="1"/>
          <w:position w:val="2"/>
          <w:vertAlign w:val="baseline"/>
        </w:rPr>
        <w:t> </w:t>
      </w:r>
      <w:r>
        <w:rPr>
          <w:i/>
          <w:position w:val="2"/>
          <w:vertAlign w:val="baseline"/>
        </w:rPr>
        <w:t>I</w:t>
      </w:r>
      <w:r>
        <w:rPr>
          <w:i/>
          <w:sz w:val="16"/>
          <w:vertAlign w:val="baseline"/>
        </w:rPr>
        <w:t>t</w:t>
      </w:r>
      <w:r>
        <w:rPr>
          <w:i/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the gross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-1"/>
          <w:vertAlign w:val="baseline"/>
        </w:rPr>
        <w:t> </w:t>
      </w:r>
      <w:r>
        <w:rPr>
          <w:vertAlign w:val="baseline"/>
        </w:rPr>
        <w:t>in health status.</w:t>
      </w:r>
    </w:p>
    <w:p>
      <w:pPr>
        <w:pStyle w:val="BodyText"/>
        <w:spacing w:before="191"/>
        <w:ind w:left="160"/>
        <w:jc w:val="both"/>
      </w:pPr>
      <w:r>
        <w:rPr/>
        <w:t>This</w:t>
      </w:r>
      <w:r>
        <w:rPr>
          <w:spacing w:val="-1"/>
        </w:rPr>
        <w:t> </w:t>
      </w:r>
      <w:r>
        <w:rPr/>
        <w:t>implies that:</w:t>
      </w:r>
    </w:p>
    <w:p>
      <w:pPr>
        <w:pStyle w:val="BodyText"/>
        <w:tabs>
          <w:tab w:pos="6943" w:val="left" w:leader="none"/>
        </w:tabs>
        <w:spacing w:before="136"/>
        <w:ind w:left="462"/>
        <w:jc w:val="center"/>
      </w:pPr>
      <w:r>
        <w:rPr>
          <w:rFonts w:ascii="Cambria Math" w:hAnsi="Cambria Math" w:eastAsia="Cambria Math"/>
          <w:w w:val="105"/>
        </w:rPr>
        <w:t>∆𝐻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/∆𝑡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𝐼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3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𝛿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(3.2)</w:t>
      </w:r>
    </w:p>
    <w:p>
      <w:pPr>
        <w:pStyle w:val="BodyText"/>
        <w:spacing w:line="360" w:lineRule="auto" w:before="141"/>
        <w:ind w:left="160" w:right="156"/>
        <w:jc w:val="both"/>
      </w:pPr>
      <w:r>
        <w:rPr/>
        <w:t>where </w:t>
      </w:r>
      <w:r>
        <w:rPr>
          <w:rFonts w:ascii="Cambria Math" w:hAnsi="Cambria Math" w:eastAsia="Cambria Math"/>
        </w:rPr>
        <w:t>∆𝐻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/∆𝑡 </w:t>
      </w:r>
      <w:r>
        <w:rPr>
          <w:vertAlign w:val="baseline"/>
        </w:rPr>
        <w:t>will always be positive anytime </w:t>
      </w:r>
      <w:r>
        <w:rPr>
          <w:rFonts w:ascii="Cambria Math" w:hAnsi="Cambria Math" w:eastAsia="Cambria Math"/>
          <w:vertAlign w:val="baseline"/>
        </w:rPr>
        <w:t>𝐼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 &gt; 𝛿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i/>
          <w:vertAlign w:val="baseline"/>
        </w:rPr>
        <w:t>, </w:t>
      </w:r>
      <w:r>
        <w:rPr>
          <w:vertAlign w:val="baseline"/>
        </w:rPr>
        <w:t>that is, when citizens invest more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2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10"/>
          <w:vertAlign w:val="baseline"/>
        </w:rPr>
        <w:t> </w:t>
      </w:r>
      <w:r>
        <w:rPr>
          <w:vertAlign w:val="baseline"/>
        </w:rPr>
        <w:t>status</w:t>
      </w:r>
      <w:r>
        <w:rPr>
          <w:spacing w:val="-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vertAlign w:val="baseline"/>
        </w:rPr>
        <w:t>;</w:t>
      </w:r>
      <w:r>
        <w:rPr>
          <w:spacing w:val="-11"/>
          <w:vertAlign w:val="baseline"/>
        </w:rPr>
        <w:t> </w:t>
      </w:r>
      <w:r>
        <w:rPr>
          <w:vertAlign w:val="baseline"/>
        </w:rPr>
        <w:t>but</w:t>
      </w:r>
      <w:r>
        <w:rPr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∆𝐻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/∆𝑡 </w:t>
      </w:r>
      <w:r>
        <w:rPr>
          <w:vertAlign w:val="baseline"/>
        </w:rPr>
        <w:t>will</w:t>
      </w:r>
      <w:r>
        <w:rPr>
          <w:spacing w:val="-11"/>
          <w:vertAlign w:val="baseline"/>
        </w:rPr>
        <w:t> </w:t>
      </w:r>
      <w:r>
        <w:rPr>
          <w:vertAlign w:val="baseline"/>
        </w:rPr>
        <w:t>be</w:t>
      </w:r>
      <w:r>
        <w:rPr>
          <w:spacing w:val="-11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-9"/>
          <w:vertAlign w:val="baseline"/>
        </w:rPr>
        <w:t> </w:t>
      </w:r>
      <w:r>
        <w:rPr>
          <w:vertAlign w:val="baseline"/>
        </w:rPr>
        <w:t>anytime</w:t>
      </w:r>
      <w:r>
        <w:rPr>
          <w:spacing w:val="-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𝐼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&lt;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𝛿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vertAlign w:val="baseline"/>
        </w:rPr>
        <w:t>(Jacobson,</w:t>
      </w:r>
      <w:r>
        <w:rPr>
          <w:spacing w:val="-10"/>
          <w:vertAlign w:val="baseline"/>
        </w:rPr>
        <w:t> </w:t>
      </w:r>
      <w:r>
        <w:rPr>
          <w:vertAlign w:val="baseline"/>
        </w:rPr>
        <w:t>2000).</w:t>
      </w:r>
      <w:r>
        <w:rPr>
          <w:spacing w:val="-7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-58"/>
          <w:vertAlign w:val="baseline"/>
        </w:rPr>
        <w:t> </w:t>
      </w:r>
      <w:r>
        <w:rPr>
          <w:vertAlign w:val="baseline"/>
        </w:rPr>
        <w:t>Grossman</w:t>
      </w:r>
      <w:r>
        <w:rPr>
          <w:spacing w:val="1"/>
          <w:vertAlign w:val="baseline"/>
        </w:rPr>
        <w:t> </w:t>
      </w:r>
      <w:r>
        <w:rPr>
          <w:vertAlign w:val="baseline"/>
        </w:rPr>
        <w:t>(2000;</w:t>
      </w:r>
      <w:r>
        <w:rPr>
          <w:spacing w:val="1"/>
          <w:vertAlign w:val="baseline"/>
        </w:rPr>
        <w:t> </w:t>
      </w:r>
      <w:r>
        <w:rPr>
          <w:vertAlign w:val="baseline"/>
        </w:rPr>
        <w:t>2017)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concludes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gross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health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availability</w:t>
      </w:r>
      <w:r>
        <w:rPr>
          <w:spacing w:val="-6"/>
          <w:vertAlign w:val="baseline"/>
        </w:rPr>
        <w:t> </w:t>
      </w:r>
      <w:r>
        <w:rPr>
          <w:vertAlign w:val="baseline"/>
        </w:rPr>
        <w:t>of health-promoting</w:t>
      </w:r>
      <w:r>
        <w:rPr>
          <w:spacing w:val="-2"/>
          <w:vertAlign w:val="baseline"/>
        </w:rPr>
        <w:t> </w:t>
      </w:r>
      <w:r>
        <w:rPr>
          <w:vertAlign w:val="baseline"/>
        </w:rPr>
        <w:t>goods</w:t>
      </w:r>
      <w:r>
        <w:rPr>
          <w:spacing w:val="2"/>
          <w:vertAlign w:val="baseline"/>
        </w:rPr>
        <w:t> </w:t>
      </w:r>
      <w:r>
        <w:rPr>
          <w:vertAlign w:val="baseline"/>
        </w:rPr>
        <w:t>and services.</w:t>
      </w:r>
    </w:p>
    <w:p>
      <w:pPr>
        <w:pStyle w:val="BodyText"/>
      </w:pPr>
    </w:p>
    <w:p>
      <w:pPr>
        <w:pStyle w:val="Heading4"/>
        <w:numPr>
          <w:ilvl w:val="2"/>
          <w:numId w:val="11"/>
        </w:numPr>
        <w:tabs>
          <w:tab w:pos="881" w:val="left" w:leader="none"/>
        </w:tabs>
        <w:spacing w:line="240" w:lineRule="auto" w:before="0" w:after="0"/>
        <w:ind w:left="880" w:right="0" w:hanging="721"/>
        <w:jc w:val="both"/>
      </w:pPr>
      <w:bookmarkStart w:name="_TOC_250048" w:id="29"/>
      <w:r>
        <w:rPr/>
        <w:t>Psycho-social</w:t>
      </w:r>
      <w:r>
        <w:rPr>
          <w:spacing w:val="-5"/>
        </w:rPr>
        <w:t> </w:t>
      </w:r>
      <w:bookmarkEnd w:id="29"/>
      <w:r>
        <w:rPr/>
        <w:t>Mechanisms</w:t>
      </w:r>
    </w:p>
    <w:p>
      <w:pPr>
        <w:pStyle w:val="BodyText"/>
        <w:spacing w:line="360" w:lineRule="auto" w:before="17"/>
        <w:ind w:left="160" w:right="158"/>
        <w:jc w:val="both"/>
      </w:pPr>
      <w:r>
        <w:rPr/>
        <w:t>The psycho-social idea presents the view that income disparity leads to social comparison that</w:t>
      </w:r>
      <w:r>
        <w:rPr>
          <w:spacing w:val="1"/>
        </w:rPr>
        <w:t> </w:t>
      </w:r>
      <w:r>
        <w:rPr/>
        <w:t>enforce</w:t>
      </w:r>
      <w:r>
        <w:rPr>
          <w:spacing w:val="-12"/>
        </w:rPr>
        <w:t> </w:t>
      </w:r>
      <w:r>
        <w:rPr/>
        <w:t>social</w:t>
      </w:r>
      <w:r>
        <w:rPr>
          <w:spacing w:val="-9"/>
        </w:rPr>
        <w:t> </w:t>
      </w:r>
      <w:r>
        <w:rPr/>
        <w:t>class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strata.</w:t>
      </w:r>
      <w:r>
        <w:rPr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raises</w:t>
      </w:r>
      <w:r>
        <w:rPr>
          <w:spacing w:val="-11"/>
        </w:rPr>
        <w:t> </w:t>
      </w:r>
      <w:r>
        <w:rPr/>
        <w:t>competition,</w:t>
      </w:r>
      <w:r>
        <w:rPr>
          <w:spacing w:val="-11"/>
        </w:rPr>
        <w:t> </w:t>
      </w:r>
      <w:r>
        <w:rPr/>
        <w:t>stress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frustration</w:t>
      </w:r>
      <w:r>
        <w:rPr>
          <w:spacing w:val="-11"/>
        </w:rPr>
        <w:t> </w:t>
      </w:r>
      <w:r>
        <w:rPr/>
        <w:t>leading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poor</w:t>
      </w:r>
      <w:r>
        <w:rPr>
          <w:spacing w:val="-12"/>
        </w:rPr>
        <w:t> </w:t>
      </w:r>
      <w:r>
        <w:rPr/>
        <w:t>health</w:t>
      </w:r>
      <w:r>
        <w:rPr>
          <w:spacing w:val="-57"/>
        </w:rPr>
        <w:t> </w:t>
      </w:r>
      <w:r>
        <w:rPr/>
        <w:t>outcomes for those citizens at the </w:t>
      </w:r>
      <w:r>
        <w:rPr>
          <w:i/>
        </w:rPr>
        <w:t>bottom </w:t>
      </w:r>
      <w:r>
        <w:rPr/>
        <w:t>(Lynch </w:t>
      </w:r>
      <w:r>
        <w:rPr>
          <w:i/>
        </w:rPr>
        <w:t>et al. </w:t>
      </w:r>
      <w:r>
        <w:rPr/>
        <w:t>2010). This means that people in unequal</w:t>
      </w:r>
      <w:r>
        <w:rPr>
          <w:spacing w:val="1"/>
        </w:rPr>
        <w:t> </w:t>
      </w:r>
      <w:r>
        <w:rPr/>
        <w:t>societies do not have efficient social support system and lack total control over their life. It also</w:t>
      </w:r>
      <w:r>
        <w:rPr>
          <w:spacing w:val="1"/>
        </w:rPr>
        <w:t> </w:t>
      </w:r>
      <w:r>
        <w:rPr/>
        <w:t>means</w:t>
      </w:r>
      <w:r>
        <w:rPr>
          <w:spacing w:val="-1"/>
        </w:rPr>
        <w:t> </w:t>
      </w:r>
      <w:r>
        <w:rPr/>
        <w:t>that income inequality</w:t>
      </w:r>
      <w:r>
        <w:rPr>
          <w:spacing w:val="-5"/>
        </w:rPr>
        <w:t> </w:t>
      </w:r>
      <w:r>
        <w:rPr/>
        <w:t>creates a</w:t>
      </w:r>
      <w:r>
        <w:rPr>
          <w:spacing w:val="-1"/>
        </w:rPr>
        <w:t> </w:t>
      </w:r>
      <w:r>
        <w:rPr/>
        <w:t>sense</w:t>
      </w:r>
      <w:r>
        <w:rPr>
          <w:spacing w:val="-1"/>
        </w:rPr>
        <w:t> </w:t>
      </w:r>
      <w:r>
        <w:rPr/>
        <w:t>of hopelessness and</w:t>
      </w:r>
      <w:r>
        <w:rPr>
          <w:spacing w:val="-1"/>
        </w:rPr>
        <w:t> </w:t>
      </w:r>
      <w:r>
        <w:rPr/>
        <w:t>insecurity.</w:t>
      </w:r>
    </w:p>
    <w:p>
      <w:pPr>
        <w:spacing w:line="360" w:lineRule="auto" w:before="232"/>
        <w:ind w:left="160" w:right="156" w:firstLine="0"/>
        <w:jc w:val="both"/>
        <w:rPr>
          <w:sz w:val="24"/>
        </w:rPr>
      </w:pP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situations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i/>
          <w:sz w:val="24"/>
        </w:rPr>
        <w:t>stress-induced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chronic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stress</w:t>
      </w:r>
      <w:r>
        <w:rPr>
          <w:i/>
          <w:spacing w:val="1"/>
          <w:sz w:val="24"/>
        </w:rPr>
        <w:t> </w:t>
      </w:r>
      <w:r>
        <w:rPr>
          <w:sz w:val="24"/>
        </w:rPr>
        <w:t>(Kawachi </w:t>
      </w:r>
      <w:r>
        <w:rPr>
          <w:i/>
          <w:sz w:val="24"/>
        </w:rPr>
        <w:t>et al. </w:t>
      </w:r>
      <w:r>
        <w:rPr>
          <w:sz w:val="24"/>
        </w:rPr>
        <w:t>1999). The mechanism often results to invidious processes of social comparison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cohesion as presented in Table 3.2.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2240" w:h="15840"/>
          <w:pgMar w:top="1380" w:bottom="280" w:left="1280" w:right="1280"/>
        </w:sectPr>
      </w:pPr>
    </w:p>
    <w:p>
      <w:pPr>
        <w:pStyle w:val="Heading4"/>
        <w:spacing w:before="77" w:after="3"/>
        <w:jc w:val="left"/>
      </w:pP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3"/>
        </w:rPr>
        <w:t> </w:t>
      </w:r>
      <w:r>
        <w:rPr/>
        <w:t>Relationship</w:t>
      </w:r>
      <w:r>
        <w:rPr>
          <w:spacing w:val="-3"/>
        </w:rPr>
        <w:t> </w:t>
      </w:r>
      <w:r>
        <w:rPr/>
        <w:t>between</w:t>
      </w:r>
      <w:r>
        <w:rPr>
          <w:spacing w:val="-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Health</w:t>
      </w: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70"/>
      </w:tblGrid>
      <w:tr>
        <w:trPr>
          <w:trHeight w:val="275" w:hRule="atLeast"/>
        </w:trPr>
        <w:tc>
          <w:tcPr>
            <w:tcW w:w="9270" w:type="dxa"/>
          </w:tcPr>
          <w:p>
            <w:pPr>
              <w:pStyle w:val="TableParagraph"/>
              <w:spacing w:line="256" w:lineRule="exact"/>
              <w:ind w:left="3250" w:right="324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Psycho-Social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Explanation</w:t>
            </w:r>
          </w:p>
        </w:tc>
      </w:tr>
      <w:tr>
        <w:trPr>
          <w:trHeight w:val="1242" w:hRule="atLeast"/>
        </w:trPr>
        <w:tc>
          <w:tcPr>
            <w:tcW w:w="9270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Social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Status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Competition:</w:t>
            </w:r>
          </w:p>
          <w:p>
            <w:pPr>
              <w:pStyle w:val="TableParagraph"/>
              <w:spacing w:line="410" w:lineRule="atLeast" w:before="5"/>
              <w:ind w:left="10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Income</w:t>
            </w:r>
            <w:r>
              <w:rPr>
                <w:rFonts w:ascii="Times New Roman" w:hAnsi="Times New Roman"/>
                <w:spacing w:val="3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inequality</w:t>
            </w:r>
            <w:r>
              <w:rPr>
                <w:rFonts w:ascii="Times New Roman" w:hAnsi="Times New Roman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results</w:t>
            </w:r>
            <w:r>
              <w:rPr>
                <w:rFonts w:ascii="Times New Roman" w:hAnsi="Times New Roman"/>
                <w:spacing w:val="3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‘</w:t>
            </w:r>
            <w:r>
              <w:rPr>
                <w:rFonts w:ascii="Times New Roman" w:hAnsi="Times New Roman"/>
                <w:i/>
                <w:sz w:val="24"/>
              </w:rPr>
              <w:t>invidious</w:t>
            </w:r>
            <w:r>
              <w:rPr>
                <w:rFonts w:ascii="Times New Roman" w:hAnsi="Times New Roman"/>
                <w:i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processes</w:t>
            </w:r>
            <w:r>
              <w:rPr>
                <w:rFonts w:ascii="Times New Roman" w:hAnsi="Times New Roman"/>
                <w:i/>
                <w:spacing w:val="34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of</w:t>
            </w:r>
            <w:r>
              <w:rPr>
                <w:rFonts w:ascii="Times New Roman" w:hAnsi="Times New Roman"/>
                <w:i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social</w:t>
            </w:r>
            <w:r>
              <w:rPr>
                <w:rFonts w:ascii="Times New Roman" w:hAnsi="Times New Roman"/>
                <w:i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comparison’</w:t>
            </w:r>
            <w:r>
              <w:rPr>
                <w:rFonts w:ascii="Times New Roman" w:hAnsi="Times New Roman"/>
                <w:i/>
                <w:spacing w:val="3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that</w:t>
            </w:r>
            <w:r>
              <w:rPr>
                <w:rFonts w:ascii="Times New Roman" w:hAnsi="Times New Roman"/>
                <w:spacing w:val="3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enforce</w:t>
            </w:r>
            <w:r>
              <w:rPr>
                <w:rFonts w:ascii="Times New Roman" w:hAnsi="Times New Roman"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social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hierarchy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causing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chronic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stress leading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 poor health outcomes.</w:t>
            </w:r>
          </w:p>
        </w:tc>
      </w:tr>
      <w:tr>
        <w:trPr>
          <w:trHeight w:val="1656" w:hRule="atLeast"/>
        </w:trPr>
        <w:tc>
          <w:tcPr>
            <w:tcW w:w="9270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Social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Cohesion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Crimes:</w:t>
            </w:r>
          </w:p>
          <w:p>
            <w:pPr>
              <w:pStyle w:val="TableParagraph"/>
              <w:spacing w:before="137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Income</w:t>
            </w:r>
            <w:r>
              <w:rPr>
                <w:rFonts w:ascii="Times New Roman"/>
                <w:spacing w:val="3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inequality</w:t>
            </w:r>
            <w:r>
              <w:rPr>
                <w:rFonts w:ascii="Times New Roman"/>
                <w:spacing w:val="2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reduces</w:t>
            </w:r>
            <w:r>
              <w:rPr>
                <w:rFonts w:ascii="Times New Roman"/>
                <w:spacing w:val="3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social</w:t>
            </w:r>
            <w:r>
              <w:rPr>
                <w:rFonts w:ascii="Times New Roman"/>
                <w:spacing w:val="3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resources,</w:t>
            </w:r>
            <w:r>
              <w:rPr>
                <w:rFonts w:ascii="Times New Roman"/>
                <w:spacing w:val="3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erodes</w:t>
            </w:r>
            <w:r>
              <w:rPr>
                <w:rFonts w:ascii="Times New Roman"/>
                <w:spacing w:val="3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social</w:t>
            </w:r>
            <w:r>
              <w:rPr>
                <w:rFonts w:ascii="Times New Roman"/>
                <w:spacing w:val="3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bonds</w:t>
            </w:r>
            <w:r>
              <w:rPr>
                <w:rFonts w:ascii="Times New Roman"/>
                <w:spacing w:val="3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that</w:t>
            </w:r>
            <w:r>
              <w:rPr>
                <w:rFonts w:ascii="Times New Roman"/>
                <w:spacing w:val="3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allow</w:t>
            </w:r>
            <w:r>
              <w:rPr>
                <w:rFonts w:ascii="Times New Roman"/>
                <w:spacing w:val="3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people</w:t>
            </w:r>
            <w:r>
              <w:rPr>
                <w:rFonts w:ascii="Times New Roman"/>
                <w:spacing w:val="3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3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work</w:t>
            </w:r>
          </w:p>
          <w:p>
            <w:pPr>
              <w:pStyle w:val="TableParagraph"/>
              <w:spacing w:line="410" w:lineRule="atLeast" w:before="5"/>
              <w:ind w:left="105" w:right="9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together,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results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less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trust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civic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participation,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greater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crime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homicides.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All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these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could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lead to poor health outcomes.</w:t>
            </w:r>
          </w:p>
        </w:tc>
      </w:tr>
    </w:tbl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Source:</w:t>
      </w:r>
      <w:r>
        <w:rPr>
          <w:spacing w:val="-2"/>
          <w:sz w:val="24"/>
        </w:rPr>
        <w:t> </w:t>
      </w:r>
      <w:r>
        <w:rPr>
          <w:sz w:val="24"/>
        </w:rPr>
        <w:t>Macinko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-2"/>
          <w:sz w:val="24"/>
        </w:rPr>
        <w:t> </w:t>
      </w:r>
      <w:r>
        <w:rPr>
          <w:sz w:val="24"/>
        </w:rPr>
        <w:t>(2003:416)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 w:before="1"/>
        <w:ind w:left="160" w:right="159"/>
        <w:jc w:val="both"/>
      </w:pPr>
      <w:r>
        <w:rPr/>
        <w:t>There are other explanations for the income inequality-health links. These are mainly through</w:t>
      </w:r>
      <w:r>
        <w:rPr>
          <w:spacing w:val="1"/>
        </w:rPr>
        <w:t> </w:t>
      </w:r>
      <w:r>
        <w:rPr/>
        <w:t>medium/channels. These mechanisms could be through debt burden and long working hours with</w:t>
      </w:r>
      <w:r>
        <w:rPr>
          <w:spacing w:val="-57"/>
        </w:rPr>
        <w:t> </w:t>
      </w:r>
      <w:r>
        <w:rPr/>
        <w:t>little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time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leisure,</w:t>
      </w:r>
      <w:r>
        <w:rPr>
          <w:spacing w:val="-1"/>
        </w:rPr>
        <w:t> </w:t>
      </w:r>
      <w:r>
        <w:rPr/>
        <w:t>family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needs</w:t>
      </w:r>
      <w:r>
        <w:rPr>
          <w:spacing w:val="-1"/>
        </w:rPr>
        <w:t> </w:t>
      </w:r>
      <w:r>
        <w:rPr/>
        <w:t>(Benzeval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>
          <w:i/>
          <w:spacing w:val="-1"/>
        </w:rPr>
        <w:t> </w:t>
      </w:r>
      <w:r>
        <w:rPr/>
        <w:t>2014).</w:t>
      </w:r>
      <w:r>
        <w:rPr>
          <w:spacing w:val="-5"/>
        </w:rPr>
        <w:t> </w:t>
      </w:r>
      <w:r>
        <w:rPr/>
        <w:t>Income</w:t>
      </w:r>
      <w:r>
        <w:rPr>
          <w:spacing w:val="-1"/>
        </w:rPr>
        <w:t> </w:t>
      </w:r>
      <w:r>
        <w:rPr/>
        <w:t>inequality</w:t>
      </w:r>
      <w:r>
        <w:rPr>
          <w:spacing w:val="-6"/>
        </w:rPr>
        <w:t> </w:t>
      </w:r>
      <w:r>
        <w:rPr/>
        <w:t>can</w:t>
      </w:r>
      <w:r>
        <w:rPr>
          <w:spacing w:val="-58"/>
        </w:rPr>
        <w:t> </w:t>
      </w:r>
      <w:r>
        <w:rPr/>
        <w:t>also lead to fewer life opportunities for low-income households. Therefore, the potential causal</w:t>
      </w:r>
      <w:r>
        <w:rPr>
          <w:spacing w:val="1"/>
        </w:rPr>
        <w:t> </w:t>
      </w:r>
      <w:r>
        <w:rPr/>
        <w:t>channels by which income inequality in any society could result in poor health and inappropriate</w:t>
      </w:r>
      <w:r>
        <w:rPr>
          <w:spacing w:val="1"/>
        </w:rPr>
        <w:t> </w:t>
      </w:r>
      <w:r>
        <w:rPr/>
        <w:t>HSB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as depicted in Figure</w:t>
      </w:r>
      <w:r>
        <w:rPr>
          <w:spacing w:val="-2"/>
        </w:rPr>
        <w:t> </w:t>
      </w:r>
      <w:r>
        <w:rPr/>
        <w:t>3.5.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1051943</wp:posOffset>
            </wp:positionH>
            <wp:positionV relativeFrom="paragraph">
              <wp:posOffset>159694</wp:posOffset>
            </wp:positionV>
            <wp:extent cx="5721529" cy="3451098"/>
            <wp:effectExtent l="0" t="0" r="0" b="0"/>
            <wp:wrapTopAndBottom/>
            <wp:docPr id="1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529" cy="3451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line="274" w:lineRule="exact" w:before="96"/>
      </w:pPr>
      <w:r>
        <w:rPr/>
        <w:t>Figure</w:t>
      </w:r>
      <w:r>
        <w:rPr>
          <w:spacing w:val="-3"/>
        </w:rPr>
        <w:t> </w:t>
      </w:r>
      <w:r>
        <w:rPr/>
        <w:t>3.5:</w:t>
      </w:r>
      <w:r>
        <w:rPr>
          <w:spacing w:val="-2"/>
        </w:rPr>
        <w:t> </w:t>
      </w:r>
      <w:r>
        <w:rPr/>
        <w:t>Income</w:t>
      </w:r>
      <w:r>
        <w:rPr>
          <w:spacing w:val="-3"/>
        </w:rPr>
        <w:t> </w:t>
      </w:r>
      <w:r>
        <w:rPr/>
        <w:t>Inequality-Health</w:t>
      </w:r>
      <w:r>
        <w:rPr>
          <w:spacing w:val="-2"/>
        </w:rPr>
        <w:t> </w:t>
      </w:r>
      <w:r>
        <w:rPr/>
        <w:t>Mechanisms</w:t>
      </w:r>
    </w:p>
    <w:p>
      <w:pPr>
        <w:pStyle w:val="BodyText"/>
        <w:spacing w:line="274" w:lineRule="exact"/>
        <w:ind w:left="160"/>
        <w:jc w:val="both"/>
      </w:pPr>
      <w:r>
        <w:rPr/>
        <w:t>Source:</w:t>
      </w:r>
      <w:r>
        <w:rPr>
          <w:spacing w:val="-2"/>
        </w:rPr>
        <w:t> </w:t>
      </w:r>
      <w:r>
        <w:rPr/>
        <w:t>Vafaei</w:t>
      </w:r>
      <w:r>
        <w:rPr>
          <w:spacing w:val="-2"/>
        </w:rPr>
        <w:t> </w:t>
      </w:r>
      <w:r>
        <w:rPr/>
        <w:t>(2008:15)</w:t>
      </w:r>
    </w:p>
    <w:p>
      <w:pPr>
        <w:spacing w:after="0" w:line="274" w:lineRule="exact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6"/>
        <w:jc w:val="both"/>
      </w:pPr>
      <w:r>
        <w:rPr/>
        <w:t>Figure 3.5 depicts that the mechanisms through which income inequality affects health is through</w:t>
      </w:r>
      <w:r>
        <w:rPr>
          <w:spacing w:val="-57"/>
        </w:rPr>
        <w:t> </w:t>
      </w:r>
      <w:r>
        <w:rPr/>
        <w:t>fewer life opportunities, less social capital, chronic stress and socio-biological effects. However,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advocates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income</w:t>
      </w:r>
      <w:r>
        <w:rPr>
          <w:spacing w:val="-8"/>
        </w:rPr>
        <w:t> </w:t>
      </w:r>
      <w:r>
        <w:rPr/>
        <w:t>inequality-health</w:t>
      </w:r>
      <w:r>
        <w:rPr>
          <w:spacing w:val="-9"/>
        </w:rPr>
        <w:t> </w:t>
      </w:r>
      <w:r>
        <w:rPr/>
        <w:t>hypotheses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argued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income</w:t>
      </w:r>
      <w:r>
        <w:rPr>
          <w:spacing w:val="-9"/>
        </w:rPr>
        <w:t> </w:t>
      </w:r>
      <w:r>
        <w:rPr/>
        <w:t>disparity</w:t>
      </w:r>
      <w:r>
        <w:rPr>
          <w:spacing w:val="-13"/>
        </w:rPr>
        <w:t> </w:t>
      </w:r>
      <w:r>
        <w:rPr/>
        <w:t>has</w:t>
      </w:r>
      <w:r>
        <w:rPr>
          <w:spacing w:val="-6"/>
        </w:rPr>
        <w:t> </w:t>
      </w:r>
      <w:r>
        <w:rPr>
          <w:i/>
        </w:rPr>
        <w:t>direct</w:t>
      </w:r>
      <w:r>
        <w:rPr>
          <w:i/>
          <w:spacing w:val="-58"/>
        </w:rPr>
        <w:t> </w:t>
      </w:r>
      <w:r>
        <w:rPr/>
        <w:t>effect on health through various channels. One of the strengths of the Wilkinson’s hypotheses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inequality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detrimental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enforce</w:t>
      </w:r>
      <w:r>
        <w:rPr>
          <w:spacing w:val="1"/>
        </w:rPr>
        <w:t> </w:t>
      </w:r>
      <w:r>
        <w:rPr>
          <w:i/>
        </w:rPr>
        <w:t>negative</w:t>
      </w:r>
      <w:r>
        <w:rPr>
          <w:i/>
          <w:spacing w:val="1"/>
        </w:rPr>
        <w:t> </w:t>
      </w:r>
      <w:r>
        <w:rPr/>
        <w:t>psychosocial effects that produce higher levels of frustration and chronic stress. The end results</w:t>
      </w:r>
      <w:r>
        <w:rPr>
          <w:spacing w:val="1"/>
        </w:rPr>
        <w:t> </w:t>
      </w:r>
      <w:r>
        <w:rPr/>
        <w:t>being</w:t>
      </w:r>
      <w:r>
        <w:rPr>
          <w:spacing w:val="-2"/>
        </w:rPr>
        <w:t> </w:t>
      </w:r>
      <w:r>
        <w:rPr/>
        <w:t>poor</w:t>
      </w:r>
      <w:r>
        <w:rPr>
          <w:spacing w:val="-1"/>
        </w:rPr>
        <w:t> </w:t>
      </w:r>
      <w:r>
        <w:rPr/>
        <w:t>health outcomes.</w:t>
      </w:r>
    </w:p>
    <w:p>
      <w:pPr>
        <w:pStyle w:val="BodyText"/>
        <w:spacing w:line="360" w:lineRule="auto" w:before="184"/>
        <w:ind w:left="160" w:right="153"/>
        <w:jc w:val="both"/>
      </w:pPr>
      <w:r>
        <w:rPr/>
        <w:pict>
          <v:group style="position:absolute;margin-left:201.240005pt;margin-top:208.903107pt;width:65.55pt;height:7.7pt;mso-position-horizontal-relative:page;mso-position-vertical-relative:paragraph;z-index:15761408" coordorigin="4025,4178" coordsize="1311,154">
            <v:shape style="position:absolute;left:4034;top:4187;width:1292;height:135" coordorigin="4034,4188" coordsize="1292,135" path="m5258,4188l5258,4221,4034,4221,4034,4288,5258,4288,5258,4322,5326,4255,5258,4188xe" filled="true" fillcolor="#000000" stroked="false">
              <v:path arrowok="t"/>
              <v:fill type="solid"/>
            </v:shape>
            <v:shape style="position:absolute;left:4034;top:4187;width:1292;height:135" coordorigin="4034,4188" coordsize="1292,135" path="m4034,4221l5258,4221,5258,4188,5326,4255,5258,4322,5258,4288,4034,4288,4034,4221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t>However, one of the major challenge that has puzzled health economists in developing countries</w:t>
      </w:r>
      <w:r>
        <w:rPr>
          <w:spacing w:val="1"/>
        </w:rPr>
        <w:t> </w:t>
      </w:r>
      <w:r>
        <w:rPr/>
        <w:t>is the weakness of Wilkinson’s income inequality-health hypothesis to explain the indirect links</w:t>
      </w:r>
      <w:r>
        <w:rPr>
          <w:spacing w:val="1"/>
        </w:rPr>
        <w:t> </w:t>
      </w:r>
      <w:r>
        <w:rPr/>
        <w:t>from income inequality and health outcomes. For instance, in Nigeria where under-nourishment,</w:t>
      </w:r>
      <w:r>
        <w:rPr>
          <w:spacing w:val="1"/>
        </w:rPr>
        <w:t> </w:t>
      </w:r>
      <w:r>
        <w:rPr/>
        <w:t>poverty, environmental, insecurity, kidnapping and poor housing conditions remains some of the</w:t>
      </w:r>
      <w:r>
        <w:rPr>
          <w:spacing w:val="1"/>
        </w:rPr>
        <w:t> </w:t>
      </w:r>
      <w:r>
        <w:rPr/>
        <w:t>serious problem facing rich and poor households alike. The understanding of these transmission</w:t>
      </w:r>
      <w:r>
        <w:rPr>
          <w:spacing w:val="1"/>
        </w:rPr>
        <w:t> </w:t>
      </w:r>
      <w:r>
        <w:rPr/>
        <w:t>mechanisms from income inequality to health could inform health and welfare policies especially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an emerging</w:t>
      </w:r>
      <w:r>
        <w:rPr>
          <w:spacing w:val="-3"/>
        </w:rPr>
        <w:t> </w:t>
      </w:r>
      <w:r>
        <w:rPr/>
        <w:t>nation like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6"/>
        <w:rPr>
          <w:sz w:val="28"/>
        </w:rPr>
      </w:pPr>
      <w:r>
        <w:rPr/>
        <w:pict>
          <v:shape style="position:absolute;margin-left:99.720001pt;margin-top:18.604609pt;width:101.3pt;height:83.2pt;mso-position-horizontal-relative:page;mso-position-vertical-relative:paragraph;z-index:-1569689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line="264" w:lineRule="auto" w:before="229"/>
                    <w:ind w:left="480" w:right="462" w:firstLine="148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Income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Inequality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66.760010pt;margin-top:18.364609pt;width:256.2pt;height:84.5pt;mso-position-horizontal-relative:page;mso-position-vertical-relative:paragraph;z-index:-15696384;mso-wrap-distance-left:0;mso-wrap-distance-right:0" coordorigin="5335,367" coordsize="5124,1690">
            <v:shape style="position:absolute;left:7125;top:1046;width:1109;height:166" coordorigin="7126,1046" coordsize="1109,166" path="m8152,1046l8152,1088,7126,1088,7126,1171,8152,1171,8152,1212,8234,1129,8152,1046xe" filled="true" fillcolor="#000000" stroked="false">
              <v:path arrowok="t"/>
              <v:fill type="solid"/>
            </v:shape>
            <v:shape style="position:absolute;left:7125;top:1046;width:1109;height:166" coordorigin="7126,1046" coordsize="1109,166" path="m7126,1088l8152,1088,8152,1046,8234,1129,8152,1212,8152,1171,7126,1171,7126,1088xe" filled="false" stroked="true" strokeweight=".96pt" strokecolor="#000000">
              <v:path arrowok="t"/>
              <v:stroke dashstyle="solid"/>
            </v:shape>
            <v:shape style="position:absolute;left:5340;top:837;width:1786;height:720" type="#_x0000_t202" filled="false" stroked="true" strokeweight=".48pt" strokecolor="#000000">
              <v:textbox inset="0,0,0,0">
                <w:txbxContent>
                  <w:p>
                    <w:pPr>
                      <w:spacing w:before="79"/>
                      <w:ind w:left="40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Mediators</w:t>
                    </w:r>
                  </w:p>
                </w:txbxContent>
              </v:textbox>
              <v:stroke dashstyle="solid"/>
              <w10:wrap type="none"/>
            </v:shape>
            <v:shape style="position:absolute;left:8220;top:372;width:2235;height:1680" type="#_x0000_t202" filled="false" stroked="true" strokeweight=".48pt" strokecolor="#000000">
              <v:textbox inset="0,0,0,0">
                <w:txbxContent>
                  <w:p>
                    <w:pPr>
                      <w:spacing w:line="259" w:lineRule="auto" w:before="71"/>
                      <w:ind w:left="183" w:right="180" w:hanging="1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*Health Outcomes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(Illness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and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Deaths)</w:t>
                    </w:r>
                  </w:p>
                  <w:p>
                    <w:pPr>
                      <w:spacing w:line="264" w:lineRule="auto" w:before="160"/>
                      <w:ind w:left="335" w:right="331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*Health-Seeking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Behaviour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Heading4"/>
        <w:spacing w:line="274" w:lineRule="exact" w:before="173"/>
      </w:pPr>
      <w:r>
        <w:rPr/>
        <w:t>Figure</w:t>
      </w:r>
      <w:r>
        <w:rPr>
          <w:spacing w:val="-3"/>
        </w:rPr>
        <w:t> </w:t>
      </w:r>
      <w:r>
        <w:rPr/>
        <w:t>3.6:</w:t>
      </w:r>
      <w:r>
        <w:rPr>
          <w:spacing w:val="-2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Inequality-Health</w:t>
      </w:r>
      <w:r>
        <w:rPr>
          <w:spacing w:val="-2"/>
        </w:rPr>
        <w:t> </w:t>
      </w:r>
      <w:r>
        <w:rPr/>
        <w:t>Mediators</w:t>
      </w:r>
    </w:p>
    <w:p>
      <w:pPr>
        <w:pStyle w:val="BodyText"/>
        <w:spacing w:line="274" w:lineRule="exact"/>
        <w:ind w:left="160"/>
        <w:jc w:val="both"/>
      </w:pPr>
      <w:r>
        <w:rPr/>
        <w:t>Source: Insight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theories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empirics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60" w:right="154"/>
        <w:jc w:val="both"/>
      </w:pPr>
      <w:r>
        <w:rPr/>
        <w:t>Notably, health status itself is produced by what people consumed particularly their dietary</w:t>
      </w:r>
      <w:r>
        <w:rPr>
          <w:spacing w:val="1"/>
        </w:rPr>
        <w:t> </w:t>
      </w:r>
      <w:r>
        <w:rPr/>
        <w:t>choices,</w:t>
      </w:r>
      <w:r>
        <w:rPr>
          <w:spacing w:val="-15"/>
        </w:rPr>
        <w:t> </w:t>
      </w:r>
      <w:r>
        <w:rPr/>
        <w:t>access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medical-care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infrastructure,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their</w:t>
      </w:r>
      <w:r>
        <w:rPr>
          <w:spacing w:val="-15"/>
        </w:rPr>
        <w:t> </w:t>
      </w:r>
      <w:r>
        <w:rPr/>
        <w:t>lifestyle</w:t>
      </w:r>
      <w:r>
        <w:rPr>
          <w:spacing w:val="-15"/>
        </w:rPr>
        <w:t> </w:t>
      </w:r>
      <w:r>
        <w:rPr/>
        <w:t>(Grossman,</w:t>
      </w:r>
      <w:r>
        <w:rPr>
          <w:spacing w:val="-15"/>
        </w:rPr>
        <w:t> </w:t>
      </w:r>
      <w:r>
        <w:rPr/>
        <w:t>1972).</w:t>
      </w:r>
      <w:r>
        <w:rPr>
          <w:spacing w:val="-12"/>
        </w:rPr>
        <w:t> </w:t>
      </w:r>
      <w:r>
        <w:rPr/>
        <w:t>In</w:t>
      </w:r>
      <w:r>
        <w:rPr>
          <w:spacing w:val="-14"/>
        </w:rPr>
        <w:t> </w:t>
      </w:r>
      <w:r>
        <w:rPr/>
        <w:t>addition</w:t>
      </w:r>
      <w:r>
        <w:rPr>
          <w:spacing w:val="-57"/>
        </w:rPr>
        <w:t> </w:t>
      </w:r>
      <w:r>
        <w:rPr/>
        <w:t>to this argument, the theoretical contributions since Grossman’s explanation have added other</w:t>
      </w:r>
      <w:r>
        <w:rPr>
          <w:spacing w:val="1"/>
        </w:rPr>
        <w:t> </w:t>
      </w:r>
      <w:r>
        <w:rPr/>
        <w:t>determinants of health (see Bolin </w:t>
      </w:r>
      <w:r>
        <w:rPr>
          <w:i/>
        </w:rPr>
        <w:t>et al. </w:t>
      </w:r>
      <w:r>
        <w:rPr/>
        <w:t>2003; Gahama and van Kipperslusis, 2013). These largely</w:t>
      </w:r>
      <w:r>
        <w:rPr>
          <w:spacing w:val="-58"/>
        </w:rPr>
        <w:t> </w:t>
      </w:r>
      <w:r>
        <w:rPr/>
        <w:t>relates with household characteristics, namely family size, access to healthy food, water, housing</w:t>
      </w:r>
      <w:r>
        <w:rPr>
          <w:spacing w:val="-57"/>
        </w:rPr>
        <w:t> </w:t>
      </w:r>
      <w:r>
        <w:rPr/>
        <w:t>conditions,</w:t>
      </w:r>
      <w:r>
        <w:rPr>
          <w:spacing w:val="-6"/>
        </w:rPr>
        <w:t> </w:t>
      </w:r>
      <w:r>
        <w:rPr/>
        <w:t>education,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people’s</w:t>
      </w:r>
      <w:r>
        <w:rPr>
          <w:spacing w:val="-6"/>
        </w:rPr>
        <w:t> </w:t>
      </w:r>
      <w:r>
        <w:rPr/>
        <w:t>lifestyle.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arguments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form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basis</w:t>
      </w:r>
      <w:r>
        <w:rPr>
          <w:spacing w:val="-3"/>
        </w:rPr>
        <w:t> </w:t>
      </w:r>
      <w:r>
        <w:rPr/>
        <w:t>for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11"/>
        </w:rPr>
        <w:t> </w:t>
      </w:r>
      <w:r>
        <w:rPr/>
        <w:t>as</w:t>
      </w:r>
      <w:r>
        <w:rPr>
          <w:spacing w:val="-58"/>
        </w:rPr>
        <w:t> </w:t>
      </w:r>
      <w:r>
        <w:rPr/>
        <w:t>Figure</w:t>
      </w:r>
      <w:r>
        <w:rPr>
          <w:spacing w:val="-7"/>
        </w:rPr>
        <w:t> </w:t>
      </w:r>
      <w:r>
        <w:rPr/>
        <w:t>3.6</w:t>
      </w:r>
      <w:r>
        <w:rPr>
          <w:spacing w:val="-5"/>
        </w:rPr>
        <w:t> </w:t>
      </w:r>
      <w:r>
        <w:rPr/>
        <w:t>shown.</w:t>
      </w:r>
      <w:r>
        <w:rPr>
          <w:spacing w:val="-5"/>
        </w:rPr>
        <w:t> </w:t>
      </w:r>
      <w:r>
        <w:rPr/>
        <w:t>Thus,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meeting</w:t>
      </w:r>
      <w:r>
        <w:rPr>
          <w:spacing w:val="-8"/>
        </w:rPr>
        <w:t> </w:t>
      </w:r>
      <w:r>
        <w:rPr/>
        <w:t>household</w:t>
      </w:r>
      <w:r>
        <w:rPr>
          <w:spacing w:val="-4"/>
        </w:rPr>
        <w:t> </w:t>
      </w:r>
      <w:r>
        <w:rPr/>
        <w:t>needs,</w:t>
      </w:r>
      <w:r>
        <w:rPr>
          <w:spacing w:val="-5"/>
        </w:rPr>
        <w:t> </w:t>
      </w:r>
      <w:r>
        <w:rPr/>
        <w:t>rising</w:t>
      </w:r>
      <w:r>
        <w:rPr>
          <w:spacing w:val="-7"/>
        </w:rPr>
        <w:t> </w:t>
      </w:r>
      <w:r>
        <w:rPr/>
        <w:t>income</w:t>
      </w:r>
      <w:r>
        <w:rPr>
          <w:spacing w:val="-5"/>
        </w:rPr>
        <w:t> </w:t>
      </w:r>
      <w:r>
        <w:rPr/>
        <w:t>inequality</w:t>
      </w:r>
      <w:r>
        <w:rPr>
          <w:spacing w:val="-7"/>
        </w:rPr>
        <w:t> </w:t>
      </w:r>
      <w:r>
        <w:rPr/>
        <w:t>could</w:t>
      </w:r>
      <w:r>
        <w:rPr>
          <w:spacing w:val="-4"/>
        </w:rPr>
        <w:t> </w:t>
      </w:r>
      <w:r>
        <w:rPr/>
        <w:t>impose</w:t>
      </w:r>
      <w:r>
        <w:rPr>
          <w:spacing w:val="-6"/>
        </w:rPr>
        <w:t> </w:t>
      </w:r>
      <w:r>
        <w:rPr/>
        <w:t>more</w:t>
      </w:r>
      <w:r>
        <w:rPr>
          <w:spacing w:val="-57"/>
        </w:rPr>
        <w:t> </w:t>
      </w:r>
      <w:r>
        <w:rPr/>
        <w:t>psycho-social stress on household’s members to affect their health outcomes and discourage</w:t>
      </w:r>
      <w:r>
        <w:rPr>
          <w:spacing w:val="1"/>
        </w:rPr>
        <w:t> </w:t>
      </w:r>
      <w:r>
        <w:rPr/>
        <w:t>appropriate HSB</w:t>
      </w:r>
      <w:r>
        <w:rPr>
          <w:spacing w:val="-2"/>
        </w:rPr>
        <w:t> </w:t>
      </w:r>
      <w:r>
        <w:rPr/>
        <w:t>(Wilkinson and Pickett, 2010;</w:t>
      </w:r>
      <w:r>
        <w:rPr>
          <w:spacing w:val="1"/>
        </w:rPr>
        <w:t> </w:t>
      </w:r>
      <w:r>
        <w:rPr/>
        <w:t>Liu, 2017).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Heading2"/>
        <w:numPr>
          <w:ilvl w:val="1"/>
          <w:numId w:val="11"/>
        </w:numPr>
        <w:tabs>
          <w:tab w:pos="881" w:val="left" w:leader="none"/>
        </w:tabs>
        <w:spacing w:line="240" w:lineRule="auto" w:before="60" w:after="0"/>
        <w:ind w:left="880" w:right="0" w:hanging="721"/>
        <w:jc w:val="both"/>
      </w:pPr>
      <w:bookmarkStart w:name="_TOC_250047" w:id="30"/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Empirical</w:t>
      </w:r>
      <w:r>
        <w:rPr>
          <w:spacing w:val="-2"/>
        </w:rPr>
        <w:t> </w:t>
      </w:r>
      <w:bookmarkEnd w:id="30"/>
      <w:r>
        <w:rPr/>
        <w:t>Studies</w:t>
      </w:r>
    </w:p>
    <w:p>
      <w:pPr>
        <w:pStyle w:val="BodyText"/>
        <w:spacing w:line="360" w:lineRule="auto" w:before="17"/>
        <w:ind w:left="160" w:right="153"/>
        <w:jc w:val="both"/>
        <w:rPr>
          <w:rFonts w:ascii="Calibri"/>
        </w:rPr>
      </w:pPr>
      <w:r>
        <w:rPr/>
        <w:t>Numerous empirical studies have been conducted on the relationship between income inequality</w:t>
      </w:r>
      <w:r>
        <w:rPr>
          <w:spacing w:val="1"/>
        </w:rPr>
        <w:t> </w:t>
      </w:r>
      <w:r>
        <w:rPr/>
        <w:t>and health in both developed and developing countries. This section focuses on the empirical</w:t>
      </w:r>
      <w:r>
        <w:rPr>
          <w:spacing w:val="1"/>
        </w:rPr>
        <w:t> </w:t>
      </w:r>
      <w:r>
        <w:rPr/>
        <w:t>findings and methodological debates on these studies. It is important to note that excellent survey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previous</w:t>
      </w:r>
      <w:r>
        <w:rPr>
          <w:spacing w:val="-4"/>
        </w:rPr>
        <w:t> </w:t>
      </w:r>
      <w:r>
        <w:rPr/>
        <w:t>empirical</w:t>
      </w:r>
      <w:r>
        <w:rPr>
          <w:spacing w:val="-3"/>
        </w:rPr>
        <w:t> </w:t>
      </w:r>
      <w:r>
        <w:rPr/>
        <w:t>evidence</w:t>
      </w:r>
      <w:r>
        <w:rPr>
          <w:spacing w:val="-6"/>
        </w:rPr>
        <w:t> </w:t>
      </w:r>
      <w:r>
        <w:rPr/>
        <w:t>prior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year</w:t>
      </w:r>
      <w:r>
        <w:rPr>
          <w:spacing w:val="-4"/>
        </w:rPr>
        <w:t> </w:t>
      </w:r>
      <w:r>
        <w:rPr/>
        <w:t>2000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found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studies</w:t>
      </w:r>
      <w:r>
        <w:rPr>
          <w:spacing w:val="-5"/>
        </w:rPr>
        <w:t> </w:t>
      </w:r>
      <w:r>
        <w:rPr/>
        <w:t>like</w:t>
      </w:r>
      <w:r>
        <w:rPr>
          <w:spacing w:val="-3"/>
        </w:rPr>
        <w:t> </w:t>
      </w:r>
      <w:r>
        <w:rPr/>
        <w:t>Lynch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al.</w:t>
      </w:r>
      <w:r>
        <w:rPr>
          <w:i/>
          <w:spacing w:val="-4"/>
        </w:rPr>
        <w:t> </w:t>
      </w:r>
      <w:r>
        <w:rPr/>
        <w:t>(2004),</w:t>
      </w:r>
      <w:r>
        <w:rPr>
          <w:spacing w:val="-57"/>
        </w:rPr>
        <w:t> </w:t>
      </w:r>
      <w:r>
        <w:rPr/>
        <w:t>Wilkinson</w:t>
      </w:r>
      <w:r>
        <w:rPr>
          <w:spacing w:val="-1"/>
        </w:rPr>
        <w:t> </w:t>
      </w:r>
      <w:r>
        <w:rPr/>
        <w:t>and Pickett (2006)</w:t>
      </w:r>
      <w:r>
        <w:rPr>
          <w:rFonts w:ascii="Calibri"/>
        </w:rPr>
        <w:t>.</w:t>
      </w:r>
    </w:p>
    <w:p>
      <w:pPr>
        <w:pStyle w:val="ListParagraph"/>
        <w:numPr>
          <w:ilvl w:val="2"/>
          <w:numId w:val="11"/>
        </w:numPr>
        <w:tabs>
          <w:tab w:pos="881" w:val="left" w:leader="none"/>
        </w:tabs>
        <w:spacing w:line="240" w:lineRule="auto" w:before="132" w:after="0"/>
        <w:ind w:left="880" w:right="0" w:hanging="721"/>
        <w:jc w:val="both"/>
        <w:rPr>
          <w:i/>
          <w:sz w:val="24"/>
        </w:rPr>
      </w:pPr>
      <w:r>
        <w:rPr>
          <w:i/>
          <w:sz w:val="24"/>
        </w:rPr>
        <w:t>Cross-Country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Evidence</w:t>
      </w:r>
    </w:p>
    <w:p>
      <w:pPr>
        <w:pStyle w:val="BodyText"/>
        <w:spacing w:line="360" w:lineRule="auto" w:before="24"/>
        <w:ind w:left="160" w:right="155"/>
        <w:jc w:val="both"/>
      </w:pPr>
      <w:r>
        <w:rPr/>
        <w:t>Evidence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cross-country</w:t>
      </w:r>
      <w:r>
        <w:rPr>
          <w:spacing w:val="-10"/>
        </w:rPr>
        <w:t> </w:t>
      </w:r>
      <w:r>
        <w:rPr/>
        <w:t>studies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income</w:t>
      </w:r>
      <w:r>
        <w:rPr>
          <w:spacing w:val="-6"/>
        </w:rPr>
        <w:t> </w:t>
      </w:r>
      <w:r>
        <w:rPr/>
        <w:t>inequality-health</w:t>
      </w:r>
      <w:r>
        <w:rPr>
          <w:spacing w:val="-6"/>
        </w:rPr>
        <w:t> </w:t>
      </w:r>
      <w:r>
        <w:rPr/>
        <w:t>nexus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major</w:t>
      </w:r>
      <w:r>
        <w:rPr>
          <w:spacing w:val="-7"/>
        </w:rPr>
        <w:t> </w:t>
      </w:r>
      <w:r>
        <w:rPr/>
        <w:t>dominant</w:t>
      </w:r>
      <w:r>
        <w:rPr>
          <w:spacing w:val="-5"/>
        </w:rPr>
        <w:t> </w:t>
      </w:r>
      <w:r>
        <w:rPr/>
        <w:t>in</w:t>
      </w:r>
      <w:r>
        <w:rPr>
          <w:spacing w:val="-58"/>
        </w:rPr>
        <w:t> </w:t>
      </w:r>
      <w:r>
        <w:rPr/>
        <w:t>literature. While numerous of these studies</w:t>
      </w:r>
      <w:r>
        <w:rPr>
          <w:vertAlign w:val="superscript"/>
        </w:rPr>
        <w:t>9</w:t>
      </w:r>
      <w:r>
        <w:rPr>
          <w:vertAlign w:val="baseline"/>
        </w:rPr>
        <w:t> found statistical significant </w:t>
      </w:r>
      <w:r>
        <w:rPr>
          <w:i/>
          <w:vertAlign w:val="baseline"/>
        </w:rPr>
        <w:t>inverse </w:t>
      </w:r>
      <w:r>
        <w:rPr>
          <w:vertAlign w:val="baseline"/>
        </w:rPr>
        <w:t>effect of income</w:t>
      </w:r>
      <w:r>
        <w:rPr>
          <w:spacing w:val="1"/>
          <w:vertAlign w:val="baseline"/>
        </w:rPr>
        <w:t> </w:t>
      </w:r>
      <w:r>
        <w:rPr>
          <w:vertAlign w:val="baseline"/>
        </w:rPr>
        <w:t>inequality on health. Others indicated that as income inequality rises health status improve. For</w:t>
      </w:r>
      <w:r>
        <w:rPr>
          <w:spacing w:val="1"/>
          <w:vertAlign w:val="baseline"/>
        </w:rPr>
        <w:t> </w:t>
      </w:r>
      <w:r>
        <w:rPr>
          <w:vertAlign w:val="baseline"/>
        </w:rPr>
        <w:t>instance,</w:t>
      </w:r>
      <w:r>
        <w:rPr>
          <w:spacing w:val="-5"/>
          <w:vertAlign w:val="baseline"/>
        </w:rPr>
        <w:t> </w:t>
      </w:r>
      <w:r>
        <w:rPr>
          <w:vertAlign w:val="baseline"/>
        </w:rPr>
        <w:t>Neumayer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Plumper</w:t>
      </w:r>
      <w:r>
        <w:rPr>
          <w:spacing w:val="-6"/>
          <w:vertAlign w:val="baseline"/>
        </w:rPr>
        <w:t> </w:t>
      </w:r>
      <w:r>
        <w:rPr>
          <w:vertAlign w:val="baseline"/>
        </w:rPr>
        <w:t>(2016)</w:t>
      </w:r>
      <w:r>
        <w:rPr>
          <w:spacing w:val="-5"/>
          <w:vertAlign w:val="baseline"/>
        </w:rPr>
        <w:t> </w:t>
      </w:r>
      <w:r>
        <w:rPr>
          <w:vertAlign w:val="baseline"/>
        </w:rPr>
        <w:t>show</w:t>
      </w:r>
      <w:r>
        <w:rPr>
          <w:spacing w:val="-4"/>
          <w:vertAlign w:val="baseline"/>
        </w:rPr>
        <w:t> </w:t>
      </w:r>
      <w:r>
        <w:rPr>
          <w:vertAlign w:val="baseline"/>
        </w:rPr>
        <w:t>that</w:t>
      </w:r>
      <w:r>
        <w:rPr>
          <w:spacing w:val="-5"/>
          <w:vertAlign w:val="baseline"/>
        </w:rPr>
        <w:t> </w:t>
      </w:r>
      <w:r>
        <w:rPr>
          <w:vertAlign w:val="baseline"/>
        </w:rPr>
        <w:t>there</w:t>
      </w:r>
      <w:r>
        <w:rPr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negative</w:t>
      </w:r>
      <w:r>
        <w:rPr>
          <w:i/>
          <w:spacing w:val="-4"/>
          <w:vertAlign w:val="baseline"/>
        </w:rPr>
        <w:t> </w:t>
      </w:r>
      <w:r>
        <w:rPr>
          <w:vertAlign w:val="baseline"/>
        </w:rPr>
        <w:t>relation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58"/>
          <w:vertAlign w:val="baseline"/>
        </w:rPr>
        <w:t> </w:t>
      </w:r>
      <w:r>
        <w:rPr>
          <w:vertAlign w:val="baseline"/>
        </w:rPr>
        <w:t>income inequality and average life expectancy of 28 developed nations. Their main finding from</w:t>
      </w:r>
      <w:r>
        <w:rPr>
          <w:spacing w:val="1"/>
          <w:vertAlign w:val="baseline"/>
        </w:rPr>
        <w:t> </w:t>
      </w:r>
      <w:r>
        <w:rPr>
          <w:vertAlign w:val="baseline"/>
        </w:rPr>
        <w:t>panel</w:t>
      </w:r>
      <w:r>
        <w:rPr>
          <w:spacing w:val="-2"/>
          <w:vertAlign w:val="baseline"/>
        </w:rPr>
        <w:t> </w:t>
      </w:r>
      <w:r>
        <w:rPr>
          <w:vertAlign w:val="baseline"/>
        </w:rPr>
        <w:t>co-integration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Error</w:t>
      </w:r>
      <w:r>
        <w:rPr>
          <w:spacing w:val="-4"/>
          <w:vertAlign w:val="baseline"/>
        </w:rPr>
        <w:t> </w:t>
      </w:r>
      <w:r>
        <w:rPr>
          <w:vertAlign w:val="baseline"/>
        </w:rPr>
        <w:t>Correction</w:t>
      </w:r>
      <w:r>
        <w:rPr>
          <w:spacing w:val="-2"/>
          <w:vertAlign w:val="baseline"/>
        </w:rPr>
        <w:t> </w:t>
      </w:r>
      <w:r>
        <w:rPr>
          <w:vertAlign w:val="baseline"/>
        </w:rPr>
        <w:t>Model</w:t>
      </w:r>
      <w:r>
        <w:rPr>
          <w:spacing w:val="-1"/>
          <w:vertAlign w:val="baseline"/>
        </w:rPr>
        <w:t> </w:t>
      </w:r>
      <w:r>
        <w:rPr>
          <w:vertAlign w:val="baseline"/>
        </w:rPr>
        <w:t>(ECM)</w:t>
      </w:r>
      <w:r>
        <w:rPr>
          <w:spacing w:val="-2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-2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an</w:t>
      </w:r>
      <w:r>
        <w:rPr>
          <w:spacing w:val="-2"/>
          <w:vertAlign w:val="baseline"/>
        </w:rPr>
        <w:t> </w:t>
      </w:r>
      <w:r>
        <w:rPr>
          <w:vertAlign w:val="baseline"/>
        </w:rPr>
        <w:t>additional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percent</w:t>
      </w:r>
      <w:r>
        <w:rPr>
          <w:spacing w:val="-2"/>
          <w:vertAlign w:val="baseline"/>
        </w:rPr>
        <w:t> </w:t>
      </w:r>
      <w:r>
        <w:rPr>
          <w:vertAlign w:val="baseline"/>
        </w:rPr>
        <w:t>point</w:t>
      </w:r>
      <w:r>
        <w:rPr>
          <w:spacing w:val="-58"/>
          <w:vertAlign w:val="baseline"/>
        </w:rPr>
        <w:t> </w:t>
      </w:r>
      <w:r>
        <w:rPr>
          <w:vertAlign w:val="baseline"/>
        </w:rPr>
        <w:t>in income inequality between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rich and poor citizens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 examined </w:t>
      </w:r>
      <w:r>
        <w:rPr>
          <w:i/>
          <w:vertAlign w:val="baseline"/>
        </w:rPr>
        <w:t>reduces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longevity</w:t>
      </w:r>
      <w:r>
        <w:rPr>
          <w:spacing w:val="-5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0.013%</w:t>
      </w:r>
      <w:r>
        <w:rPr>
          <w:spacing w:val="-1"/>
          <w:vertAlign w:val="baseline"/>
        </w:rPr>
        <w:t> </w:t>
      </w:r>
      <w:r>
        <w:rPr>
          <w:vertAlign w:val="baseline"/>
        </w:rPr>
        <w:t>points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short-run and by</w:t>
      </w:r>
      <w:r>
        <w:rPr>
          <w:spacing w:val="-3"/>
          <w:vertAlign w:val="baseline"/>
        </w:rPr>
        <w:t> </w:t>
      </w:r>
      <w:r>
        <w:rPr>
          <w:vertAlign w:val="baseline"/>
        </w:rPr>
        <w:t>0.058%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long-run.</w:t>
      </w:r>
    </w:p>
    <w:p>
      <w:pPr>
        <w:pStyle w:val="BodyText"/>
        <w:spacing w:line="360" w:lineRule="auto" w:before="183"/>
        <w:ind w:left="160" w:right="155"/>
        <w:jc w:val="both"/>
      </w:pPr>
      <w:r>
        <w:rPr/>
        <w:t>Deurzen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>
          <w:i/>
          <w:spacing w:val="-5"/>
        </w:rPr>
        <w:t> </w:t>
      </w:r>
      <w:r>
        <w:rPr/>
        <w:t>(2014)</w:t>
      </w:r>
      <w:r>
        <w:rPr>
          <w:spacing w:val="-6"/>
        </w:rPr>
        <w:t> </w:t>
      </w:r>
      <w:r>
        <w:rPr/>
        <w:t>looked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link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child</w:t>
      </w:r>
      <w:r>
        <w:rPr>
          <w:spacing w:val="-5"/>
        </w:rPr>
        <w:t> </w:t>
      </w:r>
      <w:r>
        <w:rPr/>
        <w:t>deaths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wealth</w:t>
      </w:r>
      <w:r>
        <w:rPr>
          <w:spacing w:val="-5"/>
        </w:rPr>
        <w:t> </w:t>
      </w:r>
      <w:r>
        <w:rPr/>
        <w:t>inequality</w:t>
      </w:r>
      <w:r>
        <w:rPr>
          <w:spacing w:val="-10"/>
        </w:rPr>
        <w:t> </w:t>
      </w:r>
      <w:r>
        <w:rPr/>
        <w:t>in</w:t>
      </w:r>
      <w:r>
        <w:rPr>
          <w:spacing w:val="-5"/>
        </w:rPr>
        <w:t> </w:t>
      </w:r>
      <w:r>
        <w:rPr/>
        <w:t>52</w:t>
      </w:r>
      <w:r>
        <w:rPr>
          <w:spacing w:val="-6"/>
        </w:rPr>
        <w:t> </w:t>
      </w:r>
      <w:r>
        <w:rPr/>
        <w:t>low-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middle-income nations. The multi-level logistic regressions result from United States Agency for</w:t>
      </w:r>
      <w:r>
        <w:rPr>
          <w:spacing w:val="-57"/>
        </w:rPr>
        <w:t> </w:t>
      </w:r>
      <w:r>
        <w:rPr/>
        <w:t>International Development Health Survey (USAIDs) indicates that </w:t>
      </w:r>
      <w:r>
        <w:rPr>
          <w:i/>
        </w:rPr>
        <w:t>higher </w:t>
      </w:r>
      <w:r>
        <w:rPr/>
        <w:t>levels of household</w:t>
      </w:r>
      <w:r>
        <w:rPr>
          <w:spacing w:val="1"/>
        </w:rPr>
        <w:t> </w:t>
      </w:r>
      <w:r>
        <w:rPr/>
        <w:t>wealth differences related to </w:t>
      </w:r>
      <w:r>
        <w:rPr>
          <w:i/>
        </w:rPr>
        <w:t>worsen </w:t>
      </w:r>
      <w:r>
        <w:rPr/>
        <w:t>child-health, such that, a 1-unit point increase in Household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Inequality</w:t>
      </w:r>
      <w:r>
        <w:rPr>
          <w:spacing w:val="-3"/>
        </w:rPr>
        <w:t> </w:t>
      </w:r>
      <w:r>
        <w:rPr/>
        <w:t>associated with 0.65%</w:t>
      </w:r>
      <w:r>
        <w:rPr>
          <w:spacing w:val="-1"/>
        </w:rPr>
        <w:t> </w:t>
      </w:r>
      <w:r>
        <w:rPr/>
        <w:t>child mortalities.</w:t>
      </w:r>
    </w:p>
    <w:p>
      <w:pPr>
        <w:pStyle w:val="BodyText"/>
        <w:spacing w:line="360" w:lineRule="auto" w:before="115"/>
        <w:ind w:left="160" w:right="156"/>
        <w:jc w:val="both"/>
      </w:pPr>
      <w:r>
        <w:rPr/>
        <w:t>Avendano (2012) also provides the evidence of significant impact of income inequality on infant</w:t>
      </w:r>
      <w:r>
        <w:rPr>
          <w:spacing w:val="1"/>
        </w:rPr>
        <w:t> </w:t>
      </w:r>
      <w:r>
        <w:rPr/>
        <w:t>mortality in a fixed effects models for the periods of 1960 to 2008 for 34 countries members of</w:t>
      </w:r>
      <w:r>
        <w:rPr>
          <w:spacing w:val="1"/>
        </w:rPr>
        <w:t> </w:t>
      </w:r>
      <w:r>
        <w:rPr/>
        <w:t>OECD.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author’s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1-point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inequality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 associated with a 7% rise in infant deaths at 5% level. Torre and Myrskyla (2011)</w:t>
      </w:r>
      <w:r>
        <w:rPr>
          <w:spacing w:val="1"/>
        </w:rPr>
        <w:t> </w:t>
      </w:r>
      <w:r>
        <w:rPr/>
        <w:t>found</w:t>
      </w:r>
      <w:r>
        <w:rPr>
          <w:spacing w:val="-8"/>
        </w:rPr>
        <w:t> </w:t>
      </w:r>
      <w:r>
        <w:rPr/>
        <w:t>negative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relationship</w:t>
      </w:r>
      <w:r>
        <w:rPr>
          <w:spacing w:val="-6"/>
        </w:rPr>
        <w:t> </w:t>
      </w:r>
      <w:r>
        <w:rPr/>
        <w:t>between</w:t>
      </w:r>
      <w:r>
        <w:rPr>
          <w:spacing w:val="-7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13"/>
        </w:rPr>
        <w:t> </w:t>
      </w:r>
      <w:r>
        <w:rPr/>
        <w:t>and</w:t>
      </w:r>
      <w:r>
        <w:rPr>
          <w:spacing w:val="-5"/>
        </w:rPr>
        <w:t> </w:t>
      </w:r>
      <w:r>
        <w:rPr/>
        <w:t>newborn</w:t>
      </w:r>
      <w:r>
        <w:rPr>
          <w:spacing w:val="-7"/>
        </w:rPr>
        <w:t> </w:t>
      </w:r>
      <w:r>
        <w:rPr/>
        <w:t>deaths.</w:t>
      </w:r>
      <w:r>
        <w:rPr>
          <w:spacing w:val="-6"/>
        </w:rPr>
        <w:t> </w:t>
      </w:r>
      <w:r>
        <w:rPr/>
        <w:t>These</w:t>
      </w:r>
      <w:r>
        <w:rPr>
          <w:spacing w:val="-58"/>
        </w:rPr>
        <w:t> </w:t>
      </w:r>
      <w:r>
        <w:rPr/>
        <w:t>authors</w:t>
      </w:r>
      <w:r>
        <w:rPr>
          <w:spacing w:val="-12"/>
        </w:rPr>
        <w:t> </w:t>
      </w:r>
      <w:r>
        <w:rPr/>
        <w:t>tested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IIH</w:t>
      </w:r>
      <w:r>
        <w:rPr>
          <w:spacing w:val="-12"/>
        </w:rPr>
        <w:t> </w:t>
      </w:r>
      <w:r>
        <w:rPr/>
        <w:t>hypothesis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21</w:t>
      </w:r>
      <w:r>
        <w:rPr>
          <w:spacing w:val="-11"/>
        </w:rPr>
        <w:t> </w:t>
      </w:r>
      <w:r>
        <w:rPr/>
        <w:t>developed</w:t>
      </w:r>
      <w:r>
        <w:rPr>
          <w:spacing w:val="-12"/>
        </w:rPr>
        <w:t> </w:t>
      </w:r>
      <w:r>
        <w:rPr/>
        <w:t>countries</w:t>
      </w:r>
      <w:r>
        <w:rPr>
          <w:spacing w:val="-11"/>
        </w:rPr>
        <w:t> </w:t>
      </w:r>
      <w:r>
        <w:rPr/>
        <w:t>over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period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30</w:t>
      </w:r>
      <w:r>
        <w:rPr>
          <w:spacing w:val="-9"/>
        </w:rPr>
        <w:t> </w:t>
      </w:r>
      <w:r>
        <w:rPr/>
        <w:t>years.</w:t>
      </w:r>
      <w:r>
        <w:rPr>
          <w:spacing w:val="-12"/>
        </w:rPr>
        <w:t> </w:t>
      </w:r>
      <w:r>
        <w:rPr/>
        <w:t>Their</w:t>
      </w:r>
      <w:r>
        <w:rPr>
          <w:spacing w:val="-11"/>
        </w:rPr>
        <w:t> </w:t>
      </w:r>
      <w:r>
        <w:rPr/>
        <w:t>results</w:t>
      </w:r>
      <w:r>
        <w:rPr>
          <w:spacing w:val="-58"/>
        </w:rPr>
        <w:t> </w:t>
      </w:r>
      <w:r>
        <w:rPr/>
        <w:t>further show income inequality strongly and directly associated with newborn deaths, such that a</w:t>
      </w:r>
      <w:r>
        <w:rPr>
          <w:spacing w:val="-57"/>
        </w:rPr>
        <w:t> </w:t>
      </w:r>
      <w:r>
        <w:rPr/>
        <w:t>1%</w:t>
      </w:r>
      <w:r>
        <w:rPr>
          <w:spacing w:val="-1"/>
        </w:rPr>
        <w:t> </w:t>
      </w:r>
      <w:r>
        <w:rPr/>
        <w:t>rise</w:t>
      </w:r>
      <w:r>
        <w:rPr>
          <w:spacing w:val="-1"/>
        </w:rPr>
        <w:t> </w:t>
      </w:r>
      <w:r>
        <w:rPr/>
        <w:t>in income inequality</w:t>
      </w:r>
      <w:r>
        <w:rPr>
          <w:spacing w:val="-8"/>
        </w:rPr>
        <w:t> </w:t>
      </w:r>
      <w:r>
        <w:rPr/>
        <w:t>increases infant deaths by</w:t>
      </w:r>
      <w:r>
        <w:rPr>
          <w:spacing w:val="-5"/>
        </w:rPr>
        <w:t> </w:t>
      </w:r>
      <w:r>
        <w:rPr/>
        <w:t>0.47%.</w:t>
      </w:r>
    </w:p>
    <w:p>
      <w:pPr>
        <w:pStyle w:val="BodyText"/>
        <w:spacing w:before="3"/>
        <w:rPr>
          <w:sz w:val="29"/>
        </w:rPr>
      </w:pPr>
      <w:r>
        <w:rPr/>
        <w:pict>
          <v:rect style="position:absolute;margin-left:72.024002pt;margin-top:18.813761pt;width:144.020pt;height:.71997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76"/>
        <w:ind w:left="160" w:right="160" w:firstLine="0"/>
        <w:jc w:val="both"/>
        <w:rPr>
          <w:sz w:val="18"/>
        </w:rPr>
      </w:pPr>
      <w:r>
        <w:rPr>
          <w:rFonts w:ascii="Calibri"/>
          <w:position w:val="5"/>
          <w:sz w:val="12"/>
        </w:rPr>
        <w:t>9 </w:t>
      </w:r>
      <w:r>
        <w:rPr>
          <w:sz w:val="18"/>
        </w:rPr>
        <w:t>Berkman, Glass and Seeman (2000), Blakely, Glass and Kawach (2000), Diez-Roux and Link (2000), Leigh and Jencks (2007),</w:t>
      </w:r>
      <w:r>
        <w:rPr>
          <w:spacing w:val="1"/>
          <w:sz w:val="18"/>
        </w:rPr>
        <w:t> </w:t>
      </w:r>
      <w:r>
        <w:rPr>
          <w:sz w:val="18"/>
        </w:rPr>
        <w:t>Babones (2008), Shkolnikov, Andreev, Zhang, and Vaupel (2009), Torre and Myrskyla (2011), Avendano (2012), Deurzen,</w:t>
      </w:r>
      <w:r>
        <w:rPr>
          <w:spacing w:val="1"/>
          <w:sz w:val="18"/>
        </w:rPr>
        <w:t> </w:t>
      </w:r>
      <w:r>
        <w:rPr>
          <w:sz w:val="18"/>
        </w:rPr>
        <w:t>Oorschot,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van-Ingen</w:t>
      </w:r>
      <w:r>
        <w:rPr>
          <w:spacing w:val="1"/>
          <w:sz w:val="18"/>
        </w:rPr>
        <w:t> </w:t>
      </w:r>
      <w:r>
        <w:rPr>
          <w:sz w:val="18"/>
        </w:rPr>
        <w:t>(2014),</w:t>
      </w:r>
      <w:r>
        <w:rPr>
          <w:spacing w:val="-2"/>
          <w:sz w:val="18"/>
        </w:rPr>
        <w:t> </w:t>
      </w:r>
      <w:r>
        <w:rPr>
          <w:sz w:val="18"/>
        </w:rPr>
        <w:t>Neumayer and</w:t>
      </w:r>
      <w:r>
        <w:rPr>
          <w:spacing w:val="1"/>
          <w:sz w:val="18"/>
        </w:rPr>
        <w:t> </w:t>
      </w:r>
      <w:r>
        <w:rPr>
          <w:sz w:val="18"/>
        </w:rPr>
        <w:t>Plumper (2016).</w:t>
      </w:r>
    </w:p>
    <w:p>
      <w:pPr>
        <w:spacing w:after="0" w:line="242" w:lineRule="auto"/>
        <w:jc w:val="both"/>
        <w:rPr>
          <w:sz w:val="18"/>
        </w:rPr>
        <w:sectPr>
          <w:pgSz w:w="12240" w:h="15840"/>
          <w:pgMar w:header="0" w:footer="1015" w:top="1380" w:bottom="1200" w:left="1280" w:right="1280"/>
        </w:sectPr>
      </w:pPr>
    </w:p>
    <w:p>
      <w:pPr>
        <w:pStyle w:val="BodyText"/>
        <w:spacing w:line="360" w:lineRule="auto" w:before="74"/>
        <w:ind w:left="160" w:right="155"/>
        <w:jc w:val="both"/>
      </w:pPr>
      <w:r>
        <w:rPr/>
        <w:t>In</w:t>
      </w:r>
      <w:r>
        <w:rPr>
          <w:spacing w:val="-4"/>
        </w:rPr>
        <w:t> </w:t>
      </w:r>
      <w:r>
        <w:rPr/>
        <w:t>another</w:t>
      </w:r>
      <w:r>
        <w:rPr>
          <w:spacing w:val="-4"/>
        </w:rPr>
        <w:t> </w:t>
      </w:r>
      <w:r>
        <w:rPr/>
        <w:t>cross-country</w:t>
      </w:r>
      <w:r>
        <w:rPr>
          <w:spacing w:val="-8"/>
        </w:rPr>
        <w:t> </w:t>
      </w:r>
      <w:r>
        <w:rPr/>
        <w:t>study</w:t>
      </w:r>
      <w:r>
        <w:rPr>
          <w:spacing w:val="-10"/>
        </w:rPr>
        <w:t> </w:t>
      </w:r>
      <w:r>
        <w:rPr/>
        <w:t>focusing</w:t>
      </w:r>
      <w:r>
        <w:rPr>
          <w:spacing w:val="-8"/>
        </w:rPr>
        <w:t> </w:t>
      </w:r>
      <w:r>
        <w:rPr/>
        <w:t>on</w:t>
      </w:r>
      <w:r>
        <w:rPr>
          <w:spacing w:val="-5"/>
        </w:rPr>
        <w:t> </w:t>
      </w:r>
      <w:r>
        <w:rPr/>
        <w:t>135</w:t>
      </w:r>
      <w:r>
        <w:rPr>
          <w:spacing w:val="-5"/>
        </w:rPr>
        <w:t> </w:t>
      </w:r>
      <w:r>
        <w:rPr/>
        <w:t>nations,</w:t>
      </w:r>
      <w:r>
        <w:rPr>
          <w:spacing w:val="-5"/>
        </w:rPr>
        <w:t> </w:t>
      </w:r>
      <w:r>
        <w:rPr/>
        <w:t>Babones</w:t>
      </w:r>
      <w:r>
        <w:rPr>
          <w:spacing w:val="-5"/>
        </w:rPr>
        <w:t> </w:t>
      </w:r>
      <w:r>
        <w:rPr/>
        <w:t>(2008)</w:t>
      </w:r>
      <w:r>
        <w:rPr>
          <w:spacing w:val="-7"/>
        </w:rPr>
        <w:t> </w:t>
      </w:r>
      <w:r>
        <w:rPr/>
        <w:t>investigated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causality</w:t>
      </w:r>
      <w:r>
        <w:rPr>
          <w:spacing w:val="-57"/>
        </w:rPr>
        <w:t> </w:t>
      </w:r>
      <w:r>
        <w:rPr/>
        <w:t>and correlation between income inequality and population health. The author found that changes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income</w:t>
      </w:r>
      <w:r>
        <w:rPr>
          <w:spacing w:val="-6"/>
        </w:rPr>
        <w:t> </w:t>
      </w:r>
      <w:r>
        <w:rPr/>
        <w:t>distribution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these</w:t>
      </w:r>
      <w:r>
        <w:rPr>
          <w:spacing w:val="-4"/>
        </w:rPr>
        <w:t> </w:t>
      </w:r>
      <w:r>
        <w:rPr/>
        <w:t>countries</w:t>
      </w:r>
      <w:r>
        <w:rPr>
          <w:spacing w:val="-3"/>
        </w:rPr>
        <w:t> </w:t>
      </w:r>
      <w:r>
        <w:rPr/>
        <w:t>are</w:t>
      </w:r>
      <w:r>
        <w:rPr>
          <w:spacing w:val="-7"/>
        </w:rPr>
        <w:t> </w:t>
      </w:r>
      <w:r>
        <w:rPr/>
        <w:t>directly</w:t>
      </w:r>
      <w:r>
        <w:rPr>
          <w:spacing w:val="-8"/>
        </w:rPr>
        <w:t> </w:t>
      </w:r>
      <w:r>
        <w:rPr/>
        <w:t>associated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changes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infant</w:t>
      </w:r>
      <w:r>
        <w:rPr>
          <w:spacing w:val="-5"/>
        </w:rPr>
        <w:t> </w:t>
      </w:r>
      <w:r>
        <w:rPr/>
        <w:t>deaths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life</w:t>
      </w:r>
      <w:r>
        <w:rPr>
          <w:spacing w:val="-13"/>
        </w:rPr>
        <w:t> </w:t>
      </w:r>
      <w:r>
        <w:rPr/>
        <w:t>expectancy</w:t>
      </w:r>
      <w:r>
        <w:rPr>
          <w:spacing w:val="-12"/>
        </w:rPr>
        <w:t> </w:t>
      </w:r>
      <w:r>
        <w:rPr/>
        <w:t>among</w:t>
      </w:r>
      <w:r>
        <w:rPr>
          <w:spacing w:val="-13"/>
        </w:rPr>
        <w:t> </w:t>
      </w:r>
      <w:r>
        <w:rPr/>
        <w:t>citizens</w:t>
      </w:r>
      <w:r>
        <w:rPr>
          <w:spacing w:val="-10"/>
        </w:rPr>
        <w:t> </w:t>
      </w:r>
      <w:r>
        <w:rPr/>
        <w:t>from</w:t>
      </w:r>
      <w:r>
        <w:rPr>
          <w:spacing w:val="-11"/>
        </w:rPr>
        <w:t> </w:t>
      </w:r>
      <w:r>
        <w:rPr/>
        <w:t>1970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1995.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panel</w:t>
      </w:r>
      <w:r>
        <w:rPr>
          <w:spacing w:val="-10"/>
        </w:rPr>
        <w:t> </w:t>
      </w:r>
      <w:r>
        <w:rPr/>
        <w:t>regression</w:t>
      </w:r>
      <w:r>
        <w:rPr>
          <w:spacing w:val="-11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suggest</w:t>
      </w:r>
      <w:r>
        <w:rPr>
          <w:spacing w:val="-9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causal nexus between income inequality and health. However, the association vanished when</w:t>
      </w:r>
      <w:r>
        <w:rPr>
          <w:spacing w:val="1"/>
        </w:rPr>
        <w:t> </w:t>
      </w:r>
      <w:r>
        <w:rPr/>
        <w:t>income</w:t>
      </w:r>
      <w:r>
        <w:rPr>
          <w:spacing w:val="-2"/>
        </w:rPr>
        <w:t> </w:t>
      </w:r>
      <w:r>
        <w:rPr/>
        <w:t>per capita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head after controlling for</w:t>
      </w:r>
      <w:r>
        <w:rPr>
          <w:spacing w:val="-2"/>
        </w:rPr>
        <w:t> </w:t>
      </w:r>
      <w:r>
        <w:rPr/>
        <w:t>income.</w:t>
      </w:r>
    </w:p>
    <w:p>
      <w:pPr>
        <w:pStyle w:val="BodyText"/>
        <w:spacing w:line="360" w:lineRule="auto" w:before="116"/>
        <w:ind w:left="160" w:right="155"/>
        <w:jc w:val="both"/>
      </w:pPr>
      <w:r>
        <w:rPr/>
        <w:t>Dorling</w:t>
      </w:r>
      <w:r>
        <w:rPr>
          <w:spacing w:val="-6"/>
        </w:rPr>
        <w:t> </w:t>
      </w:r>
      <w:r>
        <w:rPr/>
        <w:t>(2007)</w:t>
      </w:r>
      <w:r>
        <w:rPr>
          <w:spacing w:val="-6"/>
        </w:rPr>
        <w:t> </w:t>
      </w:r>
      <w:r>
        <w:rPr/>
        <w:t>explore</w:t>
      </w:r>
      <w:r>
        <w:rPr>
          <w:spacing w:val="-6"/>
        </w:rPr>
        <w:t> </w:t>
      </w:r>
      <w:r>
        <w:rPr/>
        <w:t>whether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apparent</w:t>
      </w:r>
      <w:r>
        <w:rPr>
          <w:spacing w:val="-5"/>
        </w:rPr>
        <w:t> </w:t>
      </w:r>
      <w:r>
        <w:rPr/>
        <w:t>impact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income</w:t>
      </w:r>
      <w:r>
        <w:rPr>
          <w:spacing w:val="-6"/>
        </w:rPr>
        <w:t> </w:t>
      </w:r>
      <w:r>
        <w:rPr/>
        <w:t>inequality</w:t>
      </w:r>
      <w:r>
        <w:rPr>
          <w:spacing w:val="-10"/>
        </w:rPr>
        <w:t> </w:t>
      </w:r>
      <w:r>
        <w:rPr/>
        <w:t>on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varies</w:t>
      </w:r>
      <w:r>
        <w:rPr>
          <w:spacing w:val="-5"/>
        </w:rPr>
        <w:t> </w:t>
      </w:r>
      <w:r>
        <w:rPr/>
        <w:t>by</w:t>
      </w:r>
      <w:r>
        <w:rPr>
          <w:spacing w:val="-9"/>
        </w:rPr>
        <w:t> </w:t>
      </w:r>
      <w:r>
        <w:rPr/>
        <w:t>ages</w:t>
      </w:r>
      <w:r>
        <w:rPr>
          <w:spacing w:val="-57"/>
        </w:rPr>
        <w:t> </w:t>
      </w:r>
      <w:r>
        <w:rPr/>
        <w:t>in 126 nations. The observational analysis found that income disparity is closely correlated with</w:t>
      </w:r>
      <w:r>
        <w:rPr>
          <w:spacing w:val="1"/>
        </w:rPr>
        <w:t> </w:t>
      </w:r>
      <w:r>
        <w:rPr/>
        <w:t>younger</w:t>
      </w:r>
      <w:r>
        <w:rPr>
          <w:spacing w:val="-9"/>
        </w:rPr>
        <w:t> </w:t>
      </w:r>
      <w:r>
        <w:rPr/>
        <w:t>adult</w:t>
      </w:r>
      <w:r>
        <w:rPr>
          <w:spacing w:val="-8"/>
        </w:rPr>
        <w:t> </w:t>
      </w:r>
      <w:r>
        <w:rPr/>
        <w:t>deaths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those</w:t>
      </w:r>
      <w:r>
        <w:rPr>
          <w:spacing w:val="-9"/>
        </w:rPr>
        <w:t> </w:t>
      </w:r>
      <w:r>
        <w:rPr/>
        <w:t>living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developing</w:t>
      </w:r>
      <w:r>
        <w:rPr>
          <w:spacing w:val="-11"/>
        </w:rPr>
        <w:t> </w:t>
      </w:r>
      <w:r>
        <w:rPr/>
        <w:t>nations.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statistical</w:t>
      </w:r>
      <w:r>
        <w:rPr>
          <w:spacing w:val="-7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also</w:t>
      </w:r>
      <w:r>
        <w:rPr>
          <w:spacing w:val="-8"/>
        </w:rPr>
        <w:t> </w:t>
      </w:r>
      <w:r>
        <w:rPr/>
        <w:t>show</w:t>
      </w:r>
      <w:r>
        <w:rPr>
          <w:spacing w:val="-9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 correlation between mortality and income inequality was 0.559, which is significant at 1%.</w:t>
      </w:r>
      <w:r>
        <w:rPr>
          <w:spacing w:val="1"/>
        </w:rPr>
        <w:t> </w:t>
      </w:r>
      <w:r>
        <w:rPr/>
        <w:t>Thus,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8"/>
        </w:rPr>
        <w:t> </w:t>
      </w:r>
      <w:r>
        <w:rPr/>
        <w:t>concluded</w:t>
      </w:r>
      <w:r>
        <w:rPr>
          <w:spacing w:val="-5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globally,</w:t>
      </w:r>
      <w:r>
        <w:rPr>
          <w:spacing w:val="-3"/>
        </w:rPr>
        <w:t> </w:t>
      </w:r>
      <w:r>
        <w:rPr/>
        <w:t>especially</w:t>
      </w:r>
      <w:r>
        <w:rPr>
          <w:spacing w:val="-10"/>
        </w:rPr>
        <w:t> </w:t>
      </w:r>
      <w:r>
        <w:rPr/>
        <w:t>for younger</w:t>
      </w:r>
      <w:r>
        <w:rPr>
          <w:spacing w:val="-58"/>
        </w:rPr>
        <w:t> </w:t>
      </w:r>
      <w:r>
        <w:rPr/>
        <w:t>adults. This relation is especially</w:t>
      </w:r>
      <w:r>
        <w:rPr>
          <w:spacing w:val="-5"/>
        </w:rPr>
        <w:t> </w:t>
      </w:r>
      <w:r>
        <w:rPr/>
        <w:t>strong</w:t>
      </w:r>
      <w:r>
        <w:rPr>
          <w:spacing w:val="-3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poorest countries in Africa.</w:t>
      </w:r>
    </w:p>
    <w:p>
      <w:pPr>
        <w:pStyle w:val="BodyText"/>
        <w:spacing w:line="360" w:lineRule="auto" w:before="183"/>
        <w:ind w:left="160" w:right="158"/>
        <w:jc w:val="both"/>
      </w:pPr>
      <w:r>
        <w:rPr/>
        <w:t>De Vogli </w:t>
      </w:r>
      <w:r>
        <w:rPr>
          <w:i/>
        </w:rPr>
        <w:t>et al. </w:t>
      </w:r>
      <w:r>
        <w:rPr/>
        <w:t>(2005) present evidence that income inequality is directly related to low life</w:t>
      </w:r>
      <w:r>
        <w:rPr>
          <w:spacing w:val="1"/>
        </w:rPr>
        <w:t> </w:t>
      </w:r>
      <w:r>
        <w:rPr/>
        <w:t>expectancy after controlling for per capita GDP and educational attainments in 21 developed</w:t>
      </w:r>
      <w:r>
        <w:rPr>
          <w:spacing w:val="1"/>
        </w:rPr>
        <w:t> </w:t>
      </w:r>
      <w:r>
        <w:rPr/>
        <w:t>nations.</w:t>
      </w:r>
      <w:r>
        <w:rPr>
          <w:spacing w:val="-4"/>
        </w:rPr>
        <w:t> </w:t>
      </w:r>
      <w:r>
        <w:rPr/>
        <w:t>Multivariate</w:t>
      </w:r>
      <w:r>
        <w:rPr>
          <w:spacing w:val="-4"/>
        </w:rPr>
        <w:t> </w:t>
      </w:r>
      <w:r>
        <w:rPr/>
        <w:t>linear</w:t>
      </w:r>
      <w:r>
        <w:rPr>
          <w:spacing w:val="-5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was employed</w:t>
      </w:r>
      <w:r>
        <w:rPr>
          <w:spacing w:val="-4"/>
        </w:rPr>
        <w:t> </w:t>
      </w:r>
      <w:r>
        <w:rPr/>
        <w:t>while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3"/>
        </w:rPr>
        <w:t> </w:t>
      </w:r>
      <w:r>
        <w:rPr/>
        <w:t>show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income</w:t>
      </w:r>
      <w:r>
        <w:rPr>
          <w:spacing w:val="-5"/>
        </w:rPr>
        <w:t> </w:t>
      </w:r>
      <w:r>
        <w:rPr/>
        <w:t>disparity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-0.433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1%</w:t>
      </w:r>
      <w:r>
        <w:rPr>
          <w:spacing w:val="-11"/>
        </w:rPr>
        <w:t> </w:t>
      </w:r>
      <w:r>
        <w:rPr/>
        <w:t>level</w:t>
      </w:r>
      <w:r>
        <w:rPr>
          <w:spacing w:val="-10"/>
        </w:rPr>
        <w:t> </w:t>
      </w:r>
      <w:r>
        <w:rPr/>
        <w:t>associated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longevity</w:t>
      </w:r>
      <w:r>
        <w:rPr>
          <w:spacing w:val="-12"/>
        </w:rPr>
        <w:t> </w:t>
      </w:r>
      <w:r>
        <w:rPr/>
        <w:t>adjusted</w:t>
      </w:r>
      <w:r>
        <w:rPr>
          <w:spacing w:val="-9"/>
        </w:rPr>
        <w:t> </w:t>
      </w:r>
      <w:r>
        <w:rPr/>
        <w:t>by</w:t>
      </w:r>
      <w:r>
        <w:rPr>
          <w:spacing w:val="-15"/>
        </w:rPr>
        <w:t> </w:t>
      </w:r>
      <w:r>
        <w:rPr/>
        <w:t>per</w:t>
      </w:r>
      <w:r>
        <w:rPr>
          <w:spacing w:val="-11"/>
        </w:rPr>
        <w:t> </w:t>
      </w:r>
      <w:r>
        <w:rPr/>
        <w:t>capita</w:t>
      </w:r>
      <w:r>
        <w:rPr>
          <w:spacing w:val="-11"/>
        </w:rPr>
        <w:t> </w:t>
      </w:r>
      <w:r>
        <w:rPr/>
        <w:t>income,</w:t>
      </w:r>
      <w:r>
        <w:rPr>
          <w:spacing w:val="-10"/>
        </w:rPr>
        <w:t> </w:t>
      </w:r>
      <w:r>
        <w:rPr/>
        <w:t>education,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GDP</w:t>
      </w:r>
      <w:r>
        <w:rPr>
          <w:spacing w:val="-57"/>
        </w:rPr>
        <w:t> </w:t>
      </w:r>
      <w:r>
        <w:rPr/>
        <w:t>from 1995 to 2000. The study suggests that to promote health of citizens, governments of these</w:t>
      </w:r>
      <w:r>
        <w:rPr>
          <w:spacing w:val="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need to minimize</w:t>
      </w:r>
      <w:r>
        <w:rPr>
          <w:spacing w:val="-1"/>
        </w:rPr>
        <w:t> </w:t>
      </w:r>
      <w:r>
        <w:rPr/>
        <w:t>income</w:t>
      </w:r>
      <w:r>
        <w:rPr>
          <w:spacing w:val="-1"/>
        </w:rPr>
        <w:t> </w:t>
      </w:r>
      <w:r>
        <w:rPr/>
        <w:t>disparities.</w:t>
      </w:r>
    </w:p>
    <w:p>
      <w:pPr>
        <w:pStyle w:val="BodyText"/>
        <w:spacing w:line="360" w:lineRule="auto" w:before="185"/>
        <w:ind w:left="160" w:right="155"/>
        <w:jc w:val="both"/>
      </w:pPr>
      <w:r>
        <w:rPr>
          <w:spacing w:val="-1"/>
        </w:rPr>
        <w:t>Asafu-Adjaye</w:t>
      </w:r>
      <w:r>
        <w:rPr>
          <w:spacing w:val="-9"/>
        </w:rPr>
        <w:t> </w:t>
      </w:r>
      <w:r>
        <w:rPr/>
        <w:t>(2003)</w:t>
      </w:r>
      <w:r>
        <w:rPr>
          <w:spacing w:val="-5"/>
        </w:rPr>
        <w:t> </w:t>
      </w:r>
      <w:r>
        <w:rPr/>
        <w:t>empirically</w:t>
      </w:r>
      <w:r>
        <w:rPr>
          <w:spacing w:val="-12"/>
        </w:rPr>
        <w:t> </w:t>
      </w:r>
      <w:r>
        <w:rPr/>
        <w:t>investigated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income</w:t>
      </w:r>
      <w:r>
        <w:rPr>
          <w:spacing w:val="-9"/>
        </w:rPr>
        <w:t> </w:t>
      </w:r>
      <w:r>
        <w:rPr/>
        <w:t>inequality</w:t>
      </w:r>
      <w:r>
        <w:rPr>
          <w:spacing w:val="-14"/>
        </w:rPr>
        <w:t> </w:t>
      </w:r>
      <w:r>
        <w:rPr/>
        <w:t>on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outcomes</w:t>
      </w:r>
      <w:r>
        <w:rPr>
          <w:spacing w:val="-57"/>
        </w:rPr>
        <w:t> </w:t>
      </w:r>
      <w:r>
        <w:rPr/>
        <w:t>on 44 cross-countries. The study covering six time periods (1970, 1975, 1980, 1985, 1990 and</w:t>
      </w:r>
      <w:r>
        <w:rPr>
          <w:spacing w:val="1"/>
        </w:rPr>
        <w:t> </w:t>
      </w:r>
      <w:r>
        <w:rPr/>
        <w:t>1995) found that, income inequality has a significant inverse effect on longevity when we control</w:t>
      </w:r>
      <w:r>
        <w:rPr>
          <w:spacing w:val="-57"/>
        </w:rPr>
        <w:t> </w:t>
      </w:r>
      <w:r>
        <w:rPr/>
        <w:t>for the levels of income, savings and education. It tested the Wilkinson’s hypothesis using Panel</w:t>
      </w:r>
      <w:r>
        <w:rPr>
          <w:spacing w:val="1"/>
        </w:rPr>
        <w:t> </w:t>
      </w:r>
      <w:r>
        <w:rPr/>
        <w:t>regression</w:t>
      </w:r>
      <w:r>
        <w:rPr>
          <w:spacing w:val="-5"/>
        </w:rPr>
        <w:t> </w:t>
      </w:r>
      <w:r>
        <w:rPr/>
        <w:t>analysis.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empirical</w:t>
      </w:r>
      <w:r>
        <w:rPr>
          <w:spacing w:val="-4"/>
        </w:rPr>
        <w:t> </w:t>
      </w:r>
      <w:r>
        <w:rPr/>
        <w:t>results</w:t>
      </w:r>
      <w:r>
        <w:rPr>
          <w:spacing w:val="-4"/>
        </w:rPr>
        <w:t> </w:t>
      </w:r>
      <w:r>
        <w:rPr/>
        <w:t>indicated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unit increase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income</w:t>
      </w:r>
      <w:r>
        <w:rPr>
          <w:spacing w:val="-4"/>
        </w:rPr>
        <w:t> </w:t>
      </w:r>
      <w:r>
        <w:rPr/>
        <w:t>inequality</w:t>
      </w:r>
      <w:r>
        <w:rPr>
          <w:spacing w:val="-10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previous</w:t>
      </w:r>
      <w:r>
        <w:rPr>
          <w:spacing w:val="-7"/>
        </w:rPr>
        <w:t> </w:t>
      </w:r>
      <w:r>
        <w:rPr/>
        <w:t>period</w:t>
      </w:r>
      <w:r>
        <w:rPr>
          <w:spacing w:val="-8"/>
        </w:rPr>
        <w:t> </w:t>
      </w:r>
      <w:r>
        <w:rPr/>
        <w:t>reduces</w:t>
      </w:r>
      <w:r>
        <w:rPr>
          <w:spacing w:val="-7"/>
        </w:rPr>
        <w:t> </w:t>
      </w:r>
      <w:r>
        <w:rPr/>
        <w:t>life</w:t>
      </w:r>
      <w:r>
        <w:rPr>
          <w:spacing w:val="-8"/>
        </w:rPr>
        <w:t> </w:t>
      </w:r>
      <w:r>
        <w:rPr/>
        <w:t>expectancy</w:t>
      </w:r>
      <w:r>
        <w:rPr>
          <w:spacing w:val="-1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current</w:t>
      </w:r>
      <w:r>
        <w:rPr>
          <w:spacing w:val="-7"/>
        </w:rPr>
        <w:t> </w:t>
      </w:r>
      <w:r>
        <w:rPr/>
        <w:t>period</w:t>
      </w:r>
      <w:r>
        <w:rPr>
          <w:spacing w:val="-8"/>
        </w:rPr>
        <w:t> </w:t>
      </w:r>
      <w:r>
        <w:rPr/>
        <w:t>by</w:t>
      </w:r>
      <w:r>
        <w:rPr>
          <w:spacing w:val="-14"/>
        </w:rPr>
        <w:t> </w:t>
      </w:r>
      <w:r>
        <w:rPr/>
        <w:t>0.036</w:t>
      </w:r>
      <w:r>
        <w:rPr>
          <w:spacing w:val="-3"/>
        </w:rPr>
        <w:t> </w:t>
      </w:r>
      <w:r>
        <w:rPr/>
        <w:t>years.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12"/>
        </w:rPr>
        <w:t> </w:t>
      </w:r>
      <w:r>
        <w:rPr/>
        <w:t>also</w:t>
      </w:r>
      <w:r>
        <w:rPr>
          <w:spacing w:val="-7"/>
        </w:rPr>
        <w:t> </w:t>
      </w:r>
      <w:r>
        <w:rPr/>
        <w:t>shows</w:t>
      </w:r>
      <w:r>
        <w:rPr>
          <w:spacing w:val="-57"/>
        </w:rPr>
        <w:t> </w:t>
      </w:r>
      <w:r>
        <w:rPr/>
        <w:t>that reducing income inequality has a greater effect in low-income nations than in high-income</w:t>
      </w:r>
      <w:r>
        <w:rPr>
          <w:spacing w:val="1"/>
        </w:rPr>
        <w:t> </w:t>
      </w:r>
      <w:r>
        <w:rPr/>
        <w:t>countries.</w:t>
      </w:r>
    </w:p>
    <w:p>
      <w:pPr>
        <w:pStyle w:val="BodyText"/>
        <w:spacing w:line="360" w:lineRule="auto" w:before="186"/>
        <w:ind w:left="160" w:right="157"/>
        <w:jc w:val="both"/>
      </w:pPr>
      <w:r>
        <w:rPr/>
        <w:t>Observably, one of the potential limitation of these studies especially Dorling (2007), Babones</w:t>
      </w:r>
      <w:r>
        <w:rPr>
          <w:spacing w:val="1"/>
        </w:rPr>
        <w:t> </w:t>
      </w:r>
      <w:r>
        <w:rPr/>
        <w:t>(2008),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Deurzen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</w:t>
      </w:r>
      <w:r>
        <w:rPr>
          <w:i/>
          <w:spacing w:val="-8"/>
        </w:rPr>
        <w:t> </w:t>
      </w:r>
      <w:r>
        <w:rPr/>
        <w:t>(2014)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heterogeneous</w:t>
      </w:r>
      <w:r>
        <w:rPr>
          <w:spacing w:val="-7"/>
        </w:rPr>
        <w:t> </w:t>
      </w:r>
      <w:r>
        <w:rPr/>
        <w:t>bias,</w:t>
      </w:r>
      <w:r>
        <w:rPr>
          <w:spacing w:val="-9"/>
        </w:rPr>
        <w:t> </w:t>
      </w:r>
      <w:r>
        <w:rPr/>
        <w:t>where</w:t>
      </w:r>
      <w:r>
        <w:rPr>
          <w:spacing w:val="-9"/>
        </w:rPr>
        <w:t> </w:t>
      </w:r>
      <w:r>
        <w:rPr/>
        <w:t>both</w:t>
      </w:r>
      <w:r>
        <w:rPr>
          <w:spacing w:val="-7"/>
        </w:rPr>
        <w:t> </w:t>
      </w:r>
      <w:r>
        <w:rPr/>
        <w:t>developed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developing</w:t>
      </w:r>
      <w:r>
        <w:rPr>
          <w:spacing w:val="-57"/>
        </w:rPr>
        <w:t> </w:t>
      </w:r>
      <w:r>
        <w:rPr/>
        <w:t>nations were lopped together. Secondly, these studies collectively suggest that there might be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health risks that are</w:t>
      </w:r>
      <w:r>
        <w:rPr>
          <w:spacing w:val="-3"/>
        </w:rPr>
        <w:t> </w:t>
      </w:r>
      <w:r>
        <w:rPr/>
        <w:t>stress-associated</w:t>
      </w:r>
      <w:r>
        <w:rPr>
          <w:spacing w:val="-1"/>
        </w:rPr>
        <w:t> </w:t>
      </w:r>
      <w:r>
        <w:rPr/>
        <w:t>when</w:t>
      </w:r>
      <w:r>
        <w:rPr>
          <w:spacing w:val="2"/>
        </w:rPr>
        <w:t> </w:t>
      </w:r>
      <w:r>
        <w:rPr/>
        <w:t>the society’s</w:t>
      </w:r>
      <w:r>
        <w:rPr>
          <w:spacing w:val="-2"/>
        </w:rPr>
        <w:t> </w:t>
      </w:r>
      <w:r>
        <w:rPr/>
        <w:t>income</w:t>
      </w:r>
      <w:r>
        <w:rPr>
          <w:spacing w:val="-1"/>
        </w:rPr>
        <w:t> </w:t>
      </w:r>
      <w:r>
        <w:rPr/>
        <w:t>is unequal.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8"/>
        <w:jc w:val="both"/>
      </w:pP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contrast,</w:t>
      </w:r>
      <w:r>
        <w:rPr>
          <w:spacing w:val="-12"/>
        </w:rPr>
        <w:t> </w:t>
      </w:r>
      <w:r>
        <w:rPr>
          <w:spacing w:val="-1"/>
        </w:rPr>
        <w:t>ample</w:t>
      </w:r>
      <w:r>
        <w:rPr>
          <w:spacing w:val="-13"/>
        </w:rPr>
        <w:t> </w:t>
      </w:r>
      <w:r>
        <w:rPr/>
        <w:t>evidence</w:t>
      </w:r>
      <w:r>
        <w:rPr>
          <w:spacing w:val="-13"/>
        </w:rPr>
        <w:t> </w:t>
      </w:r>
      <w:r>
        <w:rPr/>
        <w:t>from</w:t>
      </w:r>
      <w:r>
        <w:rPr>
          <w:spacing w:val="-11"/>
        </w:rPr>
        <w:t> </w:t>
      </w:r>
      <w:r>
        <w:rPr/>
        <w:t>others</w:t>
      </w:r>
      <w:r>
        <w:rPr>
          <w:spacing w:val="-13"/>
        </w:rPr>
        <w:t> </w:t>
      </w:r>
      <w:r>
        <w:rPr/>
        <w:t>cross-country</w:t>
      </w:r>
      <w:r>
        <w:rPr>
          <w:spacing w:val="-17"/>
        </w:rPr>
        <w:t> </w:t>
      </w:r>
      <w:r>
        <w:rPr/>
        <w:t>studies</w:t>
      </w:r>
      <w:r>
        <w:rPr>
          <w:spacing w:val="-12"/>
        </w:rPr>
        <w:t> </w:t>
      </w:r>
      <w:r>
        <w:rPr/>
        <w:t>(see</w:t>
      </w:r>
      <w:r>
        <w:rPr>
          <w:spacing w:val="-11"/>
        </w:rPr>
        <w:t> </w:t>
      </w:r>
      <w:r>
        <w:rPr/>
        <w:t>Lynch,</w:t>
      </w:r>
      <w:r>
        <w:rPr>
          <w:spacing w:val="-12"/>
        </w:rPr>
        <w:t> </w:t>
      </w:r>
      <w:r>
        <w:rPr/>
        <w:t>2000;</w:t>
      </w:r>
      <w:r>
        <w:rPr>
          <w:spacing w:val="-11"/>
        </w:rPr>
        <w:t> </w:t>
      </w:r>
      <w:r>
        <w:rPr/>
        <w:t>Mellor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Milyo,</w:t>
      </w:r>
      <w:r>
        <w:rPr>
          <w:spacing w:val="-58"/>
        </w:rPr>
        <w:t> </w:t>
      </w:r>
      <w:r>
        <w:rPr>
          <w:spacing w:val="-1"/>
        </w:rPr>
        <w:t>2001;</w:t>
      </w:r>
      <w:r>
        <w:rPr>
          <w:spacing w:val="-14"/>
        </w:rPr>
        <w:t> </w:t>
      </w:r>
      <w:r>
        <w:rPr>
          <w:spacing w:val="-1"/>
        </w:rPr>
        <w:t>Shibuya,</w:t>
      </w:r>
      <w:r>
        <w:rPr>
          <w:spacing w:val="-15"/>
        </w:rPr>
        <w:t> </w:t>
      </w:r>
      <w:r>
        <w:rPr>
          <w:spacing w:val="-1"/>
        </w:rPr>
        <w:t>Hashimoto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Yano,</w:t>
      </w:r>
      <w:r>
        <w:rPr>
          <w:spacing w:val="-15"/>
        </w:rPr>
        <w:t> </w:t>
      </w:r>
      <w:r>
        <w:rPr/>
        <w:t>2002;</w:t>
      </w:r>
      <w:r>
        <w:rPr>
          <w:spacing w:val="-14"/>
        </w:rPr>
        <w:t> </w:t>
      </w:r>
      <w:r>
        <w:rPr/>
        <w:t>Gravelle,</w:t>
      </w:r>
      <w:r>
        <w:rPr>
          <w:spacing w:val="-14"/>
        </w:rPr>
        <w:t> </w:t>
      </w:r>
      <w:r>
        <w:rPr/>
        <w:t>Wildman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Sutton,</w:t>
      </w:r>
      <w:r>
        <w:rPr>
          <w:spacing w:val="-16"/>
        </w:rPr>
        <w:t> </w:t>
      </w:r>
      <w:r>
        <w:rPr/>
        <w:t>2002;</w:t>
      </w:r>
      <w:r>
        <w:rPr>
          <w:spacing w:val="-14"/>
        </w:rPr>
        <w:t> </w:t>
      </w:r>
      <w:r>
        <w:rPr/>
        <w:t>Beckfield,</w:t>
      </w:r>
      <w:r>
        <w:rPr>
          <w:spacing w:val="-14"/>
        </w:rPr>
        <w:t> </w:t>
      </w:r>
      <w:r>
        <w:rPr/>
        <w:t>2004;</w:t>
      </w:r>
      <w:r>
        <w:rPr>
          <w:spacing w:val="-57"/>
        </w:rPr>
        <w:t> </w:t>
      </w:r>
      <w:r>
        <w:rPr/>
        <w:t>Lynch, Harper, Davey-Smith and Hilleneier, 2004; Lynch </w:t>
      </w:r>
      <w:r>
        <w:rPr>
          <w:i/>
        </w:rPr>
        <w:t>et al. </w:t>
      </w:r>
      <w:r>
        <w:rPr/>
        <w:t>2007, 2009; Schell </w:t>
      </w:r>
      <w:r>
        <w:rPr>
          <w:i/>
        </w:rPr>
        <w:t>et al. </w:t>
      </w:r>
      <w:r>
        <w:rPr/>
        <w:t>2014;</w:t>
      </w:r>
      <w:r>
        <w:rPr>
          <w:spacing w:val="1"/>
        </w:rPr>
        <w:t> </w:t>
      </w:r>
      <w:r>
        <w:rPr/>
        <w:t>Herzer, 2015; and Rebeira, </w:t>
      </w:r>
      <w:r>
        <w:rPr>
          <w:i/>
        </w:rPr>
        <w:t>et al., </w:t>
      </w:r>
      <w:r>
        <w:rPr/>
        <w:t>2017) found that </w:t>
      </w:r>
      <w:r>
        <w:rPr>
          <w:i/>
        </w:rPr>
        <w:t>rising </w:t>
      </w:r>
      <w:r>
        <w:rPr/>
        <w:t>income inequality is related with good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outcomes.</w:t>
      </w:r>
    </w:p>
    <w:p>
      <w:pPr>
        <w:pStyle w:val="BodyText"/>
        <w:spacing w:line="360" w:lineRule="auto" w:before="230"/>
        <w:ind w:left="160" w:right="158"/>
        <w:jc w:val="both"/>
      </w:pPr>
      <w:r>
        <w:rPr/>
        <w:t>Rebeira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>
          <w:i/>
          <w:spacing w:val="-3"/>
        </w:rPr>
        <w:t> </w:t>
      </w:r>
      <w:r>
        <w:rPr/>
        <w:t>(2017)</w:t>
      </w:r>
      <w:r>
        <w:rPr>
          <w:spacing w:val="-4"/>
        </w:rPr>
        <w:t> </w:t>
      </w:r>
      <w:r>
        <w:rPr/>
        <w:t>examined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impact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10"/>
        </w:rPr>
        <w:t> </w:t>
      </w:r>
      <w:r>
        <w:rPr/>
        <w:t>on</w:t>
      </w:r>
      <w:r>
        <w:rPr>
          <w:spacing w:val="-4"/>
        </w:rPr>
        <w:t> </w:t>
      </w:r>
      <w:r>
        <w:rPr/>
        <w:t>mortality.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  <w:r>
        <w:rPr>
          <w:spacing w:val="-8"/>
        </w:rPr>
        <w:t> </w:t>
      </w:r>
      <w:r>
        <w:rPr/>
        <w:t>employed</w:t>
      </w:r>
      <w:r>
        <w:rPr>
          <w:spacing w:val="-58"/>
        </w:rPr>
        <w:t> </w:t>
      </w:r>
      <w:r>
        <w:rPr/>
        <w:t>both dynamic OLS and panel co-integration techniques on 10 developed countries from 1950 to</w:t>
      </w:r>
      <w:r>
        <w:rPr>
          <w:spacing w:val="1"/>
        </w:rPr>
        <w:t> </w:t>
      </w:r>
      <w:r>
        <w:rPr>
          <w:spacing w:val="-1"/>
        </w:rPr>
        <w:t>2008.</w:t>
      </w:r>
      <w:r>
        <w:rPr>
          <w:spacing w:val="-10"/>
        </w:rPr>
        <w:t> </w:t>
      </w:r>
      <w:r>
        <w:rPr>
          <w:spacing w:val="-1"/>
        </w:rPr>
        <w:t>Their</w:t>
      </w:r>
      <w:r>
        <w:rPr>
          <w:spacing w:val="-10"/>
        </w:rPr>
        <w:t> </w:t>
      </w:r>
      <w:r>
        <w:rPr/>
        <w:t>study</w:t>
      </w:r>
      <w:r>
        <w:rPr>
          <w:spacing w:val="-14"/>
        </w:rPr>
        <w:t> </w:t>
      </w:r>
      <w:r>
        <w:rPr/>
        <w:t>indicate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>
          <w:i/>
        </w:rPr>
        <w:t>rising</w:t>
      </w:r>
      <w:r>
        <w:rPr>
          <w:i/>
          <w:spacing w:val="-8"/>
        </w:rPr>
        <w:t> </w:t>
      </w:r>
      <w:r>
        <w:rPr/>
        <w:t>income</w:t>
      </w:r>
      <w:r>
        <w:rPr>
          <w:spacing w:val="-11"/>
        </w:rPr>
        <w:t> </w:t>
      </w:r>
      <w:r>
        <w:rPr/>
        <w:t>disparity</w:t>
      </w:r>
      <w:r>
        <w:rPr>
          <w:spacing w:val="-15"/>
        </w:rPr>
        <w:t> </w:t>
      </w:r>
      <w:r>
        <w:rPr/>
        <w:t>appears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long-run</w:t>
      </w:r>
      <w:r>
        <w:rPr>
          <w:spacing w:val="-10"/>
        </w:rPr>
        <w:t> </w:t>
      </w:r>
      <w:r>
        <w:rPr/>
        <w:t>significant</w:t>
      </w:r>
      <w:r>
        <w:rPr>
          <w:spacing w:val="-9"/>
        </w:rPr>
        <w:t> </w:t>
      </w:r>
      <w:r>
        <w:rPr>
          <w:i/>
        </w:rPr>
        <w:t>inverse</w:t>
      </w:r>
      <w:r>
        <w:rPr>
          <w:i/>
          <w:spacing w:val="-57"/>
        </w:rPr>
        <w:t> </w:t>
      </w:r>
      <w:r>
        <w:rPr/>
        <w:t>effect on adult deaths; such that for every 1% </w:t>
      </w:r>
      <w:r>
        <w:rPr>
          <w:i/>
        </w:rPr>
        <w:t>rise </w:t>
      </w:r>
      <w:r>
        <w:rPr/>
        <w:t>in income disparity, deaths </w:t>
      </w:r>
      <w:r>
        <w:rPr>
          <w:i/>
        </w:rPr>
        <w:t>decline </w:t>
      </w:r>
      <w:r>
        <w:rPr/>
        <w:t>by 0.038%</w:t>
      </w:r>
      <w:r>
        <w:rPr>
          <w:spacing w:val="1"/>
        </w:rPr>
        <w:t> </w:t>
      </w:r>
      <w:r>
        <w:rPr/>
        <w:t>points. Herzer and Nunnenkam (2015) analyzed the relationship between income inequality and</w:t>
      </w:r>
      <w:r>
        <w:rPr>
          <w:spacing w:val="1"/>
        </w:rPr>
        <w:t> </w:t>
      </w:r>
      <w:r>
        <w:rPr/>
        <w:t>health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both</w:t>
      </w:r>
      <w:r>
        <w:rPr>
          <w:spacing w:val="-3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developing</w:t>
      </w:r>
      <w:r>
        <w:rPr>
          <w:spacing w:val="-6"/>
        </w:rPr>
        <w:t> </w:t>
      </w:r>
      <w:r>
        <w:rPr/>
        <w:t>countries.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authors also</w:t>
      </w:r>
      <w:r>
        <w:rPr>
          <w:spacing w:val="-2"/>
        </w:rPr>
        <w:t> </w:t>
      </w:r>
      <w:r>
        <w:rPr/>
        <w:t>used</w:t>
      </w:r>
      <w:r>
        <w:rPr>
          <w:spacing w:val="-4"/>
        </w:rPr>
        <w:t> </w:t>
      </w:r>
      <w:r>
        <w:rPr/>
        <w:t>dynamic</w:t>
      </w:r>
      <w:r>
        <w:rPr>
          <w:spacing w:val="-4"/>
        </w:rPr>
        <w:t> </w:t>
      </w:r>
      <w:r>
        <w:rPr/>
        <w:t>OLS</w:t>
      </w:r>
      <w:r>
        <w:rPr>
          <w:spacing w:val="-3"/>
        </w:rPr>
        <w:t> </w:t>
      </w:r>
      <w:r>
        <w:rPr/>
        <w:t>model</w:t>
      </w:r>
      <w:r>
        <w:rPr>
          <w:spacing w:val="-57"/>
        </w:rPr>
        <w:t> </w:t>
      </w:r>
      <w:r>
        <w:rPr/>
        <w:t>and found that </w:t>
      </w:r>
      <w:r>
        <w:rPr>
          <w:i/>
        </w:rPr>
        <w:t>rising </w:t>
      </w:r>
      <w:r>
        <w:rPr/>
        <w:t>income inequality has </w:t>
      </w:r>
      <w:r>
        <w:rPr>
          <w:i/>
        </w:rPr>
        <w:t>direct </w:t>
      </w:r>
      <w:r>
        <w:rPr/>
        <w:t>effect on longevity in 19 developed nations;</w:t>
      </w:r>
      <w:r>
        <w:rPr>
          <w:spacing w:val="1"/>
        </w:rPr>
        <w:t> </w:t>
      </w:r>
      <w:r>
        <w:rPr/>
        <w:t>where income inequality has been responsible for 2.32% of the annual increase in longevity in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countries.</w:t>
      </w:r>
    </w:p>
    <w:p>
      <w:pPr>
        <w:pStyle w:val="BodyText"/>
        <w:spacing w:line="360" w:lineRule="auto" w:before="184"/>
        <w:ind w:left="160" w:right="153"/>
        <w:jc w:val="both"/>
      </w:pPr>
      <w:r>
        <w:rPr/>
        <w:t>Schell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>
          <w:i/>
          <w:spacing w:val="-2"/>
        </w:rPr>
        <w:t> </w:t>
      </w:r>
      <w:r>
        <w:rPr/>
        <w:t>(2014)</w:t>
      </w:r>
      <w:r>
        <w:rPr>
          <w:spacing w:val="-5"/>
        </w:rPr>
        <w:t> </w:t>
      </w:r>
      <w:r>
        <w:rPr/>
        <w:t>applies</w:t>
      </w:r>
      <w:r>
        <w:rPr>
          <w:spacing w:val="-3"/>
        </w:rPr>
        <w:t> </w:t>
      </w:r>
      <w:r>
        <w:rPr/>
        <w:t>multivariate</w:t>
      </w:r>
      <w:r>
        <w:rPr>
          <w:spacing w:val="-4"/>
        </w:rPr>
        <w:t> </w:t>
      </w:r>
      <w:r>
        <w:rPr/>
        <w:t>linear</w:t>
      </w:r>
      <w:r>
        <w:rPr>
          <w:spacing w:val="-4"/>
        </w:rPr>
        <w:t> </w:t>
      </w:r>
      <w:r>
        <w:rPr/>
        <w:t>regression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explore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income</w:t>
      </w:r>
      <w:r>
        <w:rPr>
          <w:spacing w:val="-4"/>
        </w:rPr>
        <w:t> </w:t>
      </w:r>
      <w:r>
        <w:rPr/>
        <w:t>disparity</w:t>
      </w:r>
      <w:r>
        <w:rPr>
          <w:spacing w:val="-58"/>
        </w:rPr>
        <w:t> </w:t>
      </w:r>
      <w:r>
        <w:rPr/>
        <w:t>on health outcomes in 152 developed nations. The study finds </w:t>
      </w:r>
      <w:r>
        <w:rPr>
          <w:i/>
        </w:rPr>
        <w:t>no </w:t>
      </w:r>
      <w:r>
        <w:rPr/>
        <w:t>support for IIH hypothesis but</w:t>
      </w:r>
      <w:r>
        <w:rPr>
          <w:spacing w:val="1"/>
        </w:rPr>
        <w:t> </w:t>
      </w:r>
      <w:r>
        <w:rPr/>
        <w:t>indicate that rising income disparity accounts for lower infant deaths. The results from the 2003</w:t>
      </w:r>
      <w:r>
        <w:rPr>
          <w:spacing w:val="1"/>
        </w:rPr>
        <w:t> </w:t>
      </w:r>
      <w:r>
        <w:rPr/>
        <w:t>World Bank Indicator reveals that a unit increase in income disparity would improve children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0.51%</w:t>
      </w:r>
      <w:r>
        <w:rPr>
          <w:spacing w:val="-1"/>
        </w:rPr>
        <w:t> </w:t>
      </w:r>
      <w:r>
        <w:rPr/>
        <w:t>at 1% significant level.</w:t>
      </w:r>
    </w:p>
    <w:p>
      <w:pPr>
        <w:pStyle w:val="BodyText"/>
        <w:spacing w:line="360" w:lineRule="auto" w:before="185"/>
        <w:ind w:left="160" w:right="154"/>
        <w:jc w:val="both"/>
      </w:pPr>
      <w:r>
        <w:rPr/>
        <w:t>Herzer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Nunnenkam</w:t>
      </w:r>
      <w:r>
        <w:rPr>
          <w:spacing w:val="-3"/>
        </w:rPr>
        <w:t> </w:t>
      </w:r>
      <w:r>
        <w:rPr/>
        <w:t>(2011)</w:t>
      </w:r>
      <w:r>
        <w:rPr>
          <w:spacing w:val="-4"/>
        </w:rPr>
        <w:t> </w:t>
      </w:r>
      <w:r>
        <w:rPr/>
        <w:t>examined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impacts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income</w:t>
      </w:r>
      <w:r>
        <w:rPr>
          <w:spacing w:val="-4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panel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35</w:t>
      </w:r>
      <w:r>
        <w:rPr>
          <w:spacing w:val="-8"/>
        </w:rPr>
        <w:t> </w:t>
      </w:r>
      <w:r>
        <w:rPr>
          <w:spacing w:val="-1"/>
        </w:rPr>
        <w:t>developed</w:t>
      </w:r>
      <w:r>
        <w:rPr>
          <w:spacing w:val="-7"/>
        </w:rPr>
        <w:t> </w:t>
      </w:r>
      <w:r>
        <w:rPr/>
        <w:t>countries.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findings</w:t>
      </w:r>
      <w:r>
        <w:rPr>
          <w:spacing w:val="-7"/>
        </w:rPr>
        <w:t> </w:t>
      </w:r>
      <w:r>
        <w:rPr/>
        <w:t>likewise</w:t>
      </w:r>
      <w:r>
        <w:rPr>
          <w:spacing w:val="-7"/>
        </w:rPr>
        <w:t> </w:t>
      </w:r>
      <w:r>
        <w:rPr/>
        <w:t>show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income</w:t>
      </w:r>
      <w:r>
        <w:rPr>
          <w:spacing w:val="-9"/>
        </w:rPr>
        <w:t> </w:t>
      </w:r>
      <w:r>
        <w:rPr/>
        <w:t>inequality</w:t>
      </w:r>
      <w:r>
        <w:rPr>
          <w:spacing w:val="-14"/>
        </w:rPr>
        <w:t> </w:t>
      </w:r>
      <w:r>
        <w:rPr/>
        <w:t>typically</w:t>
      </w:r>
      <w:r>
        <w:rPr>
          <w:spacing w:val="-12"/>
        </w:rPr>
        <w:t> </w:t>
      </w:r>
      <w:r>
        <w:rPr/>
        <w:t>rise</w:t>
      </w:r>
      <w:r>
        <w:rPr>
          <w:spacing w:val="-8"/>
        </w:rPr>
        <w:t> </w:t>
      </w:r>
      <w:r>
        <w:rPr/>
        <w:t>average</w:t>
      </w:r>
      <w:r>
        <w:rPr>
          <w:spacing w:val="-58"/>
        </w:rPr>
        <w:t> </w:t>
      </w:r>
      <w:r>
        <w:rPr/>
        <w:t>longevity;</w:t>
      </w:r>
      <w:r>
        <w:rPr>
          <w:spacing w:val="-8"/>
        </w:rPr>
        <w:t> </w:t>
      </w:r>
      <w:r>
        <w:rPr/>
        <w:t>but</w:t>
      </w:r>
      <w:r>
        <w:rPr>
          <w:spacing w:val="-8"/>
        </w:rPr>
        <w:t> </w:t>
      </w:r>
      <w:r>
        <w:rPr/>
        <w:t>had</w:t>
      </w:r>
      <w:r>
        <w:rPr>
          <w:spacing w:val="-9"/>
        </w:rPr>
        <w:t> </w:t>
      </w:r>
      <w:r>
        <w:rPr/>
        <w:t>an</w:t>
      </w:r>
      <w:r>
        <w:rPr>
          <w:spacing w:val="-7"/>
        </w:rPr>
        <w:t> </w:t>
      </w:r>
      <w:r>
        <w:rPr/>
        <w:t>inverse</w:t>
      </w:r>
      <w:r>
        <w:rPr>
          <w:spacing w:val="-9"/>
        </w:rPr>
        <w:t> </w:t>
      </w:r>
      <w:r>
        <w:rPr/>
        <w:t>effect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longevity</w:t>
      </w:r>
      <w:r>
        <w:rPr>
          <w:spacing w:val="-13"/>
        </w:rPr>
        <w:t> </w:t>
      </w:r>
      <w:r>
        <w:rPr/>
        <w:t>in</w:t>
      </w:r>
      <w:r>
        <w:rPr>
          <w:spacing w:val="-9"/>
        </w:rPr>
        <w:t> </w:t>
      </w:r>
      <w:r>
        <w:rPr/>
        <w:t>developing</w:t>
      </w:r>
      <w:r>
        <w:rPr>
          <w:spacing w:val="-8"/>
        </w:rPr>
        <w:t> </w:t>
      </w:r>
      <w:r>
        <w:rPr/>
        <w:t>countries.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OLS</w:t>
      </w:r>
      <w:r>
        <w:rPr>
          <w:spacing w:val="-6"/>
        </w:rPr>
        <w:t> </w:t>
      </w:r>
      <w:r>
        <w:rPr/>
        <w:t>model</w:t>
      </w:r>
      <w:r>
        <w:rPr>
          <w:spacing w:val="-9"/>
        </w:rPr>
        <w:t> </w:t>
      </w:r>
      <w:r>
        <w:rPr/>
        <w:t>indicate</w:t>
      </w:r>
      <w:r>
        <w:rPr>
          <w:spacing w:val="-58"/>
        </w:rPr>
        <w:t> </w:t>
      </w:r>
      <w:r>
        <w:rPr/>
        <w:t>that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1-point</w:t>
      </w:r>
      <w:r>
        <w:rPr>
          <w:spacing w:val="-2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 income</w:t>
      </w:r>
      <w:r>
        <w:rPr>
          <w:spacing w:val="-3"/>
        </w:rPr>
        <w:t> </w:t>
      </w:r>
      <w:r>
        <w:rPr/>
        <w:t>inequality</w:t>
      </w:r>
      <w:r>
        <w:rPr>
          <w:spacing w:val="-9"/>
        </w:rPr>
        <w:t> </w:t>
      </w:r>
      <w:r>
        <w:rPr/>
        <w:t>would rises</w:t>
      </w:r>
      <w:r>
        <w:rPr>
          <w:spacing w:val="-3"/>
        </w:rPr>
        <w:t> </w:t>
      </w:r>
      <w:r>
        <w:rPr/>
        <w:t>life</w:t>
      </w:r>
      <w:r>
        <w:rPr>
          <w:spacing w:val="-5"/>
        </w:rPr>
        <w:t> </w:t>
      </w:r>
      <w:r>
        <w:rPr/>
        <w:t>expectancy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0.065%.</w:t>
      </w:r>
      <w:r>
        <w:rPr>
          <w:spacing w:val="-3"/>
        </w:rPr>
        <w:t> </w:t>
      </w:r>
      <w:r>
        <w:rPr/>
        <w:t>Shkolnikov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</w:t>
      </w:r>
      <w:r>
        <w:rPr>
          <w:i/>
          <w:spacing w:val="-3"/>
        </w:rPr>
        <w:t> </w:t>
      </w:r>
      <w:r>
        <w:rPr/>
        <w:t>(2011)</w:t>
      </w:r>
      <w:r>
        <w:rPr>
          <w:spacing w:val="-4"/>
        </w:rPr>
        <w:t> </w:t>
      </w:r>
      <w:r>
        <w:rPr/>
        <w:t>investigated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losses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expected</w:t>
      </w:r>
      <w:r>
        <w:rPr>
          <w:spacing w:val="-3"/>
        </w:rPr>
        <w:t> </w:t>
      </w:r>
      <w:r>
        <w:rPr/>
        <w:t>lifetime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United</w:t>
      </w:r>
      <w:r>
        <w:rPr>
          <w:spacing w:val="-1"/>
        </w:rPr>
        <w:t> </w:t>
      </w:r>
      <w:r>
        <w:rPr/>
        <w:t>States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4"/>
        </w:rPr>
        <w:t> </w:t>
      </w:r>
      <w:r>
        <w:rPr/>
        <w:t>16</w:t>
      </w:r>
      <w:r>
        <w:rPr>
          <w:spacing w:val="-4"/>
        </w:rPr>
        <w:t> </w:t>
      </w:r>
      <w:r>
        <w:rPr/>
        <w:t>developed</w:t>
      </w:r>
      <w:r>
        <w:rPr>
          <w:spacing w:val="-57"/>
        </w:rPr>
        <w:t> </w:t>
      </w:r>
      <w:r>
        <w:rPr/>
        <w:t>countries. The fixed effect estimation findings revealed that rises in income inequality does </w:t>
      </w:r>
      <w:r>
        <w:rPr>
          <w:i/>
        </w:rPr>
        <w:t>not</w:t>
      </w:r>
      <w:r>
        <w:rPr>
          <w:i/>
          <w:spacing w:val="1"/>
        </w:rPr>
        <w:t> </w:t>
      </w:r>
      <w:r>
        <w:rPr/>
        <w:t>explain</w:t>
      </w:r>
      <w:r>
        <w:rPr>
          <w:spacing w:val="-1"/>
        </w:rPr>
        <w:t> </w:t>
      </w:r>
      <w:r>
        <w:rPr/>
        <w:t>reduction in life</w:t>
      </w:r>
      <w:r>
        <w:rPr>
          <w:spacing w:val="-2"/>
        </w:rPr>
        <w:t> </w:t>
      </w:r>
      <w:r>
        <w:rPr/>
        <w:t>expectancy</w:t>
      </w:r>
      <w:r>
        <w:rPr>
          <w:spacing w:val="-5"/>
        </w:rPr>
        <w:t> </w:t>
      </w:r>
      <w:r>
        <w:rPr/>
        <w:t>losses.</w:t>
      </w:r>
    </w:p>
    <w:p>
      <w:pPr>
        <w:pStyle w:val="BodyText"/>
        <w:spacing w:line="360" w:lineRule="auto" w:before="138"/>
        <w:ind w:left="160" w:right="157"/>
        <w:jc w:val="both"/>
      </w:pPr>
      <w:r>
        <w:rPr/>
        <w:t>Leigh and Jencks (2007) empirically analyzed long-run effect of income inequality on mortality</w:t>
      </w:r>
      <w:r>
        <w:rPr>
          <w:spacing w:val="1"/>
        </w:rPr>
        <w:t> </w:t>
      </w:r>
      <w:r>
        <w:rPr/>
        <w:t>from</w:t>
      </w:r>
      <w:r>
        <w:rPr>
          <w:spacing w:val="-12"/>
        </w:rPr>
        <w:t> </w:t>
      </w:r>
      <w:r>
        <w:rPr/>
        <w:t>12</w:t>
      </w:r>
      <w:r>
        <w:rPr>
          <w:spacing w:val="-12"/>
        </w:rPr>
        <w:t> </w:t>
      </w:r>
      <w:r>
        <w:rPr/>
        <w:t>developed</w:t>
      </w:r>
      <w:r>
        <w:rPr>
          <w:spacing w:val="-10"/>
        </w:rPr>
        <w:t> </w:t>
      </w:r>
      <w:r>
        <w:rPr/>
        <w:t>nations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1903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2003.</w:t>
      </w:r>
      <w:r>
        <w:rPr>
          <w:spacing w:val="-10"/>
        </w:rPr>
        <w:t> </w:t>
      </w:r>
      <w:r>
        <w:rPr/>
        <w:t>Their</w:t>
      </w:r>
      <w:r>
        <w:rPr>
          <w:spacing w:val="-12"/>
        </w:rPr>
        <w:t> </w:t>
      </w:r>
      <w:r>
        <w:rPr/>
        <w:t>study</w:t>
      </w:r>
      <w:r>
        <w:rPr>
          <w:spacing w:val="-17"/>
        </w:rPr>
        <w:t> </w:t>
      </w:r>
      <w:r>
        <w:rPr/>
        <w:t>found</w:t>
      </w:r>
      <w:r>
        <w:rPr>
          <w:spacing w:val="-10"/>
        </w:rPr>
        <w:t> </w:t>
      </w:r>
      <w:r>
        <w:rPr/>
        <w:t>that</w:t>
      </w:r>
      <w:r>
        <w:rPr>
          <w:spacing w:val="-12"/>
        </w:rPr>
        <w:t> </w:t>
      </w:r>
      <w:r>
        <w:rPr/>
        <w:t>increasing</w:t>
      </w:r>
      <w:r>
        <w:rPr>
          <w:spacing w:val="-13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inequality</w:t>
      </w:r>
      <w:r>
        <w:rPr>
          <w:spacing w:val="-57"/>
        </w:rPr>
        <w:t> </w:t>
      </w:r>
      <w:r>
        <w:rPr>
          <w:i/>
        </w:rPr>
        <w:t>directly</w:t>
      </w:r>
      <w:r>
        <w:rPr>
          <w:i/>
          <w:spacing w:val="-4"/>
        </w:rPr>
        <w:t> </w:t>
      </w:r>
      <w:r>
        <w:rPr/>
        <w:t>related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longevity.</w:t>
      </w:r>
      <w:r>
        <w:rPr>
          <w:spacing w:val="-1"/>
        </w:rPr>
        <w:t> </w:t>
      </w:r>
      <w:r>
        <w:rPr/>
        <w:t>Bechfield</w:t>
      </w:r>
      <w:r>
        <w:rPr>
          <w:spacing w:val="-1"/>
        </w:rPr>
        <w:t> </w:t>
      </w:r>
      <w:r>
        <w:rPr/>
        <w:t>(2004)</w:t>
      </w:r>
      <w:r>
        <w:rPr>
          <w:spacing w:val="-5"/>
        </w:rPr>
        <w:t> </w:t>
      </w:r>
      <w:r>
        <w:rPr/>
        <w:t>questioned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income</w:t>
      </w:r>
      <w:r>
        <w:rPr>
          <w:spacing w:val="1"/>
        </w:rPr>
        <w:t> </w:t>
      </w:r>
      <w:r>
        <w:rPr/>
        <w:t>inequality</w:t>
      </w:r>
      <w:r>
        <w:rPr>
          <w:spacing w:val="-9"/>
        </w:rPr>
        <w:t> </w:t>
      </w:r>
      <w:r>
        <w:rPr/>
        <w:t>harm</w:t>
      </w:r>
      <w:r>
        <w:rPr>
          <w:spacing w:val="-4"/>
        </w:rPr>
        <w:t> </w:t>
      </w:r>
      <w:r>
        <w:rPr/>
        <w:t>health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63"/>
        <w:jc w:val="both"/>
      </w:pPr>
      <w:r>
        <w:rPr/>
        <w:t>in 115 countries. The authors applied fixed effect model to consider unobserved heterogeneity 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obtained </w:t>
      </w:r>
      <w:r>
        <w:rPr>
          <w:i/>
        </w:rPr>
        <w:t>no </w:t>
      </w:r>
      <w:r>
        <w:rPr/>
        <w:t>support for</w:t>
      </w:r>
      <w:r>
        <w:rPr>
          <w:spacing w:val="1"/>
        </w:rPr>
        <w:t> </w:t>
      </w:r>
      <w:r>
        <w:rPr/>
        <w:t>IIH hypothesis.</w:t>
      </w:r>
    </w:p>
    <w:p>
      <w:pPr>
        <w:pStyle w:val="BodyText"/>
        <w:spacing w:line="360" w:lineRule="auto" w:before="116"/>
        <w:ind w:left="160" w:right="156"/>
        <w:jc w:val="both"/>
      </w:pPr>
      <w:r>
        <w:rPr/>
        <w:t>In a sample of 75 countries, Gravelle </w:t>
      </w:r>
      <w:r>
        <w:rPr>
          <w:i/>
        </w:rPr>
        <w:t>et al. </w:t>
      </w:r>
      <w:r>
        <w:rPr/>
        <w:t>(2002) investigated the relationship between income,</w:t>
      </w:r>
      <w:r>
        <w:rPr>
          <w:spacing w:val="1"/>
        </w:rPr>
        <w:t> </w:t>
      </w:r>
      <w:r>
        <w:rPr/>
        <w:t>income</w:t>
      </w:r>
      <w:r>
        <w:rPr>
          <w:spacing w:val="-11"/>
        </w:rPr>
        <w:t> </w:t>
      </w:r>
      <w:r>
        <w:rPr/>
        <w:t>inequality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health.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panel</w:t>
      </w:r>
      <w:r>
        <w:rPr>
          <w:spacing w:val="-9"/>
        </w:rPr>
        <w:t> </w:t>
      </w:r>
      <w:r>
        <w:rPr/>
        <w:t>regression</w:t>
      </w:r>
      <w:r>
        <w:rPr>
          <w:spacing w:val="-9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fails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find</w:t>
      </w:r>
      <w:r>
        <w:rPr>
          <w:spacing w:val="-9"/>
        </w:rPr>
        <w:t> </w:t>
      </w:r>
      <w:r>
        <w:rPr/>
        <w:t>any</w:t>
      </w:r>
      <w:r>
        <w:rPr>
          <w:spacing w:val="-13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relation</w:t>
      </w:r>
      <w:r>
        <w:rPr>
          <w:spacing w:val="-58"/>
        </w:rPr>
        <w:t> </w:t>
      </w:r>
      <w:r>
        <w:rPr/>
        <w:t>between</w:t>
      </w:r>
      <w:r>
        <w:rPr>
          <w:spacing w:val="-4"/>
        </w:rPr>
        <w:t> </w:t>
      </w:r>
      <w:r>
        <w:rPr/>
        <w:t>income</w:t>
      </w:r>
      <w:r>
        <w:rPr>
          <w:spacing w:val="-3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health.</w:t>
      </w:r>
      <w:r>
        <w:rPr>
          <w:spacing w:val="-3"/>
        </w:rPr>
        <w:t> </w:t>
      </w:r>
      <w:r>
        <w:rPr/>
        <w:t>Mellor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Milyo</w:t>
      </w:r>
      <w:r>
        <w:rPr>
          <w:spacing w:val="-4"/>
        </w:rPr>
        <w:t> </w:t>
      </w:r>
      <w:r>
        <w:rPr/>
        <w:t>(2001)</w:t>
      </w:r>
      <w:r>
        <w:rPr>
          <w:spacing w:val="-4"/>
        </w:rPr>
        <w:t> </w:t>
      </w:r>
      <w:r>
        <w:rPr/>
        <w:t>re-examined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of an</w:t>
      </w:r>
      <w:r>
        <w:rPr>
          <w:spacing w:val="-58"/>
        </w:rPr>
        <w:t> </w:t>
      </w:r>
      <w:r>
        <w:rPr/>
        <w:t>ecological</w:t>
      </w:r>
      <w:r>
        <w:rPr>
          <w:spacing w:val="-6"/>
        </w:rPr>
        <w:t> </w:t>
      </w:r>
      <w:r>
        <w:rPr/>
        <w:t>association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47</w:t>
      </w:r>
      <w:r>
        <w:rPr>
          <w:spacing w:val="-6"/>
        </w:rPr>
        <w:t> </w:t>
      </w:r>
      <w:r>
        <w:rPr/>
        <w:t>countries.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panel</w:t>
      </w:r>
      <w:r>
        <w:rPr>
          <w:spacing w:val="-6"/>
        </w:rPr>
        <w:t> </w:t>
      </w:r>
      <w:r>
        <w:rPr/>
        <w:t>regression</w:t>
      </w:r>
      <w:r>
        <w:rPr>
          <w:spacing w:val="-57"/>
        </w:rPr>
        <w:t> </w:t>
      </w:r>
      <w:r>
        <w:rPr/>
        <w:t>technique</w:t>
      </w:r>
      <w:r>
        <w:rPr>
          <w:spacing w:val="-3"/>
        </w:rPr>
        <w:t> </w:t>
      </w:r>
      <w:r>
        <w:rPr/>
        <w:t>results</w:t>
      </w:r>
      <w:r>
        <w:rPr>
          <w:spacing w:val="-3"/>
        </w:rPr>
        <w:t> </w:t>
      </w:r>
      <w:r>
        <w:rPr/>
        <w:t>reported</w:t>
      </w:r>
      <w:r>
        <w:rPr>
          <w:spacing w:val="-1"/>
        </w:rPr>
        <w:t> </w:t>
      </w:r>
      <w:r>
        <w:rPr>
          <w:i/>
        </w:rPr>
        <w:t>direct</w:t>
      </w:r>
      <w:r>
        <w:rPr>
          <w:i/>
          <w:spacing w:val="-2"/>
        </w:rPr>
        <w:t> </w:t>
      </w:r>
      <w:r>
        <w:rPr/>
        <w:t>nexus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disparity</w:t>
      </w:r>
      <w:r>
        <w:rPr>
          <w:spacing w:val="-8"/>
        </w:rPr>
        <w:t> </w:t>
      </w:r>
      <w:r>
        <w:rPr/>
        <w:t>in</w:t>
      </w:r>
      <w:r>
        <w:rPr>
          <w:spacing w:val="-2"/>
        </w:rPr>
        <w:t> </w:t>
      </w:r>
      <w:r>
        <w:rPr/>
        <w:t>income</w:t>
      </w:r>
      <w:r>
        <w:rPr>
          <w:spacing w:val="-4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longevity</w:t>
      </w:r>
      <w:r>
        <w:rPr>
          <w:spacing w:val="-57"/>
        </w:rPr>
        <w:t> </w:t>
      </w:r>
      <w:r>
        <w:rPr/>
        <w:t>once</w:t>
      </w:r>
      <w:r>
        <w:rPr>
          <w:spacing w:val="-2"/>
        </w:rPr>
        <w:t> </w:t>
      </w:r>
      <w:r>
        <w:rPr/>
        <w:t>education was controlled for.</w:t>
      </w:r>
    </w:p>
    <w:p>
      <w:pPr>
        <w:pStyle w:val="BodyText"/>
        <w:spacing w:line="360" w:lineRule="auto" w:before="116"/>
        <w:ind w:left="160" w:right="156"/>
        <w:jc w:val="both"/>
      </w:pPr>
      <w:r>
        <w:rPr/>
        <w:t>Clearly, these findings reveal rising income inequality does not retrogress health. They suggest</w:t>
      </w:r>
      <w:r>
        <w:rPr>
          <w:spacing w:val="1"/>
        </w:rPr>
        <w:t> </w:t>
      </w:r>
      <w:r>
        <w:rPr/>
        <w:t>possibility of other factors such as the globalization, health-related welfare policies, gender and</w:t>
      </w:r>
      <w:r>
        <w:rPr>
          <w:spacing w:val="1"/>
        </w:rPr>
        <w:t> </w:t>
      </w:r>
      <w:r>
        <w:rPr/>
        <w:t>class relations, racial inequalities and environmental changes declining health. However, due to</w:t>
      </w:r>
      <w:r>
        <w:rPr>
          <w:spacing w:val="1"/>
        </w:rPr>
        <w:t> </w:t>
      </w:r>
      <w:r>
        <w:rPr/>
        <w:t>the comparability of trans-country data, both health economists and epidemiologists alike have</w:t>
      </w:r>
      <w:r>
        <w:rPr>
          <w:spacing w:val="1"/>
        </w:rPr>
        <w:t> </w:t>
      </w:r>
      <w:r>
        <w:rPr/>
        <w:t>raised some doubts about these findings and suggest using country-specific data on income</w:t>
      </w:r>
      <w:r>
        <w:rPr>
          <w:spacing w:val="1"/>
        </w:rPr>
        <w:t> </w:t>
      </w:r>
      <w:r>
        <w:rPr/>
        <w:t>inequality-health</w:t>
      </w:r>
      <w:r>
        <w:rPr>
          <w:spacing w:val="-1"/>
        </w:rPr>
        <w:t> </w:t>
      </w:r>
      <w:r>
        <w:rPr/>
        <w:t>(IIH)</w:t>
      </w:r>
      <w:r>
        <w:rPr>
          <w:spacing w:val="-1"/>
        </w:rPr>
        <w:t> </w:t>
      </w:r>
      <w:r>
        <w:rPr/>
        <w:t>hypothesis.</w:t>
      </w:r>
    </w:p>
    <w:p>
      <w:pPr>
        <w:pStyle w:val="ListParagraph"/>
        <w:numPr>
          <w:ilvl w:val="2"/>
          <w:numId w:val="11"/>
        </w:numPr>
        <w:tabs>
          <w:tab w:pos="881" w:val="left" w:leader="none"/>
        </w:tabs>
        <w:spacing w:line="240" w:lineRule="auto" w:before="182" w:after="0"/>
        <w:ind w:left="880" w:right="0" w:hanging="721"/>
        <w:jc w:val="both"/>
        <w:rPr>
          <w:i/>
          <w:sz w:val="24"/>
        </w:rPr>
      </w:pPr>
      <w:r>
        <w:rPr>
          <w:i/>
          <w:sz w:val="24"/>
        </w:rPr>
        <w:t>Country-Specific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Evidence</w:t>
      </w:r>
    </w:p>
    <w:p>
      <w:pPr>
        <w:pStyle w:val="BodyText"/>
        <w:spacing w:line="360" w:lineRule="auto" w:before="140"/>
        <w:ind w:left="160" w:right="155"/>
        <w:jc w:val="both"/>
      </w:pPr>
      <w:r>
        <w:rPr/>
        <w:t>The nation-specific studies on the effects of income inequality on health is quite enormous, but</w:t>
      </w:r>
      <w:r>
        <w:rPr>
          <w:spacing w:val="1"/>
        </w:rPr>
        <w:t> </w:t>
      </w:r>
      <w:r>
        <w:rPr/>
        <w:t>also with mixed findings. Several of these studies such as, Weich </w:t>
      </w:r>
      <w:r>
        <w:rPr>
          <w:i/>
        </w:rPr>
        <w:t>et al. </w:t>
      </w:r>
      <w:r>
        <w:rPr/>
        <w:t>(2001) for Britain; Lynch</w:t>
      </w:r>
      <w:r>
        <w:rPr>
          <w:spacing w:val="-57"/>
        </w:rPr>
        <w:t> </w:t>
      </w:r>
      <w:r>
        <w:rPr>
          <w:i/>
        </w:rPr>
        <w:t>et al. </w:t>
      </w:r>
      <w:r>
        <w:rPr/>
        <w:t>(2004), and Hill </w:t>
      </w:r>
      <w:r>
        <w:rPr>
          <w:i/>
        </w:rPr>
        <w:t>et al., </w:t>
      </w:r>
      <w:r>
        <w:rPr/>
        <w:t>(2019) for United States; Liu (2017) for Canada; Wilkinson (2008)</w:t>
      </w:r>
      <w:r>
        <w:rPr>
          <w:spacing w:val="1"/>
        </w:rPr>
        <w:t> </w:t>
      </w:r>
      <w:r>
        <w:rPr/>
        <w:t>for Britain, Juan (2013) for Ecuador; Basundhara (2014) for Nepal; Pabayo </w:t>
      </w:r>
      <w:r>
        <w:rPr>
          <w:i/>
        </w:rPr>
        <w:t>et al. </w:t>
      </w:r>
      <w:r>
        <w:rPr/>
        <w:t>(2013), and</w:t>
      </w:r>
      <w:r>
        <w:rPr>
          <w:spacing w:val="1"/>
        </w:rPr>
        <w:t> </w:t>
      </w:r>
      <w:r>
        <w:rPr/>
        <w:t>Massa</w:t>
      </w:r>
      <w:r>
        <w:rPr>
          <w:spacing w:val="-12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</w:t>
      </w:r>
      <w:r>
        <w:rPr>
          <w:i/>
          <w:spacing w:val="-8"/>
        </w:rPr>
        <w:t> </w:t>
      </w:r>
      <w:r>
        <w:rPr/>
        <w:t>(2015)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Brazil;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Tan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>
          <w:i/>
          <w:spacing w:val="-7"/>
        </w:rPr>
        <w:t> </w:t>
      </w:r>
      <w:r>
        <w:rPr/>
        <w:t>(2018)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China</w:t>
      </w:r>
      <w:r>
        <w:rPr>
          <w:spacing w:val="-12"/>
        </w:rPr>
        <w:t> </w:t>
      </w:r>
      <w:r>
        <w:rPr/>
        <w:t>shown</w:t>
      </w:r>
      <w:r>
        <w:rPr>
          <w:spacing w:val="-11"/>
        </w:rPr>
        <w:t> </w:t>
      </w:r>
      <w:r>
        <w:rPr/>
        <w:t>support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income</w:t>
      </w:r>
      <w:r>
        <w:rPr>
          <w:spacing w:val="-7"/>
        </w:rPr>
        <w:t> </w:t>
      </w:r>
      <w:r>
        <w:rPr/>
        <w:t>disparity-</w:t>
      </w:r>
      <w:r>
        <w:rPr>
          <w:spacing w:val="-58"/>
        </w:rPr>
        <w:t> </w:t>
      </w:r>
      <w:r>
        <w:rPr/>
        <w:t>health</w:t>
      </w:r>
      <w:r>
        <w:rPr>
          <w:spacing w:val="-1"/>
        </w:rPr>
        <w:t> </w:t>
      </w:r>
      <w:r>
        <w:rPr/>
        <w:t>hypothesis.</w:t>
      </w:r>
      <w:r>
        <w:rPr>
          <w:spacing w:val="-1"/>
        </w:rPr>
        <w:t> </w:t>
      </w:r>
      <w:r>
        <w:rPr/>
        <w:t>Clearly,</w:t>
      </w:r>
      <w:r>
        <w:rPr>
          <w:spacing w:val="1"/>
        </w:rPr>
        <w:t> </w:t>
      </w:r>
      <w:r>
        <w:rPr/>
        <w:t>these studies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that rising</w:t>
      </w:r>
      <w:r>
        <w:rPr>
          <w:spacing w:val="-3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</w:t>
      </w:r>
      <w:r>
        <w:rPr>
          <w:spacing w:val="-2"/>
        </w:rPr>
        <w:t> </w:t>
      </w:r>
      <w:r>
        <w:rPr/>
        <w:t>worsen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status.</w:t>
      </w:r>
    </w:p>
    <w:p>
      <w:pPr>
        <w:pStyle w:val="BodyText"/>
        <w:spacing w:line="360" w:lineRule="auto" w:before="183"/>
        <w:ind w:left="160" w:right="155"/>
        <w:jc w:val="both"/>
      </w:pP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other</w:t>
      </w:r>
      <w:r>
        <w:rPr>
          <w:spacing w:val="-7"/>
        </w:rPr>
        <w:t> </w:t>
      </w:r>
      <w:r>
        <w:rPr/>
        <w:t>hand,</w:t>
      </w:r>
      <w:r>
        <w:rPr>
          <w:spacing w:val="-8"/>
        </w:rPr>
        <w:t> </w:t>
      </w:r>
      <w:r>
        <w:rPr/>
        <w:t>Mellor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Milyo</w:t>
      </w:r>
      <w:r>
        <w:rPr>
          <w:spacing w:val="-8"/>
        </w:rPr>
        <w:t> </w:t>
      </w:r>
      <w:r>
        <w:rPr/>
        <w:t>(2001),</w:t>
      </w:r>
      <w:r>
        <w:rPr>
          <w:spacing w:val="-8"/>
        </w:rPr>
        <w:t> </w:t>
      </w:r>
      <w:r>
        <w:rPr/>
        <w:t>Daly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Wilson</w:t>
      </w:r>
      <w:r>
        <w:rPr>
          <w:spacing w:val="-8"/>
        </w:rPr>
        <w:t> </w:t>
      </w:r>
      <w:r>
        <w:rPr/>
        <w:t>(2013)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United</w:t>
      </w:r>
      <w:r>
        <w:rPr>
          <w:spacing w:val="-8"/>
        </w:rPr>
        <w:t> </w:t>
      </w:r>
      <w:r>
        <w:rPr/>
        <w:t>States;</w:t>
      </w:r>
      <w:r>
        <w:rPr>
          <w:spacing w:val="-6"/>
        </w:rPr>
        <w:t> </w:t>
      </w:r>
      <w:r>
        <w:rPr/>
        <w:t>Barafi</w:t>
      </w:r>
      <w:r>
        <w:rPr>
          <w:spacing w:val="-57"/>
        </w:rPr>
        <w:t> </w:t>
      </w:r>
      <w:r>
        <w:rPr/>
        <w:t>(2012) for Brazil; Dotollenaere </w:t>
      </w:r>
      <w:r>
        <w:rPr>
          <w:i/>
        </w:rPr>
        <w:t>et al. </w:t>
      </w:r>
      <w:r>
        <w:rPr/>
        <w:t>(2018) for Britain; Bhattacharjee </w:t>
      </w:r>
      <w:r>
        <w:rPr>
          <w:i/>
        </w:rPr>
        <w:t>et al. </w:t>
      </w:r>
      <w:r>
        <w:rPr/>
        <w:t>(2014) for Scotland;</w:t>
      </w:r>
      <w:r>
        <w:rPr>
          <w:spacing w:val="1"/>
        </w:rPr>
        <w:t> </w:t>
      </w:r>
      <w:r>
        <w:rPr/>
        <w:t>Yinghua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Zeng</w:t>
      </w:r>
      <w:r>
        <w:rPr>
          <w:spacing w:val="-5"/>
        </w:rPr>
        <w:t> </w:t>
      </w:r>
      <w:r>
        <w:rPr/>
        <w:t>(2015),</w:t>
      </w:r>
      <w:r>
        <w:rPr>
          <w:spacing w:val="-7"/>
        </w:rPr>
        <w:t> </w:t>
      </w:r>
      <w:r>
        <w:rPr/>
        <w:t>Bakkeli</w:t>
      </w:r>
      <w:r>
        <w:rPr>
          <w:spacing w:val="-5"/>
        </w:rPr>
        <w:t> </w:t>
      </w:r>
      <w:r>
        <w:rPr/>
        <w:t>(2016)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China;</w:t>
      </w:r>
      <w:r>
        <w:rPr>
          <w:spacing w:val="-6"/>
        </w:rPr>
        <w:t> </w:t>
      </w:r>
      <w:r>
        <w:rPr/>
        <w:t>Sigh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5"/>
        </w:rPr>
        <w:t> </w:t>
      </w:r>
      <w:r>
        <w:rPr/>
        <w:t>(2018)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Australia;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Adjaye-</w:t>
      </w:r>
      <w:r>
        <w:rPr>
          <w:spacing w:val="-58"/>
        </w:rPr>
        <w:t> </w:t>
      </w:r>
      <w:r>
        <w:rPr/>
        <w:t>Gbewonjo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5"/>
        </w:rPr>
        <w:t> </w:t>
      </w:r>
      <w:r>
        <w:rPr/>
        <w:t>(2018)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South</w:t>
      </w:r>
      <w:r>
        <w:rPr>
          <w:spacing w:val="-5"/>
        </w:rPr>
        <w:t> </w:t>
      </w:r>
      <w:r>
        <w:rPr/>
        <w:t>Africa</w:t>
      </w:r>
      <w:r>
        <w:rPr>
          <w:spacing w:val="-7"/>
        </w:rPr>
        <w:t> </w:t>
      </w:r>
      <w:r>
        <w:rPr/>
        <w:t>showed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rising</w:t>
      </w:r>
      <w:r>
        <w:rPr>
          <w:spacing w:val="-8"/>
        </w:rPr>
        <w:t> </w:t>
      </w:r>
      <w:r>
        <w:rPr/>
        <w:t>income</w:t>
      </w:r>
      <w:r>
        <w:rPr>
          <w:spacing w:val="-6"/>
        </w:rPr>
        <w:t> </w:t>
      </w:r>
      <w:r>
        <w:rPr/>
        <w:t>inequality</w:t>
      </w:r>
      <w:r>
        <w:rPr>
          <w:spacing w:val="-13"/>
        </w:rPr>
        <w:t> </w:t>
      </w:r>
      <w:r>
        <w:rPr/>
        <w:t>is</w:t>
      </w:r>
      <w:r>
        <w:rPr>
          <w:spacing w:val="-4"/>
        </w:rPr>
        <w:t> </w:t>
      </w:r>
      <w:r>
        <w:rPr/>
        <w:t>related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good</w:t>
      </w:r>
      <w:r>
        <w:rPr>
          <w:spacing w:val="-57"/>
        </w:rPr>
        <w:t> </w:t>
      </w:r>
      <w:r>
        <w:rPr/>
        <w:t>health.</w:t>
      </w:r>
    </w:p>
    <w:p>
      <w:pPr>
        <w:pStyle w:val="BodyText"/>
        <w:spacing w:line="360" w:lineRule="auto" w:before="184"/>
        <w:ind w:left="160" w:right="156"/>
        <w:jc w:val="both"/>
      </w:pPr>
      <w:r>
        <w:rPr/>
        <w:t>Hill </w:t>
      </w:r>
      <w:r>
        <w:rPr>
          <w:i/>
        </w:rPr>
        <w:t>et al., </w:t>
      </w:r>
      <w:r>
        <w:rPr/>
        <w:t>(2019) investigated if air pollution is detrimental to the health of United States citizens</w:t>
      </w:r>
      <w:r>
        <w:rPr>
          <w:spacing w:val="-57"/>
        </w:rPr>
        <w:t> </w:t>
      </w:r>
      <w:r>
        <w:rPr/>
        <w:t>characterized by more inequitable distribution of income. The study used employed longitudinal</w:t>
      </w:r>
      <w:r>
        <w:rPr>
          <w:spacing w:val="1"/>
        </w:rPr>
        <w:t> </w:t>
      </w:r>
      <w:r>
        <w:rPr/>
        <w:t>data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49</w:t>
      </w:r>
      <w:r>
        <w:rPr>
          <w:spacing w:val="-7"/>
        </w:rPr>
        <w:t> </w:t>
      </w:r>
      <w:r>
        <w:rPr/>
        <w:t>US</w:t>
      </w:r>
      <w:r>
        <w:rPr>
          <w:spacing w:val="-7"/>
        </w:rPr>
        <w:t> </w:t>
      </w:r>
      <w:r>
        <w:rPr/>
        <w:t>states</w:t>
      </w:r>
      <w:r>
        <w:rPr>
          <w:spacing w:val="-7"/>
        </w:rPr>
        <w:t> </w:t>
      </w:r>
      <w:r>
        <w:rPr/>
        <w:t>between</w:t>
      </w:r>
      <w:r>
        <w:rPr>
          <w:spacing w:val="-9"/>
        </w:rPr>
        <w:t> </w:t>
      </w:r>
      <w:r>
        <w:rPr/>
        <w:t>2000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2010.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two-way</w:t>
      </w:r>
      <w:r>
        <w:rPr>
          <w:spacing w:val="-10"/>
        </w:rPr>
        <w:t> </w:t>
      </w:r>
      <w:r>
        <w:rPr/>
        <w:t>fixed</w:t>
      </w:r>
      <w:r>
        <w:rPr>
          <w:spacing w:val="-9"/>
        </w:rPr>
        <w:t> </w:t>
      </w:r>
      <w:r>
        <w:rPr/>
        <w:t>effects</w:t>
      </w:r>
      <w:r>
        <w:rPr>
          <w:spacing w:val="-7"/>
        </w:rPr>
        <w:t> </w:t>
      </w:r>
      <w:r>
        <w:rPr/>
        <w:t>panel</w:t>
      </w:r>
      <w:r>
        <w:rPr>
          <w:spacing w:val="-7"/>
        </w:rPr>
        <w:t> </w:t>
      </w:r>
      <w:r>
        <w:rPr/>
        <w:t>regression</w:t>
      </w:r>
      <w:r>
        <w:rPr>
          <w:spacing w:val="-9"/>
        </w:rPr>
        <w:t> </w:t>
      </w:r>
      <w:r>
        <w:rPr/>
        <w:t>findings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6"/>
        <w:jc w:val="both"/>
      </w:pPr>
      <w:r>
        <w:rPr/>
        <w:t>indicated that the association between air pollution and life expectancy intensifies in states with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income inequality.</w:t>
      </w:r>
    </w:p>
    <w:p>
      <w:pPr>
        <w:pStyle w:val="BodyText"/>
        <w:spacing w:line="360" w:lineRule="auto" w:before="185"/>
        <w:ind w:left="160" w:right="159"/>
        <w:jc w:val="both"/>
      </w:pPr>
      <w:r>
        <w:rPr/>
        <w:t>Tan </w:t>
      </w:r>
      <w:r>
        <w:rPr>
          <w:i/>
        </w:rPr>
        <w:t>et al. </w:t>
      </w:r>
      <w:r>
        <w:rPr/>
        <w:t>(2018) examined the effects of state income disparity on health-related quality of life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>
          <w:spacing w:val="-1"/>
        </w:rPr>
        <w:t>2008</w:t>
      </w:r>
      <w:r>
        <w:rPr>
          <w:spacing w:val="-8"/>
        </w:rPr>
        <w:t> </w:t>
      </w:r>
      <w:r>
        <w:rPr>
          <w:spacing w:val="-1"/>
        </w:rPr>
        <w:t>China-National</w:t>
      </w:r>
      <w:r>
        <w:rPr>
          <w:spacing w:val="-6"/>
        </w:rPr>
        <w:t> </w:t>
      </w:r>
      <w:r>
        <w:rPr>
          <w:spacing w:val="-1"/>
        </w:rPr>
        <w:t>Health</w:t>
      </w:r>
      <w:r>
        <w:rPr>
          <w:spacing w:val="-8"/>
        </w:rPr>
        <w:t> </w:t>
      </w:r>
      <w:r>
        <w:rPr/>
        <w:t>Survey.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ordinary</w:t>
      </w:r>
      <w:r>
        <w:rPr>
          <w:spacing w:val="-14"/>
        </w:rPr>
        <w:t> </w:t>
      </w:r>
      <w:r>
        <w:rPr/>
        <w:t>logistic</w:t>
      </w:r>
      <w:r>
        <w:rPr>
          <w:spacing w:val="-8"/>
        </w:rPr>
        <w:t> </w:t>
      </w:r>
      <w:r>
        <w:rPr/>
        <w:t>regression</w:t>
      </w:r>
      <w:r>
        <w:rPr>
          <w:spacing w:val="-8"/>
        </w:rPr>
        <w:t> </w:t>
      </w:r>
      <w:r>
        <w:rPr/>
        <w:t>findings</w:t>
      </w:r>
      <w:r>
        <w:rPr>
          <w:spacing w:val="-6"/>
        </w:rPr>
        <w:t> </w:t>
      </w:r>
      <w:r>
        <w:rPr/>
        <w:t>revealed</w:t>
      </w:r>
      <w:r>
        <w:rPr>
          <w:spacing w:val="-8"/>
        </w:rPr>
        <w:t> </w:t>
      </w:r>
      <w:r>
        <w:rPr/>
        <w:t>that</w:t>
      </w:r>
      <w:r>
        <w:rPr>
          <w:spacing w:val="-58"/>
        </w:rPr>
        <w:t> </w:t>
      </w:r>
      <w:r>
        <w:rPr/>
        <w:t>income disparity has damaging effect on health in Shaanxi, China. The result further reveals that</w:t>
      </w:r>
      <w:r>
        <w:rPr>
          <w:spacing w:val="1"/>
        </w:rPr>
        <w:t> </w:t>
      </w:r>
      <w:r>
        <w:rPr/>
        <w:t>a 1-point rise in income disparity yields -4.8% in health. A similar study for adult aged 18+ years</w:t>
      </w:r>
      <w:r>
        <w:rPr>
          <w:spacing w:val="-57"/>
        </w:rPr>
        <w:t> </w:t>
      </w:r>
      <w:r>
        <w:rPr/>
        <w:t>of 27 </w:t>
      </w:r>
      <w:r>
        <w:rPr>
          <w:sz w:val="22"/>
        </w:rPr>
        <w:t>Brazilian capitals </w:t>
      </w:r>
      <w:r>
        <w:rPr/>
        <w:t>by </w:t>
      </w:r>
      <w:r>
        <w:rPr>
          <w:sz w:val="22"/>
        </w:rPr>
        <w:t>Massa et al. </w:t>
      </w:r>
      <w:r>
        <w:rPr/>
        <w:t>(2018) employed 2013 National Health Survey to assess the</w:t>
      </w:r>
      <w:r>
        <w:rPr>
          <w:spacing w:val="-57"/>
        </w:rPr>
        <w:t> </w:t>
      </w:r>
      <w:r>
        <w:rPr>
          <w:spacing w:val="-1"/>
        </w:rPr>
        <w:t>nexus</w:t>
      </w:r>
      <w:r>
        <w:rPr>
          <w:spacing w:val="-12"/>
        </w:rPr>
        <w:t> </w:t>
      </w:r>
      <w:r>
        <w:rPr>
          <w:spacing w:val="-1"/>
        </w:rPr>
        <w:t>between</w:t>
      </w:r>
      <w:r>
        <w:rPr>
          <w:spacing w:val="-12"/>
        </w:rPr>
        <w:t> </w:t>
      </w:r>
      <w:r>
        <w:rPr>
          <w:spacing w:val="-1"/>
        </w:rPr>
        <w:t>income</w:t>
      </w:r>
      <w:r>
        <w:rPr>
          <w:spacing w:val="-13"/>
        </w:rPr>
        <w:t> </w:t>
      </w:r>
      <w:r>
        <w:rPr/>
        <w:t>disparity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self-reported</w:t>
      </w:r>
      <w:r>
        <w:rPr>
          <w:spacing w:val="-10"/>
        </w:rPr>
        <w:t> </w:t>
      </w:r>
      <w:r>
        <w:rPr/>
        <w:t>health</w:t>
      </w:r>
      <w:r>
        <w:rPr>
          <w:spacing w:val="-12"/>
        </w:rPr>
        <w:t> </w:t>
      </w:r>
      <w:r>
        <w:rPr/>
        <w:t>status.</w:t>
      </w:r>
      <w:r>
        <w:rPr>
          <w:spacing w:val="-12"/>
        </w:rPr>
        <w:t> </w:t>
      </w:r>
      <w:r>
        <w:rPr/>
        <w:t>Their</w:t>
      </w:r>
      <w:r>
        <w:rPr>
          <w:spacing w:val="-13"/>
        </w:rPr>
        <w:t> </w:t>
      </w:r>
      <w:r>
        <w:rPr/>
        <w:t>findings</w:t>
      </w:r>
      <w:r>
        <w:rPr>
          <w:spacing w:val="-12"/>
        </w:rPr>
        <w:t> </w:t>
      </w:r>
      <w:r>
        <w:rPr/>
        <w:t>also</w:t>
      </w:r>
      <w:r>
        <w:rPr>
          <w:spacing w:val="-12"/>
        </w:rPr>
        <w:t> </w:t>
      </w:r>
      <w:r>
        <w:rPr/>
        <w:t>indicate</w:t>
      </w:r>
      <w:r>
        <w:rPr>
          <w:spacing w:val="-11"/>
        </w:rPr>
        <w:t> </w:t>
      </w:r>
      <w:r>
        <w:rPr/>
        <w:t>greater</w:t>
      </w:r>
      <w:r>
        <w:rPr>
          <w:spacing w:val="-57"/>
        </w:rPr>
        <w:t> </w:t>
      </w:r>
      <w:r>
        <w:rPr/>
        <w:t>odds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poor</w:t>
      </w:r>
      <w:r>
        <w:rPr>
          <w:spacing w:val="-6"/>
        </w:rPr>
        <w:t> </w:t>
      </w:r>
      <w:r>
        <w:rPr/>
        <w:t>health</w:t>
      </w:r>
      <w:r>
        <w:rPr>
          <w:spacing w:val="-8"/>
        </w:rPr>
        <w:t> </w:t>
      </w:r>
      <w:r>
        <w:rPr/>
        <w:t>status</w:t>
      </w:r>
      <w:r>
        <w:rPr>
          <w:spacing w:val="-7"/>
        </w:rPr>
        <w:t> </w:t>
      </w:r>
      <w:r>
        <w:rPr/>
        <w:t>exist</w:t>
      </w:r>
      <w:r>
        <w:rPr>
          <w:spacing w:val="-7"/>
        </w:rPr>
        <w:t> </w:t>
      </w:r>
      <w:r>
        <w:rPr/>
        <w:t>among</w:t>
      </w:r>
      <w:r>
        <w:rPr>
          <w:spacing w:val="-10"/>
        </w:rPr>
        <w:t> </w:t>
      </w:r>
      <w:r>
        <w:rPr/>
        <w:t>those</w:t>
      </w:r>
      <w:r>
        <w:rPr>
          <w:spacing w:val="-9"/>
        </w:rPr>
        <w:t> </w:t>
      </w:r>
      <w:r>
        <w:rPr/>
        <w:t>living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areas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high</w:t>
      </w:r>
      <w:r>
        <w:rPr>
          <w:spacing w:val="-6"/>
        </w:rPr>
        <w:t> </w:t>
      </w:r>
      <w:r>
        <w:rPr/>
        <w:t>income</w:t>
      </w:r>
      <w:r>
        <w:rPr>
          <w:spacing w:val="-6"/>
        </w:rPr>
        <w:t> </w:t>
      </w:r>
      <w:r>
        <w:rPr/>
        <w:t>inequality</w:t>
      </w:r>
      <w:r>
        <w:rPr>
          <w:spacing w:val="-11"/>
        </w:rPr>
        <w:t> </w:t>
      </w:r>
      <w:r>
        <w:rPr/>
        <w:t>level.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finding</w:t>
      </w:r>
      <w:r>
        <w:rPr>
          <w:spacing w:val="-15"/>
        </w:rPr>
        <w:t> </w:t>
      </w:r>
      <w:r>
        <w:rPr/>
        <w:t>further</w:t>
      </w:r>
      <w:r>
        <w:rPr>
          <w:spacing w:val="-13"/>
        </w:rPr>
        <w:t> </w:t>
      </w:r>
      <w:r>
        <w:rPr/>
        <w:t>shows</w:t>
      </w:r>
      <w:r>
        <w:rPr>
          <w:spacing w:val="-9"/>
        </w:rPr>
        <w:t> </w:t>
      </w:r>
      <w:r>
        <w:rPr/>
        <w:t>greater</w:t>
      </w:r>
      <w:r>
        <w:rPr>
          <w:spacing w:val="-14"/>
        </w:rPr>
        <w:t> </w:t>
      </w:r>
      <w:r>
        <w:rPr/>
        <w:t>odds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poor</w:t>
      </w:r>
      <w:r>
        <w:rPr>
          <w:spacing w:val="-13"/>
        </w:rPr>
        <w:t> </w:t>
      </w:r>
      <w:r>
        <w:rPr/>
        <w:t>health</w:t>
      </w:r>
      <w:r>
        <w:rPr>
          <w:spacing w:val="-12"/>
        </w:rPr>
        <w:t> </w:t>
      </w:r>
      <w:r>
        <w:rPr/>
        <w:t>outcomes</w:t>
      </w:r>
      <w:r>
        <w:rPr>
          <w:spacing w:val="-11"/>
        </w:rPr>
        <w:t> </w:t>
      </w:r>
      <w:r>
        <w:rPr/>
        <w:t>at</w:t>
      </w:r>
      <w:r>
        <w:rPr>
          <w:spacing w:val="-12"/>
        </w:rPr>
        <w:t> </w:t>
      </w:r>
      <w:r>
        <w:rPr/>
        <w:t>0.31%</w:t>
      </w:r>
      <w:r>
        <w:rPr>
          <w:spacing w:val="-10"/>
        </w:rPr>
        <w:t> </w:t>
      </w:r>
      <w:r>
        <w:rPr/>
        <w:t>among</w:t>
      </w:r>
      <w:r>
        <w:rPr>
          <w:spacing w:val="-12"/>
        </w:rPr>
        <w:t> </w:t>
      </w:r>
      <w:r>
        <w:rPr/>
        <w:t>citizens</w:t>
      </w:r>
      <w:r>
        <w:rPr>
          <w:spacing w:val="-12"/>
        </w:rPr>
        <w:t> </w:t>
      </w:r>
      <w:r>
        <w:rPr/>
        <w:t>living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areas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high income</w:t>
      </w:r>
      <w:r>
        <w:rPr>
          <w:spacing w:val="-1"/>
        </w:rPr>
        <w:t> </w:t>
      </w:r>
      <w:r>
        <w:rPr/>
        <w:t>inequality.</w:t>
      </w:r>
    </w:p>
    <w:p>
      <w:pPr>
        <w:pStyle w:val="BodyText"/>
        <w:spacing w:line="360" w:lineRule="auto" w:before="230"/>
        <w:ind w:left="160" w:right="151"/>
        <w:jc w:val="both"/>
      </w:pPr>
      <w:r>
        <w:rPr/>
        <w:t>Liu (2017) examined the impact of income inequality on health in Canada. The study employed</w:t>
      </w:r>
      <w:r>
        <w:rPr>
          <w:spacing w:val="1"/>
        </w:rPr>
        <w:t> </w:t>
      </w:r>
      <w:r>
        <w:rPr/>
        <w:t>data from the Canadian Census and the Canadian Community Health Survey (CCHS) and binary</w:t>
      </w:r>
      <w:r>
        <w:rPr>
          <w:spacing w:val="1"/>
        </w:rPr>
        <w:t> </w:t>
      </w:r>
      <w:r>
        <w:rPr/>
        <w:t>logistic regression model. The finding showed that income inequality significantly and inversely</w:t>
      </w:r>
      <w:r>
        <w:rPr>
          <w:spacing w:val="1"/>
        </w:rPr>
        <w:t> </w:t>
      </w:r>
      <w:r>
        <w:rPr/>
        <w:t>affect the health level, such that a percent point rise in income inequality reduce good health by</w:t>
      </w:r>
      <w:r>
        <w:rPr>
          <w:spacing w:val="1"/>
        </w:rPr>
        <w:t> </w:t>
      </w:r>
      <w:r>
        <w:rPr/>
        <w:t>1.85%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the latest decades in Canada.</w:t>
      </w:r>
    </w:p>
    <w:p>
      <w:pPr>
        <w:pStyle w:val="BodyText"/>
        <w:spacing w:line="360" w:lineRule="auto" w:before="185"/>
        <w:ind w:left="160" w:right="152"/>
        <w:jc w:val="both"/>
      </w:pPr>
      <w:r>
        <w:rPr/>
        <w:t>Pabayo </w:t>
      </w:r>
      <w:r>
        <w:rPr>
          <w:i/>
        </w:rPr>
        <w:t>et al. </w:t>
      </w:r>
      <w:r>
        <w:rPr/>
        <w:t>(2015) focus on the effects of income inequality on risk of heart attack in 50 states</w:t>
      </w:r>
      <w:r>
        <w:rPr>
          <w:spacing w:val="1"/>
        </w:rPr>
        <w:t> </w:t>
      </w:r>
      <w:r>
        <w:rPr/>
        <w:t>of United States from 2000 to 2007 using Health, Well-Being and Aging Survey. Their Cox-</w:t>
      </w:r>
      <w:r>
        <w:rPr>
          <w:spacing w:val="1"/>
        </w:rPr>
        <w:t> </w:t>
      </w:r>
      <w:r>
        <w:rPr/>
        <w:t>Hazard regressions result was that rising income disparity raises the risk for heart attack among</w:t>
      </w:r>
      <w:r>
        <w:rPr>
          <w:spacing w:val="1"/>
        </w:rPr>
        <w:t> </w:t>
      </w:r>
      <w:r>
        <w:rPr/>
        <w:t>Americans. The empirical results from the study support the possibility of a threshold effect of</w:t>
      </w:r>
      <w:r>
        <w:rPr>
          <w:spacing w:val="1"/>
        </w:rPr>
        <w:t> </w:t>
      </w:r>
      <w:r>
        <w:rPr/>
        <w:t>income</w:t>
      </w:r>
      <w:r>
        <w:rPr>
          <w:spacing w:val="-1"/>
        </w:rPr>
        <w:t> </w:t>
      </w:r>
      <w:r>
        <w:rPr/>
        <w:t>disparity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risk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deaths when the income inequality</w:t>
      </w:r>
      <w:r>
        <w:rPr>
          <w:spacing w:val="-5"/>
        </w:rPr>
        <w:t> </w:t>
      </w:r>
      <w:r>
        <w:rPr/>
        <w:t>index</w:t>
      </w:r>
      <w:r>
        <w:rPr>
          <w:spacing w:val="1"/>
        </w:rPr>
        <w:t> </w:t>
      </w:r>
      <w:r>
        <w:rPr/>
        <w:t>is above</w:t>
      </w:r>
      <w:r>
        <w:rPr>
          <w:spacing w:val="-2"/>
        </w:rPr>
        <w:t> </w:t>
      </w:r>
      <w:r>
        <w:rPr/>
        <w:t>0.20.</w:t>
      </w:r>
    </w:p>
    <w:p>
      <w:pPr>
        <w:pStyle w:val="BodyText"/>
        <w:spacing w:line="360" w:lineRule="auto" w:before="207"/>
        <w:ind w:left="160" w:right="151"/>
        <w:jc w:val="both"/>
      </w:pPr>
      <w:r>
        <w:rPr/>
        <w:t>Basundhara (2014) empirically examined the income inequality-health link from Nepal data. The</w:t>
      </w:r>
      <w:r>
        <w:rPr>
          <w:spacing w:val="-57"/>
        </w:rPr>
        <w:t> </w:t>
      </w:r>
      <w:r>
        <w:rPr/>
        <w:t>logistic</w:t>
      </w:r>
      <w:r>
        <w:rPr>
          <w:spacing w:val="-9"/>
        </w:rPr>
        <w:t> </w:t>
      </w:r>
      <w:r>
        <w:rPr/>
        <w:t>regression</w:t>
      </w:r>
      <w:r>
        <w:rPr>
          <w:spacing w:val="-9"/>
        </w:rPr>
        <w:t> </w:t>
      </w:r>
      <w:r>
        <w:rPr/>
        <w:t>results</w:t>
      </w:r>
      <w:r>
        <w:rPr>
          <w:spacing w:val="-7"/>
        </w:rPr>
        <w:t> </w:t>
      </w:r>
      <w:r>
        <w:rPr/>
        <w:t>show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lower</w:t>
      </w:r>
      <w:r>
        <w:rPr>
          <w:spacing w:val="-8"/>
        </w:rPr>
        <w:t> </w:t>
      </w:r>
      <w:r>
        <w:rPr/>
        <w:t>income</w:t>
      </w:r>
      <w:r>
        <w:rPr>
          <w:spacing w:val="-5"/>
        </w:rPr>
        <w:t> </w:t>
      </w:r>
      <w:r>
        <w:rPr/>
        <w:t>households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Nepal</w:t>
      </w:r>
      <w:r>
        <w:rPr>
          <w:spacing w:val="-6"/>
        </w:rPr>
        <w:t> </w:t>
      </w:r>
      <w:r>
        <w:rPr/>
        <w:t>face</w:t>
      </w:r>
      <w:r>
        <w:rPr>
          <w:spacing w:val="-6"/>
        </w:rPr>
        <w:t> </w:t>
      </w:r>
      <w:r>
        <w:rPr/>
        <w:t>relatively</w:t>
      </w:r>
      <w:r>
        <w:rPr>
          <w:spacing w:val="-13"/>
        </w:rPr>
        <w:t> </w:t>
      </w:r>
      <w:r>
        <w:rPr/>
        <w:t>more</w:t>
      </w:r>
      <w:r>
        <w:rPr>
          <w:spacing w:val="-7"/>
        </w:rPr>
        <w:t> </w:t>
      </w:r>
      <w:r>
        <w:rPr/>
        <w:t>health</w:t>
      </w:r>
      <w:r>
        <w:rPr>
          <w:spacing w:val="-58"/>
        </w:rPr>
        <w:t> </w:t>
      </w:r>
      <w:r>
        <w:rPr>
          <w:spacing w:val="-1"/>
        </w:rPr>
        <w:t>challenges</w:t>
      </w:r>
      <w:r>
        <w:rPr>
          <w:spacing w:val="-15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/>
        <w:t>similar</w:t>
      </w:r>
      <w:r>
        <w:rPr>
          <w:spacing w:val="-16"/>
        </w:rPr>
        <w:t> </w:t>
      </w:r>
      <w:r>
        <w:rPr/>
        <w:t>exposure</w:t>
      </w:r>
      <w:r>
        <w:rPr>
          <w:spacing w:val="-16"/>
        </w:rPr>
        <w:t> </w:t>
      </w:r>
      <w:r>
        <w:rPr/>
        <w:t>to</w:t>
      </w:r>
      <w:r>
        <w:rPr>
          <w:spacing w:val="-13"/>
        </w:rPr>
        <w:t> </w:t>
      </w:r>
      <w:r>
        <w:rPr/>
        <w:t>environmental</w:t>
      </w:r>
      <w:r>
        <w:rPr>
          <w:spacing w:val="-15"/>
        </w:rPr>
        <w:t> </w:t>
      </w:r>
      <w:r>
        <w:rPr/>
        <w:t>pollution.</w:t>
      </w:r>
      <w:r>
        <w:rPr>
          <w:spacing w:val="-17"/>
        </w:rPr>
        <w:t> </w:t>
      </w:r>
      <w:r>
        <w:rPr/>
        <w:t>Juan</w:t>
      </w:r>
      <w:r>
        <w:rPr>
          <w:spacing w:val="-15"/>
        </w:rPr>
        <w:t> </w:t>
      </w:r>
      <w:r>
        <w:rPr/>
        <w:t>(2013)</w:t>
      </w:r>
      <w:r>
        <w:rPr>
          <w:spacing w:val="-15"/>
        </w:rPr>
        <w:t> </w:t>
      </w:r>
      <w:r>
        <w:rPr/>
        <w:t>also</w:t>
      </w:r>
      <w:r>
        <w:rPr>
          <w:spacing w:val="-14"/>
        </w:rPr>
        <w:t> </w:t>
      </w:r>
      <w:r>
        <w:rPr/>
        <w:t>examined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impact</w:t>
      </w:r>
      <w:r>
        <w:rPr>
          <w:spacing w:val="-57"/>
        </w:rPr>
        <w:t> </w:t>
      </w:r>
      <w:r>
        <w:rPr/>
        <w:t>of income inequality on children health in Ecuador. The logistic regression findings from 2004</w:t>
      </w:r>
      <w:r>
        <w:rPr>
          <w:spacing w:val="1"/>
        </w:rPr>
        <w:t> </w:t>
      </w:r>
      <w:r>
        <w:rPr/>
        <w:t>and 2014 Maternal-Child Health Survey, shown that children-health have worsened from rising</w:t>
      </w:r>
      <w:r>
        <w:rPr>
          <w:spacing w:val="1"/>
        </w:rPr>
        <w:t> </w:t>
      </w:r>
      <w:r>
        <w:rPr/>
        <w:t>income disparity in Ecuador. The results further revealed that a 1-unit rise in income inequality</w:t>
      </w:r>
      <w:r>
        <w:rPr>
          <w:spacing w:val="1"/>
        </w:rPr>
        <w:t> </w:t>
      </w:r>
      <w:r>
        <w:rPr/>
        <w:t>rise</w:t>
      </w:r>
      <w:r>
        <w:rPr>
          <w:spacing w:val="-13"/>
        </w:rPr>
        <w:t> </w:t>
      </w:r>
      <w:r>
        <w:rPr/>
        <w:t>infant</w:t>
      </w:r>
      <w:r>
        <w:rPr>
          <w:spacing w:val="-12"/>
        </w:rPr>
        <w:t> </w:t>
      </w:r>
      <w:r>
        <w:rPr/>
        <w:t>deaths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4.25%</w:t>
      </w:r>
      <w:r>
        <w:rPr>
          <w:spacing w:val="-13"/>
        </w:rPr>
        <w:t> </w:t>
      </w:r>
      <w:r>
        <w:rPr/>
        <w:t>(in</w:t>
      </w:r>
      <w:r>
        <w:rPr>
          <w:spacing w:val="-13"/>
        </w:rPr>
        <w:t> </w:t>
      </w:r>
      <w:r>
        <w:rPr/>
        <w:t>2004)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11.94%</w:t>
      </w:r>
      <w:r>
        <w:rPr>
          <w:spacing w:val="-10"/>
        </w:rPr>
        <w:t> </w:t>
      </w:r>
      <w:r>
        <w:rPr/>
        <w:t>(in</w:t>
      </w:r>
      <w:r>
        <w:rPr>
          <w:spacing w:val="-12"/>
        </w:rPr>
        <w:t> </w:t>
      </w:r>
      <w:r>
        <w:rPr/>
        <w:t>2014).</w:t>
      </w:r>
      <w:r>
        <w:rPr>
          <w:spacing w:val="-12"/>
        </w:rPr>
        <w:t> </w:t>
      </w:r>
      <w:r>
        <w:rPr/>
        <w:t>Wilkinson</w:t>
      </w:r>
      <w:r>
        <w:rPr>
          <w:spacing w:val="-12"/>
        </w:rPr>
        <w:t> </w:t>
      </w:r>
      <w:r>
        <w:rPr/>
        <w:t>(2008)</w:t>
      </w:r>
      <w:r>
        <w:rPr>
          <w:spacing w:val="-13"/>
        </w:rPr>
        <w:t> </w:t>
      </w:r>
      <w:r>
        <w:rPr/>
        <w:t>employed</w:t>
      </w:r>
      <w:r>
        <w:rPr>
          <w:spacing w:val="-12"/>
        </w:rPr>
        <w:t> </w:t>
      </w:r>
      <w:r>
        <w:rPr/>
        <w:t>data</w:t>
      </w:r>
      <w:r>
        <w:rPr>
          <w:spacing w:val="-13"/>
        </w:rPr>
        <w:t> </w:t>
      </w:r>
      <w:r>
        <w:rPr/>
        <w:t>from</w:t>
      </w:r>
      <w:r>
        <w:rPr>
          <w:spacing w:val="-57"/>
        </w:rPr>
        <w:t> </w:t>
      </w:r>
      <w:r>
        <w:rPr/>
        <w:t>United</w:t>
      </w:r>
      <w:r>
        <w:rPr>
          <w:spacing w:val="35"/>
        </w:rPr>
        <w:t> </w:t>
      </w:r>
      <w:r>
        <w:rPr/>
        <w:t>Kingdom’s</w:t>
      </w:r>
      <w:r>
        <w:rPr>
          <w:spacing w:val="38"/>
        </w:rPr>
        <w:t> </w:t>
      </w:r>
      <w:r>
        <w:rPr/>
        <w:t>Health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Lifestyle</w:t>
      </w:r>
      <w:r>
        <w:rPr>
          <w:spacing w:val="36"/>
        </w:rPr>
        <w:t> </w:t>
      </w:r>
      <w:r>
        <w:rPr/>
        <w:t>Survey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indicate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changes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adult</w:t>
      </w:r>
      <w:r>
        <w:rPr>
          <w:spacing w:val="36"/>
        </w:rPr>
        <w:t> </w:t>
      </w:r>
      <w:r>
        <w:rPr/>
        <w:t>deaths</w:t>
      </w:r>
      <w:r>
        <w:rPr>
          <w:spacing w:val="37"/>
        </w:rPr>
        <w:t> </w:t>
      </w:r>
      <w:r>
        <w:rPr/>
        <w:t>were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9"/>
        <w:jc w:val="both"/>
      </w:pPr>
      <w:r>
        <w:rPr/>
        <w:t>directly related to changes in low relative incomes. Lynch </w:t>
      </w:r>
      <w:r>
        <w:rPr>
          <w:i/>
        </w:rPr>
        <w:t>et al. </w:t>
      </w:r>
      <w:r>
        <w:rPr/>
        <w:t>(2004) investigated the income</w:t>
      </w:r>
      <w:r>
        <w:rPr>
          <w:spacing w:val="1"/>
        </w:rPr>
        <w:t> </w:t>
      </w:r>
      <w:r>
        <w:rPr/>
        <w:t>inequality-health</w:t>
      </w:r>
      <w:r>
        <w:rPr>
          <w:spacing w:val="-7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United</w:t>
      </w:r>
      <w:r>
        <w:rPr>
          <w:spacing w:val="-8"/>
        </w:rPr>
        <w:t> </w:t>
      </w:r>
      <w:r>
        <w:rPr/>
        <w:t>States.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findings</w:t>
      </w:r>
      <w:r>
        <w:rPr>
          <w:spacing w:val="-7"/>
        </w:rPr>
        <w:t> </w:t>
      </w:r>
      <w:r>
        <w:rPr/>
        <w:t>show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income</w:t>
      </w:r>
      <w:r>
        <w:rPr>
          <w:spacing w:val="-8"/>
        </w:rPr>
        <w:t> </w:t>
      </w:r>
      <w:r>
        <w:rPr/>
        <w:t>inequality</w:t>
      </w:r>
      <w:r>
        <w:rPr>
          <w:spacing w:val="-13"/>
        </w:rPr>
        <w:t> </w:t>
      </w:r>
      <w:r>
        <w:rPr/>
        <w:t>worsen</w:t>
      </w:r>
      <w:r>
        <w:rPr>
          <w:spacing w:val="-58"/>
        </w:rPr>
        <w:t> </w:t>
      </w:r>
      <w:r>
        <w:rPr/>
        <w:t>health</w:t>
      </w:r>
      <w:r>
        <w:rPr>
          <w:spacing w:val="-1"/>
        </w:rPr>
        <w:t> </w:t>
      </w:r>
      <w:r>
        <w:rPr/>
        <w:t>outcomes significantly</w:t>
      </w:r>
      <w:r>
        <w:rPr>
          <w:spacing w:val="-5"/>
        </w:rPr>
        <w:t> </w:t>
      </w:r>
      <w:r>
        <w:rPr/>
        <w:t>at 5% level between</w:t>
      </w:r>
      <w:r>
        <w:rPr>
          <w:spacing w:val="5"/>
        </w:rPr>
        <w:t> </w:t>
      </w:r>
      <w:r>
        <w:rPr/>
        <w:t>the periods of</w:t>
      </w:r>
      <w:r>
        <w:rPr>
          <w:spacing w:val="-2"/>
        </w:rPr>
        <w:t> </w:t>
      </w:r>
      <w:r>
        <w:rPr/>
        <w:t>1978 and 2000.</w:t>
      </w:r>
    </w:p>
    <w:p>
      <w:pPr>
        <w:pStyle w:val="BodyText"/>
        <w:spacing w:line="360" w:lineRule="auto" w:before="184"/>
        <w:ind w:left="160" w:right="154"/>
        <w:jc w:val="both"/>
      </w:pPr>
      <w:r>
        <w:rPr/>
        <w:t>Weich </w:t>
      </w:r>
      <w:r>
        <w:rPr>
          <w:i/>
        </w:rPr>
        <w:t>et al. </w:t>
      </w:r>
      <w:r>
        <w:rPr/>
        <w:t>(2001) empirically investigated the effect of income inequality on health in Britain.</w:t>
      </w:r>
      <w:r>
        <w:rPr>
          <w:spacing w:val="1"/>
        </w:rPr>
        <w:t> </w:t>
      </w:r>
      <w:r>
        <w:rPr/>
        <w:t>Their major finding indicate that high income inequality is more likely to worsen mental health</w:t>
      </w:r>
      <w:r>
        <w:rPr>
          <w:spacing w:val="1"/>
        </w:rPr>
        <w:t> </w:t>
      </w:r>
      <w:r>
        <w:rPr>
          <w:spacing w:val="-1"/>
        </w:rPr>
        <w:t>status.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another</w:t>
      </w:r>
      <w:r>
        <w:rPr>
          <w:spacing w:val="-16"/>
        </w:rPr>
        <w:t> </w:t>
      </w:r>
      <w:r>
        <w:rPr/>
        <w:t>similar</w:t>
      </w:r>
      <w:r>
        <w:rPr>
          <w:spacing w:val="-13"/>
        </w:rPr>
        <w:t> </w:t>
      </w:r>
      <w:r>
        <w:rPr/>
        <w:t>study,</w:t>
      </w:r>
      <w:r>
        <w:rPr>
          <w:spacing w:val="-13"/>
        </w:rPr>
        <w:t> </w:t>
      </w:r>
      <w:r>
        <w:rPr/>
        <w:t>Diez-Roux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</w:t>
      </w:r>
      <w:r>
        <w:rPr>
          <w:i/>
          <w:spacing w:val="-14"/>
        </w:rPr>
        <w:t> </w:t>
      </w:r>
      <w:r>
        <w:rPr/>
        <w:t>(2000)</w:t>
      </w:r>
      <w:r>
        <w:rPr>
          <w:spacing w:val="-16"/>
        </w:rPr>
        <w:t> </w:t>
      </w:r>
      <w:r>
        <w:rPr/>
        <w:t>estimated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impacts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income</w:t>
      </w:r>
      <w:r>
        <w:rPr>
          <w:spacing w:val="-14"/>
        </w:rPr>
        <w:t> </w:t>
      </w:r>
      <w:r>
        <w:rPr/>
        <w:t>inequality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disease-risk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They 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rising income</w:t>
      </w:r>
      <w:r>
        <w:rPr>
          <w:spacing w:val="1"/>
        </w:rPr>
        <w:t> </w:t>
      </w:r>
      <w:r>
        <w:rPr/>
        <w:t>disparity 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Cardiovascular diseases (stroke,</w:t>
      </w:r>
      <w:r>
        <w:rPr>
          <w:spacing w:val="2"/>
        </w:rPr>
        <w:t> </w:t>
      </w:r>
      <w:r>
        <w:rPr/>
        <w:t>hypertension</w:t>
      </w:r>
      <w:r>
        <w:rPr>
          <w:spacing w:val="-1"/>
        </w:rPr>
        <w:t> </w:t>
      </w:r>
      <w:r>
        <w:rPr/>
        <w:t>and diabetes).</w:t>
      </w:r>
    </w:p>
    <w:p>
      <w:pPr>
        <w:pStyle w:val="BodyText"/>
        <w:spacing w:line="360" w:lineRule="auto" w:before="230"/>
        <w:ind w:left="160" w:right="155"/>
        <w:jc w:val="both"/>
      </w:pPr>
      <w:r>
        <w:rPr/>
        <w:t>In contrary to all these evidences, the study of Singh </w:t>
      </w:r>
      <w:r>
        <w:rPr>
          <w:i/>
        </w:rPr>
        <w:t>et al. </w:t>
      </w:r>
      <w:r>
        <w:rPr/>
        <w:t>(2018) indicates that </w:t>
      </w:r>
      <w:r>
        <w:rPr>
          <w:i/>
        </w:rPr>
        <w:t>rising </w:t>
      </w:r>
      <w:r>
        <w:rPr/>
        <w:t>income</w:t>
      </w:r>
      <w:r>
        <w:rPr>
          <w:spacing w:val="1"/>
        </w:rPr>
        <w:t> </w:t>
      </w:r>
      <w:r>
        <w:rPr/>
        <w:t>inequality </w:t>
      </w:r>
      <w:r>
        <w:rPr>
          <w:i/>
        </w:rPr>
        <w:t>enhance </w:t>
      </w:r>
      <w:r>
        <w:rPr/>
        <w:t>health. Their study analyzes the nexus between state-level income disparity</w:t>
      </w:r>
      <w:r>
        <w:rPr>
          <w:spacing w:val="1"/>
        </w:rPr>
        <w:t> </w:t>
      </w:r>
      <w:r>
        <w:rPr/>
        <w:t>and oral health from 5,165 adults from 2013 National Dental Survey in Australia. The logistic</w:t>
      </w:r>
      <w:r>
        <w:rPr>
          <w:spacing w:val="1"/>
        </w:rPr>
        <w:t> </w:t>
      </w:r>
      <w:r>
        <w:rPr/>
        <w:t>regression results established that income disparity was not related with poor health. This finding</w:t>
      </w:r>
      <w:r>
        <w:rPr>
          <w:spacing w:val="-57"/>
        </w:rPr>
        <w:t> </w:t>
      </w:r>
      <w:r>
        <w:rPr/>
        <w:t>further shows that citizens in states with highest Gini had relative odds of 0.77 for having healthy</w:t>
      </w:r>
      <w:r>
        <w:rPr>
          <w:spacing w:val="-57"/>
        </w:rPr>
        <w:t> </w:t>
      </w:r>
      <w:r>
        <w:rPr/>
        <w:t>outcomes.</w:t>
      </w:r>
    </w:p>
    <w:p>
      <w:pPr>
        <w:pStyle w:val="BodyText"/>
        <w:spacing w:line="360" w:lineRule="auto" w:before="116"/>
        <w:ind w:left="160" w:right="156"/>
        <w:jc w:val="both"/>
      </w:pPr>
      <w:r>
        <w:rPr>
          <w:spacing w:val="-1"/>
        </w:rPr>
        <w:t>Adjaye-Gbewonjo</w:t>
      </w:r>
      <w:r>
        <w:rPr>
          <w:spacing w:val="-12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</w:t>
      </w:r>
      <w:r>
        <w:rPr>
          <w:i/>
          <w:spacing w:val="-12"/>
        </w:rPr>
        <w:t> </w:t>
      </w:r>
      <w:r>
        <w:rPr/>
        <w:t>(2018)</w:t>
      </w:r>
      <w:r>
        <w:rPr>
          <w:spacing w:val="-12"/>
        </w:rPr>
        <w:t> </w:t>
      </w:r>
      <w:r>
        <w:rPr/>
        <w:t>analyzed</w:t>
      </w:r>
      <w:r>
        <w:rPr>
          <w:spacing w:val="-12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inequality</w:t>
      </w:r>
      <w:r>
        <w:rPr>
          <w:spacing w:val="-16"/>
        </w:rPr>
        <w:t> </w:t>
      </w:r>
      <w:r>
        <w:rPr/>
        <w:t>and</w:t>
      </w:r>
      <w:r>
        <w:rPr>
          <w:spacing w:val="-10"/>
        </w:rPr>
        <w:t> </w:t>
      </w:r>
      <w:r>
        <w:rPr/>
        <w:t>cardiovascular</w:t>
      </w:r>
      <w:r>
        <w:rPr>
          <w:spacing w:val="-13"/>
        </w:rPr>
        <w:t> </w:t>
      </w:r>
      <w:r>
        <w:rPr/>
        <w:t>disease</w:t>
      </w:r>
      <w:r>
        <w:rPr>
          <w:spacing w:val="-10"/>
        </w:rPr>
        <w:t> </w:t>
      </w:r>
      <w:r>
        <w:rPr/>
        <w:t>risk-factors</w:t>
      </w:r>
      <w:r>
        <w:rPr>
          <w:spacing w:val="-58"/>
        </w:rPr>
        <w:t> </w:t>
      </w:r>
      <w:r>
        <w:rPr/>
        <w:t>in</w:t>
      </w:r>
      <w:r>
        <w:rPr>
          <w:spacing w:val="-9"/>
        </w:rPr>
        <w:t> </w:t>
      </w:r>
      <w:r>
        <w:rPr/>
        <w:t>South</w:t>
      </w:r>
      <w:r>
        <w:rPr>
          <w:spacing w:val="-11"/>
        </w:rPr>
        <w:t> </w:t>
      </w:r>
      <w:r>
        <w:rPr/>
        <w:t>Africa.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study</w:t>
      </w:r>
      <w:r>
        <w:rPr>
          <w:spacing w:val="-10"/>
        </w:rPr>
        <w:t> </w:t>
      </w:r>
      <w:r>
        <w:rPr/>
        <w:t>also</w:t>
      </w:r>
      <w:r>
        <w:rPr>
          <w:spacing w:val="-7"/>
        </w:rPr>
        <w:t> </w:t>
      </w:r>
      <w:r>
        <w:rPr/>
        <w:t>investigated</w:t>
      </w:r>
      <w:r>
        <w:rPr>
          <w:spacing w:val="-9"/>
        </w:rPr>
        <w:t> </w:t>
      </w:r>
      <w:r>
        <w:rPr/>
        <w:t>whether</w:t>
      </w:r>
      <w:r>
        <w:rPr>
          <w:spacing w:val="-9"/>
        </w:rPr>
        <w:t> </w:t>
      </w:r>
      <w:r>
        <w:rPr/>
        <w:t>sub-national</w:t>
      </w:r>
      <w:r>
        <w:rPr>
          <w:spacing w:val="-8"/>
        </w:rPr>
        <w:t> </w:t>
      </w:r>
      <w:r>
        <w:rPr/>
        <w:t>income</w:t>
      </w:r>
      <w:r>
        <w:rPr>
          <w:spacing w:val="-10"/>
        </w:rPr>
        <w:t> </w:t>
      </w:r>
      <w:r>
        <w:rPr/>
        <w:t>inequality</w:t>
      </w:r>
      <w:r>
        <w:rPr>
          <w:spacing w:val="-13"/>
        </w:rPr>
        <w:t> </w:t>
      </w:r>
      <w:r>
        <w:rPr/>
        <w:t>accounted</w:t>
      </w:r>
      <w:r>
        <w:rPr>
          <w:spacing w:val="-9"/>
        </w:rPr>
        <w:t> </w:t>
      </w:r>
      <w:r>
        <w:rPr/>
        <w:t>for</w:t>
      </w:r>
      <w:r>
        <w:rPr>
          <w:spacing w:val="-58"/>
        </w:rPr>
        <w:t> </w:t>
      </w:r>
      <w:r>
        <w:rPr/>
        <w:t>Cardiovascular disease (CVD) in South Africa. Their estimated fixed-effects regression result</w:t>
      </w:r>
      <w:r>
        <w:rPr>
          <w:spacing w:val="1"/>
        </w:rPr>
        <w:t> </w:t>
      </w:r>
      <w:r>
        <w:rPr/>
        <w:t>from National Household Income Survey indicated that changes in districts’ income disparities</w:t>
      </w:r>
      <w:r>
        <w:rPr>
          <w:spacing w:val="1"/>
        </w:rPr>
        <w:t> </w:t>
      </w:r>
      <w:r>
        <w:rPr/>
        <w:t>were</w:t>
      </w:r>
      <w:r>
        <w:rPr>
          <w:spacing w:val="4"/>
        </w:rPr>
        <w:t> </w:t>
      </w:r>
      <w:r>
        <w:rPr/>
        <w:t>not</w:t>
      </w:r>
      <w:r>
        <w:rPr>
          <w:spacing w:val="6"/>
        </w:rPr>
        <w:t> </w:t>
      </w:r>
      <w:r>
        <w:rPr/>
        <w:t>significantly</w:t>
      </w:r>
      <w:r>
        <w:rPr>
          <w:spacing w:val="3"/>
        </w:rPr>
        <w:t> </w:t>
      </w:r>
      <w:r>
        <w:rPr/>
        <w:t>related</w:t>
      </w:r>
      <w:r>
        <w:rPr>
          <w:spacing w:val="5"/>
        </w:rPr>
        <w:t> </w:t>
      </w:r>
      <w:r>
        <w:rPr/>
        <w:t>with</w:t>
      </w:r>
      <w:r>
        <w:rPr>
          <w:spacing w:val="7"/>
        </w:rPr>
        <w:t> </w:t>
      </w:r>
      <w:r>
        <w:rPr/>
        <w:t>rising</w:t>
      </w:r>
      <w:r>
        <w:rPr>
          <w:spacing w:val="4"/>
        </w:rPr>
        <w:t> </w:t>
      </w:r>
      <w:r>
        <w:rPr/>
        <w:t>Cardiovascular</w:t>
      </w:r>
      <w:r>
        <w:rPr>
          <w:spacing w:val="4"/>
        </w:rPr>
        <w:t> </w:t>
      </w:r>
      <w:r>
        <w:rPr/>
        <w:t>diseases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South</w:t>
      </w:r>
      <w:r>
        <w:rPr>
          <w:spacing w:val="6"/>
        </w:rPr>
        <w:t> </w:t>
      </w:r>
      <w:r>
        <w:rPr/>
        <w:t>Africa</w:t>
      </w:r>
      <w:r>
        <w:rPr>
          <w:spacing w:val="7"/>
        </w:rPr>
        <w:t> </w:t>
      </w:r>
      <w:r>
        <w:rPr/>
        <w:t>at</w:t>
      </w:r>
      <w:r>
        <w:rPr>
          <w:spacing w:val="6"/>
        </w:rPr>
        <w:t> </w:t>
      </w:r>
      <w:r>
        <w:rPr/>
        <w:t>5%</w:t>
      </w:r>
      <w:r>
        <w:rPr>
          <w:spacing w:val="5"/>
        </w:rPr>
        <w:t> </w:t>
      </w:r>
      <w:r>
        <w:rPr/>
        <w:t>level.</w:t>
      </w:r>
      <w:r>
        <w:rPr>
          <w:spacing w:val="9"/>
        </w:rPr>
        <w:t> </w:t>
      </w:r>
      <w:r>
        <w:rPr/>
        <w:t>In</w:t>
      </w:r>
      <w:r>
        <w:rPr>
          <w:spacing w:val="-58"/>
        </w:rPr>
        <w:t> </w:t>
      </w:r>
      <w:r>
        <w:rPr/>
        <w:t>a similar study for China using Health and Nutrition Survey from 1989 to 2011, the fixed effects</w:t>
      </w:r>
      <w:r>
        <w:rPr>
          <w:spacing w:val="1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 Bakkeli</w:t>
      </w:r>
      <w:r>
        <w:rPr>
          <w:spacing w:val="-3"/>
        </w:rPr>
        <w:t> </w:t>
      </w:r>
      <w:r>
        <w:rPr/>
        <w:t>(2016)</w:t>
      </w:r>
      <w:r>
        <w:rPr>
          <w:spacing w:val="-1"/>
        </w:rPr>
        <w:t> </w:t>
      </w:r>
      <w:r>
        <w:rPr/>
        <w:t>shown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higher</w:t>
      </w:r>
      <w:r>
        <w:rPr>
          <w:spacing w:val="-4"/>
        </w:rPr>
        <w:t> </w:t>
      </w:r>
      <w:r>
        <w:rPr/>
        <w:t>income-disparity</w:t>
      </w:r>
      <w:r>
        <w:rPr>
          <w:spacing w:val="-5"/>
        </w:rPr>
        <w:t> </w:t>
      </w:r>
      <w:r>
        <w:rPr/>
        <w:t>does</w:t>
      </w:r>
      <w:r>
        <w:rPr>
          <w:spacing w:val="-4"/>
        </w:rPr>
        <w:t> </w:t>
      </w:r>
      <w:r>
        <w:rPr/>
        <w:t>not also</w:t>
      </w:r>
      <w:r>
        <w:rPr>
          <w:spacing w:val="-2"/>
        </w:rPr>
        <w:t> </w:t>
      </w:r>
      <w:r>
        <w:rPr/>
        <w:t>have</w:t>
      </w:r>
      <w:r>
        <w:rPr>
          <w:spacing w:val="-5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impact</w:t>
      </w:r>
      <w:r>
        <w:rPr>
          <w:spacing w:val="-5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likelihood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having</w:t>
      </w:r>
      <w:r>
        <w:rPr>
          <w:spacing w:val="-8"/>
        </w:rPr>
        <w:t> </w:t>
      </w:r>
      <w:r>
        <w:rPr>
          <w:i/>
        </w:rPr>
        <w:t>poor</w:t>
      </w:r>
      <w:r>
        <w:rPr>
          <w:i/>
          <w:spacing w:val="-5"/>
        </w:rPr>
        <w:t> </w:t>
      </w:r>
      <w:r>
        <w:rPr/>
        <w:t>health</w:t>
      </w:r>
      <w:r>
        <w:rPr>
          <w:spacing w:val="-6"/>
        </w:rPr>
        <w:t> </w:t>
      </w:r>
      <w:r>
        <w:rPr/>
        <w:t>outcomes.</w:t>
      </w:r>
      <w:r>
        <w:rPr>
          <w:spacing w:val="-3"/>
        </w:rPr>
        <w:t> </w:t>
      </w:r>
      <w:r>
        <w:rPr/>
        <w:t>His</w:t>
      </w:r>
      <w:r>
        <w:rPr>
          <w:spacing w:val="-5"/>
        </w:rPr>
        <w:t> </w:t>
      </w:r>
      <w:r>
        <w:rPr/>
        <w:t>finding</w:t>
      </w:r>
      <w:r>
        <w:rPr>
          <w:spacing w:val="-8"/>
        </w:rPr>
        <w:t> </w:t>
      </w:r>
      <w:r>
        <w:rPr/>
        <w:t>also</w:t>
      </w:r>
      <w:r>
        <w:rPr>
          <w:spacing w:val="-5"/>
        </w:rPr>
        <w:t> </w:t>
      </w:r>
      <w:r>
        <w:rPr/>
        <w:t>indicated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any</w:t>
      </w:r>
      <w:r>
        <w:rPr>
          <w:spacing w:val="-11"/>
        </w:rPr>
        <w:t> </w:t>
      </w:r>
      <w:r>
        <w:rPr/>
        <w:t>1-unit</w:t>
      </w:r>
      <w:r>
        <w:rPr>
          <w:spacing w:val="-5"/>
        </w:rPr>
        <w:t> </w:t>
      </w:r>
      <w:r>
        <w:rPr/>
        <w:t>rise</w:t>
      </w:r>
      <w:r>
        <w:rPr>
          <w:spacing w:val="-7"/>
        </w:rPr>
        <w:t> </w:t>
      </w:r>
      <w:r>
        <w:rPr/>
        <w:t>in</w:t>
      </w:r>
      <w:r>
        <w:rPr>
          <w:spacing w:val="-57"/>
        </w:rPr>
        <w:t> </w:t>
      </w:r>
      <w:r>
        <w:rPr/>
        <w:t>income</w:t>
      </w:r>
      <w:r>
        <w:rPr>
          <w:spacing w:val="-1"/>
        </w:rPr>
        <w:t> </w:t>
      </w:r>
      <w:r>
        <w:rPr/>
        <w:t>disparity</w:t>
      </w:r>
      <w:r>
        <w:rPr>
          <w:spacing w:val="-3"/>
        </w:rPr>
        <w:t> </w:t>
      </w:r>
      <w:r>
        <w:rPr/>
        <w:t>will</w:t>
      </w:r>
      <w:r>
        <w:rPr>
          <w:spacing w:val="2"/>
        </w:rPr>
        <w:t> </w:t>
      </w:r>
      <w:r>
        <w:rPr/>
        <w:t>yields healthy</w:t>
      </w:r>
      <w:r>
        <w:rPr>
          <w:spacing w:val="-5"/>
        </w:rPr>
        <w:t> </w:t>
      </w:r>
      <w:r>
        <w:rPr/>
        <w:t>outcomes by</w:t>
      </w:r>
      <w:r>
        <w:rPr>
          <w:spacing w:val="-4"/>
        </w:rPr>
        <w:t> </w:t>
      </w:r>
      <w:r>
        <w:rPr/>
        <w:t>0.2%.</w:t>
      </w:r>
    </w:p>
    <w:p>
      <w:pPr>
        <w:pStyle w:val="BodyText"/>
        <w:spacing w:line="360" w:lineRule="auto" w:before="115"/>
        <w:ind w:left="160" w:right="158"/>
        <w:jc w:val="both"/>
      </w:pPr>
      <w:r>
        <w:rPr/>
        <w:t>Daly and Wilson (2013) further employed panel data estimation to test income inequality-health</w:t>
      </w:r>
      <w:r>
        <w:rPr>
          <w:spacing w:val="1"/>
        </w:rPr>
        <w:t> </w:t>
      </w:r>
      <w:r>
        <w:rPr/>
        <w:t>hypothesis in United States. The finding indicates that increased income inequality is associated</w:t>
      </w:r>
      <w:r>
        <w:rPr>
          <w:spacing w:val="1"/>
        </w:rPr>
        <w:t> </w:t>
      </w:r>
      <w:r>
        <w:rPr/>
        <w:t>with declines in mortality at the country-level in United States. Subrananian (2006) also analyzed</w:t>
      </w:r>
      <w:r>
        <w:rPr>
          <w:spacing w:val="-57"/>
        </w:rPr>
        <w:t> </w:t>
      </w:r>
      <w:r>
        <w:rPr/>
        <w:t>effects of state income inequality on individual self-rated health in United State but found that</w:t>
      </w:r>
      <w:r>
        <w:rPr>
          <w:spacing w:val="1"/>
        </w:rPr>
        <w:t> </w:t>
      </w:r>
      <w:r>
        <w:rPr/>
        <w:t>rising</w:t>
      </w:r>
      <w:r>
        <w:rPr>
          <w:spacing w:val="-2"/>
        </w:rPr>
        <w:t> </w:t>
      </w:r>
      <w:r>
        <w:rPr/>
        <w:t>income</w:t>
      </w:r>
      <w:r>
        <w:rPr>
          <w:spacing w:val="-1"/>
        </w:rPr>
        <w:t> </w:t>
      </w:r>
      <w:r>
        <w:rPr/>
        <w:t>disparity</w:t>
      </w:r>
      <w:r>
        <w:rPr>
          <w:spacing w:val="-5"/>
        </w:rPr>
        <w:t> </w:t>
      </w:r>
      <w:r>
        <w:rPr/>
        <w:t>did not worsen health outcomes.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4"/>
        <w:jc w:val="both"/>
      </w:pPr>
      <w:r>
        <w:rPr/>
        <w:t>Others studies such as, Deaton (2013), Lynch </w:t>
      </w:r>
      <w:r>
        <w:rPr>
          <w:i/>
        </w:rPr>
        <w:t>et al. </w:t>
      </w:r>
      <w:r>
        <w:rPr/>
        <w:t>(2007), Miller </w:t>
      </w:r>
      <w:r>
        <w:rPr>
          <w:i/>
        </w:rPr>
        <w:t>et al, </w:t>
      </w:r>
      <w:r>
        <w:rPr/>
        <w:t>(2006), Shibuya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(2002), Mellor and Milyo (2001) and Wagstaff (2000) also indicates with evidence that rising</w:t>
      </w:r>
      <w:r>
        <w:rPr>
          <w:spacing w:val="1"/>
        </w:rPr>
        <w:t> </w:t>
      </w:r>
      <w:r>
        <w:rPr/>
        <w:t>income inequality may not worsen health. These findings suggest that direct effect of income</w:t>
      </w:r>
      <w:r>
        <w:rPr>
          <w:spacing w:val="1"/>
        </w:rPr>
        <w:t> </w:t>
      </w:r>
      <w:r>
        <w:rPr/>
        <w:t>inequality on health should not be unilaterally emphasized. Rather, attention should be given to</w:t>
      </w:r>
      <w:r>
        <w:rPr>
          <w:spacing w:val="1"/>
        </w:rPr>
        <w:t> </w:t>
      </w:r>
      <w:r>
        <w:rPr/>
        <w:t>indirect</w:t>
      </w:r>
      <w:r>
        <w:rPr>
          <w:spacing w:val="-1"/>
        </w:rPr>
        <w:t> </w:t>
      </w:r>
      <w:r>
        <w:rPr/>
        <w:t>links between income disparity</w:t>
      </w:r>
      <w:r>
        <w:rPr>
          <w:spacing w:val="-5"/>
        </w:rPr>
        <w:t> </w:t>
      </w:r>
      <w:r>
        <w:rPr/>
        <w:t>and health.</w:t>
      </w:r>
    </w:p>
    <w:p>
      <w:pPr>
        <w:pStyle w:val="ListParagraph"/>
        <w:numPr>
          <w:ilvl w:val="2"/>
          <w:numId w:val="11"/>
        </w:numPr>
        <w:tabs>
          <w:tab w:pos="881" w:val="left" w:leader="none"/>
        </w:tabs>
        <w:spacing w:line="240" w:lineRule="auto" w:before="184" w:after="0"/>
        <w:ind w:left="880" w:right="0" w:hanging="721"/>
        <w:jc w:val="both"/>
        <w:rPr>
          <w:i/>
          <w:sz w:val="24"/>
        </w:rPr>
      </w:pPr>
      <w:r>
        <w:rPr>
          <w:i/>
          <w:sz w:val="24"/>
        </w:rPr>
        <w:t>Evidence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</w:p>
    <w:p>
      <w:pPr>
        <w:pStyle w:val="BodyText"/>
        <w:spacing w:line="360" w:lineRule="auto" w:before="139"/>
        <w:ind w:left="160" w:right="156"/>
        <w:jc w:val="both"/>
      </w:pPr>
      <w:r>
        <w:rPr/>
        <w:t>In</w:t>
      </w:r>
      <w:r>
        <w:rPr>
          <w:spacing w:val="-8"/>
        </w:rPr>
        <w:t> </w:t>
      </w:r>
      <w:r>
        <w:rPr/>
        <w:t>terms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evidence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Nigeria,</w:t>
      </w:r>
      <w:r>
        <w:rPr>
          <w:spacing w:val="-10"/>
        </w:rPr>
        <w:t> </w:t>
      </w:r>
      <w:r>
        <w:rPr/>
        <w:t>numerous</w:t>
      </w:r>
      <w:r>
        <w:rPr>
          <w:spacing w:val="-9"/>
        </w:rPr>
        <w:t> </w:t>
      </w:r>
      <w:r>
        <w:rPr/>
        <w:t>approaches</w:t>
      </w:r>
      <w:r>
        <w:rPr>
          <w:spacing w:val="-6"/>
        </w:rPr>
        <w:t> </w:t>
      </w:r>
      <w:r>
        <w:rPr/>
        <w:t>were</w:t>
      </w:r>
      <w:r>
        <w:rPr>
          <w:spacing w:val="-8"/>
        </w:rPr>
        <w:t> </w:t>
      </w:r>
      <w:r>
        <w:rPr/>
        <w:t>employed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examine</w:t>
      </w:r>
      <w:r>
        <w:rPr>
          <w:spacing w:val="-7"/>
        </w:rPr>
        <w:t> </w:t>
      </w:r>
      <w:r>
        <w:rPr/>
        <w:t>IIH</w:t>
      </w:r>
      <w:r>
        <w:rPr>
          <w:spacing w:val="-7"/>
        </w:rPr>
        <w:t> </w:t>
      </w:r>
      <w:r>
        <w:rPr/>
        <w:t>link.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first distinction relates to the type of data employed, where several studies used aggregated or</w:t>
      </w:r>
      <w:r>
        <w:rPr>
          <w:spacing w:val="1"/>
        </w:rPr>
        <w:t> </w:t>
      </w:r>
      <w:r>
        <w:rPr/>
        <w:t>panel</w:t>
      </w:r>
      <w:r>
        <w:rPr>
          <w:spacing w:val="-9"/>
        </w:rPr>
        <w:t> </w:t>
      </w:r>
      <w:r>
        <w:rPr/>
        <w:t>data</w:t>
      </w:r>
      <w:r>
        <w:rPr>
          <w:spacing w:val="-7"/>
        </w:rPr>
        <w:t> </w:t>
      </w:r>
      <w:r>
        <w:rPr/>
        <w:t>(see</w:t>
      </w:r>
      <w:r>
        <w:rPr>
          <w:spacing w:val="-7"/>
        </w:rPr>
        <w:t> </w:t>
      </w:r>
      <w:r>
        <w:rPr/>
        <w:t>Nilson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Bergh,</w:t>
      </w:r>
      <w:r>
        <w:rPr>
          <w:spacing w:val="-7"/>
        </w:rPr>
        <w:t> </w:t>
      </w:r>
      <w:r>
        <w:rPr/>
        <w:t>2012;</w:t>
      </w:r>
      <w:r>
        <w:rPr>
          <w:spacing w:val="-8"/>
        </w:rPr>
        <w:t> </w:t>
      </w:r>
      <w:r>
        <w:rPr/>
        <w:t>Pulok,</w:t>
      </w:r>
      <w:r>
        <w:rPr>
          <w:spacing w:val="-8"/>
        </w:rPr>
        <w:t> </w:t>
      </w:r>
      <w:r>
        <w:rPr/>
        <w:t>2012;</w:t>
      </w:r>
      <w:r>
        <w:rPr>
          <w:spacing w:val="-8"/>
        </w:rPr>
        <w:t> </w:t>
      </w:r>
      <w:r>
        <w:rPr/>
        <w:t>Fatukasi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Ayemoni,</w:t>
      </w:r>
      <w:r>
        <w:rPr>
          <w:spacing w:val="-8"/>
        </w:rPr>
        <w:t> </w:t>
      </w:r>
      <w:r>
        <w:rPr/>
        <w:t>2015;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Odusanya</w:t>
      </w:r>
      <w:r>
        <w:rPr>
          <w:spacing w:val="-58"/>
        </w:rPr>
        <w:t> </w:t>
      </w:r>
      <w:r>
        <w:rPr/>
        <w:t>and</w:t>
      </w:r>
      <w:r>
        <w:rPr>
          <w:spacing w:val="-7"/>
        </w:rPr>
        <w:t> </w:t>
      </w:r>
      <w:r>
        <w:rPr/>
        <w:t>Agboola,</w:t>
      </w:r>
      <w:r>
        <w:rPr>
          <w:spacing w:val="-7"/>
        </w:rPr>
        <w:t> </w:t>
      </w:r>
      <w:r>
        <w:rPr/>
        <w:t>2017;</w:t>
      </w:r>
      <w:r>
        <w:rPr>
          <w:spacing w:val="-6"/>
        </w:rPr>
        <w:t> </w:t>
      </w:r>
      <w:r>
        <w:rPr/>
        <w:t>Odusanya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Atanda,</w:t>
      </w:r>
      <w:r>
        <w:rPr>
          <w:spacing w:val="-7"/>
        </w:rPr>
        <w:t> </w:t>
      </w:r>
      <w:r>
        <w:rPr/>
        <w:t>2018).</w:t>
      </w:r>
      <w:r>
        <w:rPr>
          <w:spacing w:val="-6"/>
        </w:rPr>
        <w:t> </w:t>
      </w:r>
      <w:r>
        <w:rPr/>
        <w:t>Others</w:t>
      </w:r>
      <w:r>
        <w:rPr>
          <w:spacing w:val="-7"/>
        </w:rPr>
        <w:t> </w:t>
      </w:r>
      <w:r>
        <w:rPr/>
        <w:t>employed</w:t>
      </w:r>
      <w:r>
        <w:rPr>
          <w:spacing w:val="-6"/>
        </w:rPr>
        <w:t> </w:t>
      </w:r>
      <w:r>
        <w:rPr/>
        <w:t>cross-sectional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survey</w:t>
      </w:r>
      <w:r>
        <w:rPr>
          <w:spacing w:val="-13"/>
        </w:rPr>
        <w:t> </w:t>
      </w:r>
      <w:r>
        <w:rPr/>
        <w:t>data</w:t>
      </w:r>
      <w:r>
        <w:rPr>
          <w:spacing w:val="-58"/>
        </w:rPr>
        <w:t> </w:t>
      </w:r>
      <w:r>
        <w:rPr/>
        <w:t>(see Orji </w:t>
      </w:r>
      <w:r>
        <w:rPr>
          <w:i/>
        </w:rPr>
        <w:t>et al. </w:t>
      </w:r>
      <w:r>
        <w:rPr/>
        <w:t>2013; Alamode and Lawal, 2014; Lawanson and Olaniyan, 2014; Olaniyan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2015;</w:t>
      </w:r>
      <w:r>
        <w:rPr>
          <w:spacing w:val="-1"/>
        </w:rPr>
        <w:t> </w:t>
      </w:r>
      <w:r>
        <w:rPr/>
        <w:t>and Karimo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>
          <w:i/>
          <w:spacing w:val="3"/>
        </w:rPr>
        <w:t> </w:t>
      </w:r>
      <w:r>
        <w:rPr/>
        <w:t>2017). These</w:t>
      </w:r>
      <w:r>
        <w:rPr>
          <w:spacing w:val="-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had</w:t>
      </w:r>
      <w:r>
        <w:rPr>
          <w:spacing w:val="2"/>
        </w:rPr>
        <w:t> </w:t>
      </w:r>
      <w:r>
        <w:rPr/>
        <w:t>found</w:t>
      </w:r>
      <w:r>
        <w:rPr>
          <w:spacing w:val="-1"/>
        </w:rPr>
        <w:t> </w:t>
      </w:r>
      <w:r>
        <w:rPr/>
        <w:t>different findings.</w:t>
      </w:r>
    </w:p>
    <w:p>
      <w:pPr>
        <w:pStyle w:val="BodyText"/>
        <w:spacing w:line="360" w:lineRule="auto" w:before="208"/>
        <w:ind w:left="160" w:right="152"/>
        <w:jc w:val="both"/>
      </w:pPr>
      <w:r>
        <w:rPr/>
        <w:t>Odusanya and Atanda (2018) examined the effects of income inequality on health in 34 SSA</w:t>
      </w:r>
      <w:r>
        <w:rPr>
          <w:spacing w:val="1"/>
        </w:rPr>
        <w:t> </w:t>
      </w:r>
      <w:r>
        <w:rPr/>
        <w:t>nations. The study adopted the ADRL bounds testing approach for the period of 2001 to 2016.</w:t>
      </w:r>
      <w:r>
        <w:rPr>
          <w:spacing w:val="1"/>
        </w:rPr>
        <w:t> </w:t>
      </w:r>
      <w:r>
        <w:rPr/>
        <w:t>Their finding revealed that income inequality worsens newborn deaths significant both in short-</w:t>
      </w:r>
      <w:r>
        <w:rPr>
          <w:spacing w:val="1"/>
        </w:rPr>
        <w:t> </w:t>
      </w:r>
      <w:r>
        <w:rPr/>
        <w:t>and long-run in Nigeria. In a similar study on Nigeria, Odusanya and Agboola (2017) employed</w:t>
      </w:r>
      <w:r>
        <w:rPr>
          <w:spacing w:val="1"/>
        </w:rPr>
        <w:t> </w:t>
      </w:r>
      <w:r>
        <w:rPr/>
        <w:t>ARDL Bounds test on 1980-2014 data. It was revealed that income inequality relates with health</w:t>
      </w:r>
      <w:r>
        <w:rPr>
          <w:spacing w:val="1"/>
        </w:rPr>
        <w:t> </w:t>
      </w:r>
      <w:r>
        <w:rPr/>
        <w:t>inversely,</w:t>
      </w:r>
      <w:r>
        <w:rPr>
          <w:spacing w:val="-1"/>
        </w:rPr>
        <w:t> </w:t>
      </w:r>
      <w:r>
        <w:rPr/>
        <w:t>both in the long-</w:t>
      </w:r>
      <w:r>
        <w:rPr>
          <w:spacing w:val="1"/>
        </w:rPr>
        <w:t> </w:t>
      </w:r>
      <w:r>
        <w:rPr/>
        <w:t>and short-runs.</w:t>
      </w:r>
    </w:p>
    <w:p>
      <w:pPr>
        <w:pStyle w:val="BodyText"/>
        <w:spacing w:line="360" w:lineRule="auto" w:before="183"/>
        <w:ind w:left="160" w:right="154"/>
        <w:jc w:val="both"/>
      </w:pPr>
      <w:r>
        <w:rPr/>
        <w:t>Meanwhile, Karimo </w:t>
      </w:r>
      <w:r>
        <w:rPr>
          <w:i/>
        </w:rPr>
        <w:t>et al. </w:t>
      </w:r>
      <w:r>
        <w:rPr/>
        <w:t>(2017) analyzed the financial burden associated with elderly ill-health</w:t>
      </w:r>
      <w:r>
        <w:rPr>
          <w:spacing w:val="1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3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survey</w:t>
      </w:r>
      <w:r>
        <w:rPr>
          <w:spacing w:val="-13"/>
        </w:rPr>
        <w:t> </w:t>
      </w:r>
      <w:r>
        <w:rPr/>
        <w:t>data</w:t>
      </w:r>
      <w:r>
        <w:rPr>
          <w:spacing w:val="-10"/>
        </w:rPr>
        <w:t> </w:t>
      </w:r>
      <w:r>
        <w:rPr/>
        <w:t>drawn</w:t>
      </w:r>
      <w:r>
        <w:rPr>
          <w:spacing w:val="-8"/>
        </w:rPr>
        <w:t> </w:t>
      </w:r>
      <w:r>
        <w:rPr/>
        <w:t>from</w:t>
      </w:r>
      <w:r>
        <w:rPr>
          <w:spacing w:val="-9"/>
        </w:rPr>
        <w:t> </w:t>
      </w:r>
      <w:r>
        <w:rPr/>
        <w:t>2010</w:t>
      </w:r>
      <w:r>
        <w:rPr>
          <w:spacing w:val="-9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Living</w:t>
      </w:r>
      <w:r>
        <w:rPr>
          <w:spacing w:val="-11"/>
        </w:rPr>
        <w:t> </w:t>
      </w:r>
      <w:r>
        <w:rPr/>
        <w:t>Standard</w:t>
      </w:r>
      <w:r>
        <w:rPr>
          <w:spacing w:val="-9"/>
        </w:rPr>
        <w:t> </w:t>
      </w:r>
      <w:r>
        <w:rPr/>
        <w:t>Survey</w:t>
      </w:r>
      <w:r>
        <w:rPr>
          <w:spacing w:val="-12"/>
        </w:rPr>
        <w:t> </w:t>
      </w:r>
      <w:r>
        <w:rPr/>
        <w:t>covering</w:t>
      </w:r>
      <w:r>
        <w:rPr>
          <w:spacing w:val="-58"/>
        </w:rPr>
        <w:t> </w:t>
      </w:r>
      <w:r>
        <w:rPr/>
        <w:t>six geo-political zones in Nigeria indicates that huge financial burden was associated with adults’</w:t>
      </w:r>
      <w:r>
        <w:rPr>
          <w:spacing w:val="-57"/>
        </w:rPr>
        <w:t> </w:t>
      </w:r>
      <w:r>
        <w:rPr/>
        <w:t>ill-health in Nigeria and that 50% of elderly people in the country have unmet healthcare needs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to poverty.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160" w:right="158"/>
        <w:jc w:val="both"/>
      </w:pPr>
      <w:r>
        <w:rPr/>
        <w:t>Olaniyan </w:t>
      </w:r>
      <w:r>
        <w:rPr>
          <w:i/>
        </w:rPr>
        <w:t>et al. </w:t>
      </w:r>
      <w:r>
        <w:rPr/>
        <w:t>(2015) investigated the socio-economic inequalities in adult mortality among the</w:t>
      </w:r>
      <w:r>
        <w:rPr>
          <w:spacing w:val="1"/>
        </w:rPr>
        <w:t> </w:t>
      </w:r>
      <w:r>
        <w:rPr/>
        <w:t>Geo-political zones in Nigeria. The study used 2008 National Health and Demography Survey</w:t>
      </w:r>
      <w:r>
        <w:rPr>
          <w:spacing w:val="1"/>
        </w:rPr>
        <w:t> </w:t>
      </w:r>
      <w:r>
        <w:rPr/>
        <w:t>(NHDS). They found that socio-economic inequalities were related with worsen health outcomes</w:t>
      </w:r>
      <w:r>
        <w:rPr>
          <w:spacing w:val="-57"/>
        </w:rPr>
        <w:t> </w:t>
      </w:r>
      <w:r>
        <w:rPr/>
        <w:t>most especially in Northern part of the country. In another study, Lawanson and Olaniyan (2014)</w:t>
      </w:r>
      <w:r>
        <w:rPr>
          <w:spacing w:val="-57"/>
        </w:rPr>
        <w:t> </w:t>
      </w:r>
      <w:r>
        <w:rPr/>
        <w:t>employed Sub-National Health Accounts data for 17 states from 2003 to 2005. Their finding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that households’ income</w:t>
      </w:r>
      <w:r>
        <w:rPr>
          <w:spacing w:val="-1"/>
        </w:rPr>
        <w:t> </w:t>
      </w:r>
      <w:r>
        <w:rPr/>
        <w:t>is paramount to</w:t>
      </w:r>
      <w:r>
        <w:rPr>
          <w:spacing w:val="1"/>
        </w:rPr>
        <w:t> </w:t>
      </w:r>
      <w:r>
        <w:rPr/>
        <w:t>healthy</w:t>
      </w:r>
      <w:r>
        <w:rPr>
          <w:spacing w:val="-5"/>
        </w:rPr>
        <w:t> </w:t>
      </w:r>
      <w:r>
        <w:rPr/>
        <w:t>outcomes at</w:t>
      </w:r>
      <w:r>
        <w:rPr>
          <w:spacing w:val="-1"/>
        </w:rPr>
        <w:t> </w:t>
      </w:r>
      <w:r>
        <w:rPr/>
        <w:t>5%</w:t>
      </w:r>
      <w:r>
        <w:rPr>
          <w:spacing w:val="1"/>
        </w:rPr>
        <w:t> </w:t>
      </w:r>
      <w:r>
        <w:rPr/>
        <w:t>level.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7"/>
        <w:jc w:val="both"/>
      </w:pPr>
      <w:r>
        <w:rPr>
          <w:spacing w:val="-1"/>
        </w:rPr>
        <w:t>Alawode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Lawal</w:t>
      </w:r>
      <w:r>
        <w:rPr>
          <w:spacing w:val="-11"/>
        </w:rPr>
        <w:t> </w:t>
      </w:r>
      <w:r>
        <w:rPr/>
        <w:t>(2014)</w:t>
      </w:r>
      <w:r>
        <w:rPr>
          <w:spacing w:val="-13"/>
        </w:rPr>
        <w:t> </w:t>
      </w:r>
      <w:r>
        <w:rPr/>
        <w:t>examined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pattern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income</w:t>
      </w:r>
      <w:r>
        <w:rPr>
          <w:spacing w:val="-12"/>
        </w:rPr>
        <w:t> </w:t>
      </w:r>
      <w:r>
        <w:rPr/>
        <w:t>inequality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self-rated</w:t>
      </w:r>
      <w:r>
        <w:rPr>
          <w:spacing w:val="-11"/>
        </w:rPr>
        <w:t> </w:t>
      </w:r>
      <w:r>
        <w:rPr/>
        <w:t>health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rural</w:t>
      </w:r>
      <w:r>
        <w:rPr>
          <w:spacing w:val="-57"/>
        </w:rPr>
        <w:t> </w:t>
      </w:r>
      <w:r>
        <w:rPr/>
        <w:t>Oyo State. The study used multinomial logistic regression to show that unequal distribution in</w:t>
      </w:r>
      <w:r>
        <w:rPr>
          <w:spacing w:val="1"/>
        </w:rPr>
        <w:t> </w:t>
      </w:r>
      <w:r>
        <w:rPr/>
        <w:t>income</w:t>
      </w:r>
      <w:r>
        <w:rPr>
          <w:spacing w:val="-15"/>
        </w:rPr>
        <w:t> </w:t>
      </w:r>
      <w:r>
        <w:rPr/>
        <w:t>(with</w:t>
      </w:r>
      <w:r>
        <w:rPr>
          <w:spacing w:val="-13"/>
        </w:rPr>
        <w:t> </w:t>
      </w:r>
      <w:r>
        <w:rPr/>
        <w:t>Gini-coefficient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0.245</w:t>
      </w:r>
      <w:r>
        <w:rPr>
          <w:spacing w:val="-13"/>
        </w:rPr>
        <w:t> </w:t>
      </w:r>
      <w:r>
        <w:rPr/>
        <w:t>which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at</w:t>
      </w:r>
      <w:r>
        <w:rPr>
          <w:spacing w:val="-13"/>
        </w:rPr>
        <w:t> </w:t>
      </w:r>
      <w:r>
        <w:rPr/>
        <w:t>1</w:t>
      </w:r>
      <w:r>
        <w:rPr>
          <w:spacing w:val="-13"/>
        </w:rPr>
        <w:t> </w:t>
      </w:r>
      <w:r>
        <w:rPr/>
        <w:t>per</w:t>
      </w:r>
      <w:r>
        <w:rPr>
          <w:spacing w:val="-12"/>
        </w:rPr>
        <w:t> </w:t>
      </w:r>
      <w:r>
        <w:rPr/>
        <w:t>cent)</w:t>
      </w:r>
      <w:r>
        <w:rPr>
          <w:spacing w:val="-12"/>
        </w:rPr>
        <w:t> </w:t>
      </w:r>
      <w:r>
        <w:rPr/>
        <w:t>increases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likelihood</w:t>
      </w:r>
      <w:r>
        <w:rPr>
          <w:spacing w:val="-58"/>
        </w:rPr>
        <w:t> </w:t>
      </w:r>
      <w:r>
        <w:rPr/>
        <w:t>of having good health status in rural Oyo State, Nigeria. In adopting a multilevel approach, Orji,</w:t>
      </w:r>
      <w:r>
        <w:rPr>
          <w:spacing w:val="1"/>
        </w:rPr>
        <w:t> </w:t>
      </w:r>
      <w:r>
        <w:rPr/>
        <w:t>Ogbuabor, and Okechukwu (2013) utilized data from National Demographic and Household</w:t>
      </w:r>
      <w:r>
        <w:rPr>
          <w:spacing w:val="1"/>
        </w:rPr>
        <w:t> </w:t>
      </w:r>
      <w:r>
        <w:rPr/>
        <w:t>Surveys (2008) in Nigeria. Their results show that relative income has no significant impact on</w:t>
      </w:r>
      <w:r>
        <w:rPr>
          <w:spacing w:val="1"/>
        </w:rPr>
        <w:t> </w:t>
      </w:r>
      <w:r>
        <w:rPr/>
        <w:t>health. This contradicts the findings of Odusanya and Agboola (2017), Karimo </w:t>
      </w:r>
      <w:r>
        <w:rPr>
          <w:i/>
        </w:rPr>
        <w:t>et al. </w:t>
      </w:r>
      <w:r>
        <w:rPr/>
        <w:t>(2017);</w:t>
      </w:r>
      <w:r>
        <w:rPr>
          <w:spacing w:val="1"/>
        </w:rPr>
        <w:t> </w:t>
      </w:r>
      <w:r>
        <w:rPr/>
        <w:t>Olaniyan</w:t>
      </w:r>
      <w:r>
        <w:rPr>
          <w:spacing w:val="-1"/>
        </w:rPr>
        <w:t> </w:t>
      </w:r>
      <w:r>
        <w:rPr>
          <w:i/>
        </w:rPr>
        <w:t>et al. </w:t>
      </w:r>
      <w:r>
        <w:rPr/>
        <w:t>(2014),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Lawanson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Olaniyan (2014).</w:t>
      </w:r>
    </w:p>
    <w:p>
      <w:pPr>
        <w:pStyle w:val="Heading4"/>
        <w:numPr>
          <w:ilvl w:val="1"/>
          <w:numId w:val="11"/>
        </w:numPr>
        <w:tabs>
          <w:tab w:pos="881" w:val="left" w:leader="none"/>
        </w:tabs>
        <w:spacing w:line="240" w:lineRule="auto" w:before="191" w:after="0"/>
        <w:ind w:left="880" w:right="0" w:hanging="721"/>
        <w:jc w:val="both"/>
      </w:pPr>
      <w:bookmarkStart w:name="_TOC_250046" w:id="31"/>
      <w:r>
        <w:rPr/>
        <w:t>Income</w:t>
      </w:r>
      <w:r>
        <w:rPr>
          <w:spacing w:val="-3"/>
        </w:rPr>
        <w:t> </w:t>
      </w:r>
      <w:r>
        <w:rPr/>
        <w:t>Inequality-Health</w:t>
      </w:r>
      <w:r>
        <w:rPr>
          <w:spacing w:val="-2"/>
        </w:rPr>
        <w:t> </w:t>
      </w:r>
      <w:r>
        <w:rPr/>
        <w:t>Seeking</w:t>
      </w:r>
      <w:r>
        <w:rPr>
          <w:spacing w:val="-2"/>
        </w:rPr>
        <w:t> </w:t>
      </w:r>
      <w:r>
        <w:rPr/>
        <w:t>Behaviour</w:t>
      </w:r>
      <w:r>
        <w:rPr>
          <w:spacing w:val="-2"/>
        </w:rPr>
        <w:t> </w:t>
      </w:r>
      <w:bookmarkEnd w:id="31"/>
      <w:r>
        <w:rPr/>
        <w:t>Nexus</w:t>
      </w:r>
    </w:p>
    <w:p>
      <w:pPr>
        <w:pStyle w:val="BodyText"/>
        <w:spacing w:line="360" w:lineRule="auto" w:before="132"/>
        <w:ind w:left="160" w:right="156"/>
        <w:jc w:val="both"/>
      </w:pPr>
      <w:r>
        <w:rPr/>
        <w:t>The effect of income inequality on HSB critically depends on the perceived demand, and supply</w:t>
      </w:r>
      <w:r>
        <w:rPr>
          <w:spacing w:val="1"/>
        </w:rPr>
        <w:t> </w:t>
      </w:r>
      <w:r>
        <w:rPr>
          <w:spacing w:val="-1"/>
        </w:rPr>
        <w:t>side</w:t>
      </w:r>
      <w:r>
        <w:rPr>
          <w:spacing w:val="-15"/>
        </w:rPr>
        <w:t> </w:t>
      </w:r>
      <w:r>
        <w:rPr/>
        <w:t>factors.</w:t>
      </w:r>
      <w:r>
        <w:rPr>
          <w:spacing w:val="-15"/>
        </w:rPr>
        <w:t> </w:t>
      </w:r>
      <w:r>
        <w:rPr/>
        <w:t>Regarding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demand-side</w:t>
      </w:r>
      <w:r>
        <w:rPr>
          <w:spacing w:val="-15"/>
        </w:rPr>
        <w:t> </w:t>
      </w:r>
      <w:r>
        <w:rPr/>
        <w:t>factors,</w:t>
      </w:r>
      <w:r>
        <w:rPr>
          <w:spacing w:val="-15"/>
        </w:rPr>
        <w:t> </w:t>
      </w:r>
      <w:r>
        <w:rPr/>
        <w:t>them</w:t>
      </w:r>
      <w:r>
        <w:rPr>
          <w:spacing w:val="-13"/>
        </w:rPr>
        <w:t> </w:t>
      </w:r>
      <w:r>
        <w:rPr/>
        <w:t>effect</w:t>
      </w:r>
      <w:r>
        <w:rPr>
          <w:spacing w:val="-12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6"/>
        </w:rPr>
        <w:t> </w:t>
      </w:r>
      <w:r>
        <w:rPr/>
        <w:t>detrimental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appropriate</w:t>
      </w:r>
      <w:r>
        <w:rPr>
          <w:spacing w:val="-15"/>
        </w:rPr>
        <w:t> </w:t>
      </w:r>
      <w:r>
        <w:rPr/>
        <w:t>HSB</w:t>
      </w:r>
      <w:r>
        <w:rPr>
          <w:spacing w:val="-57"/>
        </w:rPr>
        <w:t> </w:t>
      </w:r>
      <w:r>
        <w:rPr/>
        <w:t>through resource’ constraints (Hombres </w:t>
      </w:r>
      <w:r>
        <w:rPr>
          <w:i/>
        </w:rPr>
        <w:t>et al. </w:t>
      </w:r>
      <w:r>
        <w:rPr/>
        <w:t>2012:47). This is because, rising income inequality</w:t>
      </w:r>
      <w:r>
        <w:rPr>
          <w:spacing w:val="-57"/>
        </w:rPr>
        <w:t> </w:t>
      </w:r>
      <w:r>
        <w:rPr/>
        <w:t>might</w:t>
      </w:r>
      <w:r>
        <w:rPr>
          <w:spacing w:val="-8"/>
        </w:rPr>
        <w:t> </w:t>
      </w:r>
      <w:r>
        <w:rPr/>
        <w:t>prevent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utilization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appropriate</w:t>
      </w:r>
      <w:r>
        <w:rPr>
          <w:spacing w:val="-9"/>
        </w:rPr>
        <w:t> </w:t>
      </w:r>
      <w:r>
        <w:rPr/>
        <w:t>healthcare</w:t>
      </w:r>
      <w:r>
        <w:rPr>
          <w:spacing w:val="-9"/>
        </w:rPr>
        <w:t> </w:t>
      </w:r>
      <w:r>
        <w:rPr/>
        <w:t>services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those</w:t>
      </w:r>
      <w:r>
        <w:rPr>
          <w:spacing w:val="-8"/>
        </w:rPr>
        <w:t> </w:t>
      </w:r>
      <w:r>
        <w:rPr/>
        <w:t>belonging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‘bottom’</w:t>
      </w:r>
      <w:r>
        <w:rPr>
          <w:spacing w:val="-58"/>
        </w:rPr>
        <w:t> </w:t>
      </w:r>
      <w:r>
        <w:rPr/>
        <w:t>of the income distribution. Furthermore, in virtue to purchasing-power theory, increasing income</w:t>
      </w:r>
      <w:r>
        <w:rPr>
          <w:spacing w:val="-57"/>
        </w:rPr>
        <w:t> </w:t>
      </w:r>
      <w:r>
        <w:rPr/>
        <w:t>inequality tend to reduce purchasing-power of the household’s resource to access appropriate</w:t>
      </w:r>
      <w:r>
        <w:rPr>
          <w:spacing w:val="1"/>
        </w:rPr>
        <w:t> </w:t>
      </w:r>
      <w:r>
        <w:rPr/>
        <w:t>health-seeking</w:t>
      </w:r>
      <w:r>
        <w:rPr>
          <w:spacing w:val="-4"/>
        </w:rPr>
        <w:t> </w:t>
      </w:r>
      <w:r>
        <w:rPr/>
        <w:t>behavior.</w:t>
      </w:r>
    </w:p>
    <w:p>
      <w:pPr>
        <w:pStyle w:val="BodyText"/>
        <w:spacing w:line="360" w:lineRule="auto" w:before="69"/>
        <w:ind w:left="160" w:right="158"/>
        <w:jc w:val="both"/>
      </w:pP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term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supply-side</w:t>
      </w:r>
      <w:r>
        <w:rPr>
          <w:spacing w:val="-8"/>
        </w:rPr>
        <w:t> </w:t>
      </w:r>
      <w:r>
        <w:rPr/>
        <w:t>factors,</w:t>
      </w:r>
      <w:r>
        <w:rPr>
          <w:spacing w:val="-9"/>
        </w:rPr>
        <w:t> </w:t>
      </w:r>
      <w:r>
        <w:rPr/>
        <w:t>rising</w:t>
      </w:r>
      <w:r>
        <w:rPr>
          <w:spacing w:val="-12"/>
        </w:rPr>
        <w:t> </w:t>
      </w:r>
      <w:r>
        <w:rPr/>
        <w:t>income</w:t>
      </w:r>
      <w:r>
        <w:rPr>
          <w:spacing w:val="-11"/>
        </w:rPr>
        <w:t> </w:t>
      </w:r>
      <w:r>
        <w:rPr/>
        <w:t>inequality</w:t>
      </w:r>
      <w:r>
        <w:rPr>
          <w:spacing w:val="-17"/>
        </w:rPr>
        <w:t> </w:t>
      </w:r>
      <w:r>
        <w:rPr/>
        <w:t>presents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threat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inclusive</w:t>
      </w:r>
      <w:r>
        <w:rPr>
          <w:spacing w:val="-57"/>
        </w:rPr>
        <w:t> </w:t>
      </w:r>
      <w:r>
        <w:rPr/>
        <w:t>political and economic systems in both developed and developing countries (Fuentes-Nieva and</w:t>
      </w:r>
      <w:r>
        <w:rPr>
          <w:spacing w:val="1"/>
        </w:rPr>
        <w:t> </w:t>
      </w:r>
      <w:r>
        <w:rPr>
          <w:spacing w:val="-1"/>
        </w:rPr>
        <w:t>Galasso,</w:t>
      </w:r>
      <w:r>
        <w:rPr>
          <w:spacing w:val="-15"/>
        </w:rPr>
        <w:t> </w:t>
      </w:r>
      <w:r>
        <w:rPr/>
        <w:t>2014:3).</w:t>
      </w:r>
      <w:r>
        <w:rPr>
          <w:spacing w:val="-15"/>
        </w:rPr>
        <w:t> </w:t>
      </w:r>
      <w:r>
        <w:rPr/>
        <w:t>This</w:t>
      </w:r>
      <w:r>
        <w:rPr>
          <w:spacing w:val="-13"/>
        </w:rPr>
        <w:t> </w:t>
      </w:r>
      <w:r>
        <w:rPr/>
        <w:t>often</w:t>
      </w:r>
      <w:r>
        <w:rPr>
          <w:spacing w:val="-15"/>
        </w:rPr>
        <w:t> </w:t>
      </w:r>
      <w:r>
        <w:rPr/>
        <w:t>limits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provision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public</w:t>
      </w:r>
      <w:r>
        <w:rPr>
          <w:spacing w:val="-16"/>
        </w:rPr>
        <w:t> </w:t>
      </w:r>
      <w:r>
        <w:rPr/>
        <w:t>health</w:t>
      </w:r>
      <w:r>
        <w:rPr>
          <w:spacing w:val="-14"/>
        </w:rPr>
        <w:t> </w:t>
      </w:r>
      <w:r>
        <w:rPr/>
        <w:t>facilities,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thereby</w:t>
      </w:r>
      <w:r>
        <w:rPr>
          <w:spacing w:val="-20"/>
        </w:rPr>
        <w:t> </w:t>
      </w:r>
      <w:r>
        <w:rPr/>
        <w:t>discourages</w:t>
      </w:r>
      <w:r>
        <w:rPr>
          <w:spacing w:val="-58"/>
        </w:rPr>
        <w:t> </w:t>
      </w:r>
      <w:r>
        <w:rPr/>
        <w:t>appropriate</w:t>
      </w:r>
      <w:r>
        <w:rPr>
          <w:spacing w:val="-5"/>
        </w:rPr>
        <w:t> </w:t>
      </w:r>
      <w:r>
        <w:rPr/>
        <w:t>HSB.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addition,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concentrate</w:t>
      </w:r>
      <w:r>
        <w:rPr>
          <w:spacing w:val="-5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hands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fewer</w:t>
      </w:r>
      <w:r>
        <w:rPr>
          <w:spacing w:val="-6"/>
        </w:rPr>
        <w:t> </w:t>
      </w:r>
      <w:r>
        <w:rPr/>
        <w:t>people.</w:t>
      </w:r>
      <w:r>
        <w:rPr>
          <w:spacing w:val="-58"/>
        </w:rPr>
        <w:t> </w:t>
      </w:r>
      <w:r>
        <w:rPr/>
        <w:t>This might lead to ‘opportunity capture’ (Fuentes-Nieva and Galasso, 2014:2), in which some</w:t>
      </w:r>
      <w:r>
        <w:rPr>
          <w:spacing w:val="1"/>
        </w:rPr>
        <w:t> </w:t>
      </w:r>
      <w:r>
        <w:rPr/>
        <w:t>fewer</w:t>
      </w:r>
      <w:r>
        <w:rPr>
          <w:spacing w:val="-1"/>
        </w:rPr>
        <w:t> </w:t>
      </w:r>
      <w:r>
        <w:rPr/>
        <w:t>individuals have</w:t>
      </w:r>
      <w:r>
        <w:rPr>
          <w:spacing w:val="-3"/>
        </w:rPr>
        <w:t> </w:t>
      </w:r>
      <w:r>
        <w:rPr/>
        <w:t>access to National</w:t>
      </w:r>
      <w:r>
        <w:rPr>
          <w:spacing w:val="-1"/>
        </w:rPr>
        <w:t> </w:t>
      </w:r>
      <w:r>
        <w:rPr/>
        <w:t>Health</w:t>
      </w:r>
      <w:r>
        <w:rPr>
          <w:spacing w:val="2"/>
        </w:rPr>
        <w:t> </w:t>
      </w:r>
      <w:r>
        <w:rPr/>
        <w:t>Insurance</w:t>
      </w:r>
      <w:r>
        <w:rPr>
          <w:spacing w:val="-2"/>
        </w:rPr>
        <w:t> </w:t>
      </w:r>
      <w:r>
        <w:rPr/>
        <w:t>Scheme</w:t>
      </w:r>
      <w:r>
        <w:rPr>
          <w:spacing w:val="6"/>
        </w:rPr>
        <w:t> </w:t>
      </w:r>
      <w:r>
        <w:rPr/>
        <w:t>(NHIS).</w:t>
      </w:r>
    </w:p>
    <w:p>
      <w:pPr>
        <w:pStyle w:val="BodyText"/>
        <w:spacing w:line="360" w:lineRule="auto" w:before="185"/>
        <w:ind w:left="160" w:right="155"/>
        <w:jc w:val="both"/>
      </w:pPr>
      <w:r>
        <w:rPr/>
        <w:t>In</w:t>
      </w:r>
      <w:r>
        <w:rPr>
          <w:spacing w:val="-2"/>
        </w:rPr>
        <w:t> </w:t>
      </w:r>
      <w:r>
        <w:rPr/>
        <w:t>contemporary</w:t>
      </w:r>
      <w:r>
        <w:rPr>
          <w:spacing w:val="-7"/>
        </w:rPr>
        <w:t> </w:t>
      </w:r>
      <w:r>
        <w:rPr/>
        <w:t>society,</w:t>
      </w:r>
      <w:r>
        <w:rPr>
          <w:spacing w:val="1"/>
        </w:rPr>
        <w:t> </w:t>
      </w:r>
      <w:r>
        <w:rPr/>
        <w:t>HSB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become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issue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concern.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another</w:t>
      </w:r>
      <w:r>
        <w:rPr>
          <w:spacing w:val="-1"/>
        </w:rPr>
        <w:t> </w:t>
      </w:r>
      <w:r>
        <w:rPr/>
        <w:t>aspect</w:t>
      </w:r>
      <w:r>
        <w:rPr>
          <w:spacing w:val="-58"/>
        </w:rPr>
        <w:t> </w:t>
      </w:r>
      <w:r>
        <w:rPr/>
        <w:t>of</w:t>
      </w:r>
      <w:r>
        <w:rPr>
          <w:spacing w:val="-9"/>
        </w:rPr>
        <w:t> </w:t>
      </w:r>
      <w:r>
        <w:rPr/>
        <w:t>health</w:t>
      </w:r>
      <w:r>
        <w:rPr>
          <w:spacing w:val="-9"/>
        </w:rPr>
        <w:t> </w:t>
      </w:r>
      <w:r>
        <w:rPr/>
        <w:t>issue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affect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low-income</w:t>
      </w:r>
      <w:r>
        <w:rPr>
          <w:spacing w:val="-10"/>
        </w:rPr>
        <w:t> </w:t>
      </w:r>
      <w:r>
        <w:rPr/>
        <w:t>households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most</w:t>
      </w:r>
      <w:r>
        <w:rPr>
          <w:spacing w:val="-8"/>
        </w:rPr>
        <w:t> </w:t>
      </w:r>
      <w:r>
        <w:rPr/>
        <w:t>(Novignon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8"/>
        </w:rPr>
        <w:t> </w:t>
      </w:r>
      <w:r>
        <w:rPr/>
        <w:t>2017).</w:t>
      </w:r>
      <w:r>
        <w:rPr>
          <w:spacing w:val="-8"/>
        </w:rPr>
        <w:t> </w:t>
      </w:r>
      <w:r>
        <w:rPr/>
        <w:t>Though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literature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income</w:t>
      </w:r>
      <w:r>
        <w:rPr>
          <w:spacing w:val="-11"/>
        </w:rPr>
        <w:t> </w:t>
      </w:r>
      <w:r>
        <w:rPr/>
        <w:t>inequality-HSB</w:t>
      </w:r>
      <w:r>
        <w:rPr>
          <w:spacing w:val="-13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robust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health;</w:t>
      </w:r>
      <w:r>
        <w:rPr>
          <w:spacing w:val="-10"/>
        </w:rPr>
        <w:t> </w:t>
      </w:r>
      <w:r>
        <w:rPr/>
        <w:t>however,</w:t>
      </w:r>
      <w:r>
        <w:rPr>
          <w:spacing w:val="-12"/>
        </w:rPr>
        <w:t> </w:t>
      </w:r>
      <w:r>
        <w:rPr/>
        <w:t>attempts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58"/>
        </w:rPr>
        <w:t> </w:t>
      </w:r>
      <w:r>
        <w:rPr/>
        <w:t>made</w:t>
      </w:r>
      <w:r>
        <w:rPr>
          <w:spacing w:val="-3"/>
        </w:rPr>
        <w:t> </w:t>
      </w:r>
      <w:r>
        <w:rPr/>
        <w:t>to analyze</w:t>
      </w:r>
      <w:r>
        <w:rPr>
          <w:spacing w:val="-1"/>
        </w:rPr>
        <w:t> </w:t>
      </w:r>
      <w:r>
        <w:rPr/>
        <w:t>the effect of income inequality</w:t>
      </w:r>
      <w:r>
        <w:rPr>
          <w:spacing w:val="-5"/>
        </w:rPr>
        <w:t> </w:t>
      </w:r>
      <w:r>
        <w:rPr/>
        <w:t>on</w:t>
      </w:r>
      <w:r>
        <w:rPr>
          <w:spacing w:val="3"/>
        </w:rPr>
        <w:t> </w:t>
      </w:r>
      <w:r>
        <w:rPr/>
        <w:t>health-seeking</w:t>
      </w:r>
      <w:r>
        <w:rPr>
          <w:spacing w:val="-3"/>
        </w:rPr>
        <w:t> </w:t>
      </w:r>
      <w:r>
        <w:rPr/>
        <w:t>behaviour.</w:t>
      </w:r>
    </w:p>
    <w:p>
      <w:pPr>
        <w:pStyle w:val="BodyText"/>
        <w:spacing w:line="360" w:lineRule="auto" w:before="116"/>
        <w:ind w:left="160" w:right="155"/>
        <w:jc w:val="both"/>
      </w:pPr>
      <w:r>
        <w:rPr/>
        <w:t>Musyoka,</w:t>
      </w:r>
      <w:r>
        <w:rPr>
          <w:spacing w:val="-8"/>
        </w:rPr>
        <w:t> </w:t>
      </w:r>
      <w:r>
        <w:rPr/>
        <w:t>Korir,</w:t>
      </w:r>
      <w:r>
        <w:rPr>
          <w:spacing w:val="-8"/>
        </w:rPr>
        <w:t> </w:t>
      </w:r>
      <w:r>
        <w:rPr/>
        <w:t>Omolo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Nzai</w:t>
      </w:r>
      <w:r>
        <w:rPr>
          <w:spacing w:val="-9"/>
        </w:rPr>
        <w:t> </w:t>
      </w:r>
      <w:r>
        <w:rPr/>
        <w:t>(2018)</w:t>
      </w:r>
      <w:r>
        <w:rPr>
          <w:spacing w:val="-9"/>
        </w:rPr>
        <w:t> </w:t>
      </w:r>
      <w:r>
        <w:rPr/>
        <w:t>investigated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impact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income</w:t>
      </w:r>
      <w:r>
        <w:rPr>
          <w:spacing w:val="-11"/>
        </w:rPr>
        <w:t> </w:t>
      </w:r>
      <w:r>
        <w:rPr/>
        <w:t>inequality</w:t>
      </w:r>
      <w:r>
        <w:rPr>
          <w:spacing w:val="-15"/>
        </w:rPr>
        <w:t> </w:t>
      </w:r>
      <w:r>
        <w:rPr/>
        <w:t>on</w:t>
      </w:r>
      <w:r>
        <w:rPr>
          <w:spacing w:val="-8"/>
        </w:rPr>
        <w:t> </w:t>
      </w:r>
      <w:r>
        <w:rPr/>
        <w:t>medical-</w:t>
      </w:r>
      <w:r>
        <w:rPr>
          <w:spacing w:val="-57"/>
        </w:rPr>
        <w:t> </w:t>
      </w:r>
      <w:r>
        <w:rPr/>
        <w:t>care</w:t>
      </w:r>
      <w:r>
        <w:rPr>
          <w:spacing w:val="-6"/>
        </w:rPr>
        <w:t> </w:t>
      </w:r>
      <w:r>
        <w:rPr/>
        <w:t>utilization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Kenya.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11"/>
        </w:rPr>
        <w:t> </w:t>
      </w:r>
      <w:r>
        <w:rPr/>
        <w:t>used</w:t>
      </w:r>
      <w:r>
        <w:rPr>
          <w:spacing w:val="-5"/>
        </w:rPr>
        <w:t> </w:t>
      </w:r>
      <w:r>
        <w:rPr/>
        <w:t>micro-data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2013</w:t>
      </w:r>
      <w:r>
        <w:rPr>
          <w:spacing w:val="-5"/>
        </w:rPr>
        <w:t> </w:t>
      </w:r>
      <w:r>
        <w:rPr/>
        <w:t>Kenya</w:t>
      </w:r>
      <w:r>
        <w:rPr>
          <w:spacing w:val="-7"/>
        </w:rPr>
        <w:t> </w:t>
      </w:r>
      <w:r>
        <w:rPr/>
        <w:t>Household</w:t>
      </w:r>
      <w:r>
        <w:rPr>
          <w:spacing w:val="-3"/>
        </w:rPr>
        <w:t> </w:t>
      </w:r>
      <w:r>
        <w:rPr/>
        <w:t>Survey</w:t>
      </w:r>
      <w:r>
        <w:rPr>
          <w:spacing w:val="-11"/>
        </w:rPr>
        <w:t> </w:t>
      </w:r>
      <w:r>
        <w:rPr/>
        <w:t>dataset.</w:t>
      </w:r>
      <w:r>
        <w:rPr>
          <w:spacing w:val="-57"/>
        </w:rPr>
        <w:t> </w:t>
      </w:r>
      <w:r>
        <w:rPr/>
        <w:t>The results from Binomial Regression approach on 33,675 Kenyans revealed that healthcare</w:t>
      </w:r>
      <w:r>
        <w:rPr>
          <w:spacing w:val="1"/>
        </w:rPr>
        <w:t> </w:t>
      </w:r>
      <w:r>
        <w:rPr/>
        <w:t>utilization is inversely</w:t>
      </w:r>
      <w:r>
        <w:rPr>
          <w:spacing w:val="-5"/>
        </w:rPr>
        <w:t> </w:t>
      </w:r>
      <w:r>
        <w:rPr/>
        <w:t>affected by</w:t>
      </w:r>
      <w:r>
        <w:rPr>
          <w:spacing w:val="-5"/>
        </w:rPr>
        <w:t> </w:t>
      </w:r>
      <w:r>
        <w:rPr/>
        <w:t>income</w:t>
      </w:r>
      <w:r>
        <w:rPr>
          <w:spacing w:val="1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at 1% level.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 is consistent with the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65"/>
        <w:jc w:val="both"/>
      </w:pPr>
      <w:r>
        <w:rPr/>
        <w:t>‘political</w:t>
      </w:r>
      <w:r>
        <w:rPr>
          <w:spacing w:val="1"/>
        </w:rPr>
        <w:t> </w:t>
      </w:r>
      <w:r>
        <w:rPr/>
        <w:t>capture’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by Wolf</w:t>
      </w:r>
      <w:r>
        <w:rPr>
          <w:spacing w:val="1"/>
        </w:rPr>
        <w:t> </w:t>
      </w:r>
      <w:r>
        <w:rPr/>
        <w:t>(2015:1)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Gilens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inequality is</w:t>
      </w:r>
      <w:r>
        <w:rPr>
          <w:spacing w:val="1"/>
        </w:rPr>
        <w:t> </w:t>
      </w:r>
      <w:r>
        <w:rPr/>
        <w:t>detrimental</w:t>
      </w:r>
      <w:r>
        <w:rPr>
          <w:spacing w:val="-1"/>
        </w:rPr>
        <w:t> </w:t>
      </w:r>
      <w:r>
        <w:rPr/>
        <w:t>to seeking</w:t>
      </w:r>
      <w:r>
        <w:rPr>
          <w:spacing w:val="-3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healthcare.</w:t>
      </w:r>
    </w:p>
    <w:p>
      <w:pPr>
        <w:pStyle w:val="BodyText"/>
        <w:spacing w:line="360" w:lineRule="auto" w:before="185"/>
        <w:ind w:left="160" w:right="155"/>
        <w:jc w:val="both"/>
      </w:pP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similar</w:t>
      </w:r>
      <w:r>
        <w:rPr>
          <w:spacing w:val="-15"/>
        </w:rPr>
        <w:t> </w:t>
      </w:r>
      <w:r>
        <w:rPr>
          <w:spacing w:val="-1"/>
        </w:rPr>
        <w:t>evidence,</w:t>
      </w:r>
      <w:r>
        <w:rPr>
          <w:spacing w:val="-15"/>
        </w:rPr>
        <w:t> </w:t>
      </w:r>
      <w:r>
        <w:rPr/>
        <w:t>JaiKishan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Kefale</w:t>
      </w:r>
      <w:r>
        <w:rPr>
          <w:spacing w:val="-14"/>
        </w:rPr>
        <w:t> </w:t>
      </w:r>
      <w:r>
        <w:rPr/>
        <w:t>(2016)</w:t>
      </w:r>
      <w:r>
        <w:rPr>
          <w:spacing w:val="-11"/>
        </w:rPr>
        <w:t> </w:t>
      </w:r>
      <w:r>
        <w:rPr/>
        <w:t>viewed</w:t>
      </w:r>
      <w:r>
        <w:rPr>
          <w:spacing w:val="-14"/>
        </w:rPr>
        <w:t> </w:t>
      </w:r>
      <w:r>
        <w:rPr/>
        <w:t>rising</w:t>
      </w:r>
      <w:r>
        <w:rPr>
          <w:spacing w:val="-17"/>
        </w:rPr>
        <w:t> </w:t>
      </w:r>
      <w:r>
        <w:rPr/>
        <w:t>income</w:t>
      </w:r>
      <w:r>
        <w:rPr>
          <w:spacing w:val="-14"/>
        </w:rPr>
        <w:t> </w:t>
      </w:r>
      <w:r>
        <w:rPr/>
        <w:t>inequality</w:t>
      </w:r>
      <w:r>
        <w:rPr>
          <w:spacing w:val="-20"/>
        </w:rPr>
        <w:t> </w:t>
      </w:r>
      <w:r>
        <w:rPr/>
        <w:t>as</w:t>
      </w:r>
      <w:r>
        <w:rPr>
          <w:spacing w:val="-14"/>
        </w:rPr>
        <w:t> </w:t>
      </w:r>
      <w:r>
        <w:rPr/>
        <w:t>an</w:t>
      </w:r>
      <w:r>
        <w:rPr>
          <w:spacing w:val="-15"/>
        </w:rPr>
        <w:t> </w:t>
      </w:r>
      <w:r>
        <w:rPr/>
        <w:t>important</w:t>
      </w:r>
      <w:r>
        <w:rPr>
          <w:spacing w:val="-58"/>
        </w:rPr>
        <w:t> </w:t>
      </w:r>
      <w:r>
        <w:rPr/>
        <w:t>factor in determining healthcare-seeking in Ethiopia. They utilized data from interview, case</w:t>
      </w:r>
      <w:r>
        <w:rPr>
          <w:spacing w:val="1"/>
        </w:rPr>
        <w:t> </w:t>
      </w:r>
      <w:r>
        <w:rPr/>
        <w:t>studies,</w:t>
      </w:r>
      <w:r>
        <w:rPr>
          <w:spacing w:val="-6"/>
        </w:rPr>
        <w:t> </w:t>
      </w:r>
      <w:r>
        <w:rPr/>
        <w:t>Focus</w:t>
      </w:r>
      <w:r>
        <w:rPr>
          <w:spacing w:val="-6"/>
        </w:rPr>
        <w:t> </w:t>
      </w:r>
      <w:r>
        <w:rPr/>
        <w:t>Group</w:t>
      </w:r>
      <w:r>
        <w:rPr>
          <w:spacing w:val="-6"/>
        </w:rPr>
        <w:t> </w:t>
      </w:r>
      <w:r>
        <w:rPr/>
        <w:t>Discussion</w:t>
      </w:r>
      <w:r>
        <w:rPr>
          <w:spacing w:val="-5"/>
        </w:rPr>
        <w:t> </w:t>
      </w:r>
      <w:r>
        <w:rPr/>
        <w:t>(FGD)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observation.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11"/>
        </w:rPr>
        <w:t> </w:t>
      </w:r>
      <w:r>
        <w:rPr/>
        <w:t>found</w:t>
      </w:r>
      <w:r>
        <w:rPr>
          <w:spacing w:val="-7"/>
        </w:rPr>
        <w:t> </w:t>
      </w:r>
      <w:r>
        <w:rPr/>
        <w:t>that,</w:t>
      </w:r>
      <w:r>
        <w:rPr>
          <w:spacing w:val="-5"/>
        </w:rPr>
        <w:t> </w:t>
      </w:r>
      <w:r>
        <w:rPr/>
        <w:t>although</w:t>
      </w:r>
      <w:r>
        <w:rPr>
          <w:spacing w:val="-6"/>
        </w:rPr>
        <w:t> </w:t>
      </w:r>
      <w:r>
        <w:rPr/>
        <w:t>access</w:t>
      </w:r>
      <w:r>
        <w:rPr>
          <w:spacing w:val="-6"/>
        </w:rPr>
        <w:t> </w:t>
      </w:r>
      <w:r>
        <w:rPr/>
        <w:t>to</w:t>
      </w:r>
      <w:r>
        <w:rPr>
          <w:spacing w:val="-57"/>
        </w:rPr>
        <w:t> </w:t>
      </w:r>
      <w:r>
        <w:rPr/>
        <w:t>health is relatively expanding in the nation, the poor households often resort to inappropriate</w:t>
      </w:r>
      <w:r>
        <w:rPr>
          <w:spacing w:val="1"/>
        </w:rPr>
        <w:t> </w:t>
      </w:r>
      <w:r>
        <w:rPr/>
        <w:t>health-care</w:t>
      </w:r>
      <w:r>
        <w:rPr>
          <w:spacing w:val="-13"/>
        </w:rPr>
        <w:t> </w:t>
      </w:r>
      <w:r>
        <w:rPr/>
        <w:t>seeking,</w:t>
      </w:r>
      <w:r>
        <w:rPr>
          <w:spacing w:val="-11"/>
        </w:rPr>
        <w:t> </w:t>
      </w:r>
      <w:r>
        <w:rPr/>
        <w:t>such</w:t>
      </w:r>
      <w:r>
        <w:rPr>
          <w:spacing w:val="-6"/>
        </w:rPr>
        <w:t> </w:t>
      </w:r>
      <w:r>
        <w:rPr/>
        <w:t>as,</w:t>
      </w:r>
      <w:r>
        <w:rPr>
          <w:spacing w:val="-9"/>
        </w:rPr>
        <w:t> </w:t>
      </w:r>
      <w:r>
        <w:rPr/>
        <w:t>spiritual,</w:t>
      </w:r>
      <w:r>
        <w:rPr>
          <w:spacing w:val="-11"/>
        </w:rPr>
        <w:t> </w:t>
      </w:r>
      <w:r>
        <w:rPr/>
        <w:t>traditional</w:t>
      </w:r>
      <w:r>
        <w:rPr>
          <w:spacing w:val="-10"/>
        </w:rPr>
        <w:t> </w:t>
      </w:r>
      <w:r>
        <w:rPr/>
        <w:t>healer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self-treatment</w:t>
      </w:r>
      <w:r>
        <w:rPr>
          <w:spacing w:val="-11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high</w:t>
      </w:r>
      <w:r>
        <w:rPr>
          <w:spacing w:val="-11"/>
        </w:rPr>
        <w:t> </w:t>
      </w:r>
      <w:r>
        <w:rPr/>
        <w:t>poverty</w:t>
      </w:r>
      <w:r>
        <w:rPr>
          <w:spacing w:val="-12"/>
        </w:rPr>
        <w:t> </w:t>
      </w:r>
      <w:r>
        <w:rPr/>
        <w:t>and</w:t>
      </w:r>
      <w:r>
        <w:rPr>
          <w:spacing w:val="-58"/>
        </w:rPr>
        <w:t> </w:t>
      </w:r>
      <w:r>
        <w:rPr/>
        <w:t>wide</w:t>
      </w:r>
      <w:r>
        <w:rPr>
          <w:spacing w:val="-2"/>
        </w:rPr>
        <w:t> </w:t>
      </w:r>
      <w:r>
        <w:rPr/>
        <w:t>gap between the poor and rich households.</w:t>
      </w:r>
    </w:p>
    <w:p>
      <w:pPr>
        <w:pStyle w:val="BodyText"/>
        <w:spacing w:line="360" w:lineRule="auto" w:before="184"/>
        <w:ind w:left="160" w:right="160"/>
        <w:jc w:val="both"/>
      </w:pPr>
      <w:r>
        <w:rPr/>
        <w:t>Furthermore, the study of Patil, Parbhabkar and Singh (2016) empirically investigated the major</w:t>
      </w:r>
      <w:r>
        <w:rPr>
          <w:spacing w:val="1"/>
        </w:rPr>
        <w:t> </w:t>
      </w:r>
      <w:r>
        <w:rPr>
          <w:spacing w:val="-1"/>
        </w:rPr>
        <w:t>determinants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HSB</w:t>
      </w:r>
      <w:r>
        <w:rPr>
          <w:spacing w:val="-17"/>
        </w:rPr>
        <w:t> </w:t>
      </w:r>
      <w:r>
        <w:rPr/>
        <w:t>among</w:t>
      </w:r>
      <w:r>
        <w:rPr>
          <w:spacing w:val="-15"/>
        </w:rPr>
        <w:t> </w:t>
      </w:r>
      <w:r>
        <w:rPr/>
        <w:t>attendees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urban</w:t>
      </w:r>
      <w:r>
        <w:rPr>
          <w:spacing w:val="-15"/>
        </w:rPr>
        <w:t> </w:t>
      </w:r>
      <w:r>
        <w:rPr/>
        <w:t>health</w:t>
      </w:r>
      <w:r>
        <w:rPr>
          <w:spacing w:val="-15"/>
        </w:rPr>
        <w:t> </w:t>
      </w:r>
      <w:r>
        <w:rPr/>
        <w:t>center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India.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finding</w:t>
      </w:r>
      <w:r>
        <w:rPr>
          <w:spacing w:val="-17"/>
        </w:rPr>
        <w:t> </w:t>
      </w:r>
      <w:r>
        <w:rPr/>
        <w:t>on</w:t>
      </w:r>
      <w:r>
        <w:rPr>
          <w:spacing w:val="-15"/>
        </w:rPr>
        <w:t> </w:t>
      </w:r>
      <w:r>
        <w:rPr/>
        <w:t>400</w:t>
      </w:r>
      <w:r>
        <w:rPr>
          <w:spacing w:val="-12"/>
        </w:rPr>
        <w:t> </w:t>
      </w:r>
      <w:r>
        <w:rPr/>
        <w:t>attendees</w:t>
      </w:r>
      <w:r>
        <w:rPr>
          <w:spacing w:val="-57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that only</w:t>
      </w:r>
      <w:r>
        <w:rPr>
          <w:spacing w:val="-5"/>
        </w:rPr>
        <w:t> </w:t>
      </w:r>
      <w:r>
        <w:rPr/>
        <w:t>34%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attendees thought of</w:t>
      </w:r>
      <w:r>
        <w:rPr>
          <w:spacing w:val="1"/>
        </w:rPr>
        <w:t> </w:t>
      </w:r>
      <w:r>
        <w:rPr/>
        <w:t>appropriate HSB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minor illnesses.</w:t>
      </w:r>
    </w:p>
    <w:p>
      <w:pPr>
        <w:pStyle w:val="BodyText"/>
        <w:spacing w:line="360" w:lineRule="auto" w:before="138"/>
        <w:ind w:left="160" w:right="154"/>
        <w:jc w:val="both"/>
      </w:pPr>
      <w:r>
        <w:rPr/>
        <w:t>Kuuire,</w:t>
      </w:r>
      <w:r>
        <w:rPr>
          <w:spacing w:val="-5"/>
        </w:rPr>
        <w:t> </w:t>
      </w:r>
      <w:r>
        <w:rPr/>
        <w:t>Bisung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Dixon</w:t>
      </w:r>
      <w:r>
        <w:rPr>
          <w:spacing w:val="-5"/>
        </w:rPr>
        <w:t> </w:t>
      </w:r>
      <w:r>
        <w:rPr/>
        <w:t>(2015)</w:t>
      </w:r>
      <w:r>
        <w:rPr>
          <w:spacing w:val="-6"/>
        </w:rPr>
        <w:t> </w:t>
      </w:r>
      <w:r>
        <w:rPr/>
        <w:t>analyzed</w:t>
      </w:r>
      <w:r>
        <w:rPr>
          <w:spacing w:val="-5"/>
        </w:rPr>
        <w:t> </w:t>
      </w:r>
      <w:r>
        <w:rPr/>
        <w:t>health-seeking</w:t>
      </w:r>
      <w:r>
        <w:rPr>
          <w:spacing w:val="-7"/>
        </w:rPr>
        <w:t> </w:t>
      </w:r>
      <w:r>
        <w:rPr/>
        <w:t>behavior</w:t>
      </w:r>
      <w:r>
        <w:rPr>
          <w:spacing w:val="-6"/>
        </w:rPr>
        <w:t> </w:t>
      </w:r>
      <w:r>
        <w:rPr/>
        <w:t>during</w:t>
      </w:r>
      <w:r>
        <w:rPr>
          <w:spacing w:val="-8"/>
        </w:rPr>
        <w:t> </w:t>
      </w:r>
      <w:r>
        <w:rPr/>
        <w:t>times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illness</w:t>
      </w:r>
      <w:r>
        <w:rPr>
          <w:spacing w:val="-5"/>
        </w:rPr>
        <w:t> </w:t>
      </w:r>
      <w:r>
        <w:rPr/>
        <w:t>among</w:t>
      </w:r>
      <w:r>
        <w:rPr>
          <w:spacing w:val="-58"/>
        </w:rPr>
        <w:t> </w:t>
      </w:r>
      <w:r>
        <w:rPr/>
        <w:t>adults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poor</w:t>
      </w:r>
      <w:r>
        <w:rPr>
          <w:spacing w:val="-1"/>
        </w:rPr>
        <w:t> </w:t>
      </w:r>
      <w:r>
        <w:rPr/>
        <w:t>setting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Ghana.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8"/>
        </w:rPr>
        <w:t> </w:t>
      </w:r>
      <w:r>
        <w:rPr/>
        <w:t>used</w:t>
      </w:r>
      <w:r>
        <w:rPr>
          <w:spacing w:val="-3"/>
        </w:rPr>
        <w:t> </w:t>
      </w:r>
      <w:r>
        <w:rPr/>
        <w:t>data from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cross-sectional</w:t>
      </w:r>
      <w:r>
        <w:rPr>
          <w:spacing w:val="-2"/>
        </w:rPr>
        <w:t> </w:t>
      </w:r>
      <w:r>
        <w:rPr/>
        <w:t>survey</w:t>
      </w:r>
      <w:r>
        <w:rPr>
          <w:spacing w:val="-8"/>
        </w:rPr>
        <w:t> </w:t>
      </w:r>
      <w:r>
        <w:rPr/>
        <w:t>with</w:t>
      </w:r>
      <w:r>
        <w:rPr>
          <w:spacing w:val="-57"/>
        </w:rPr>
        <w:t> </w:t>
      </w:r>
      <w:r>
        <w:rPr/>
        <w:t>2,119 respondents. Their logistic regression results show that low-income individuals with NHIS</w:t>
      </w:r>
      <w:r>
        <w:rPr>
          <w:spacing w:val="-57"/>
        </w:rPr>
        <w:t> </w:t>
      </w:r>
      <w:r>
        <w:rPr/>
        <w:t>were less likely to seek treatment in a health facility, compared with citizens from wealth quintile</w:t>
      </w:r>
      <w:r>
        <w:rPr>
          <w:spacing w:val="-57"/>
        </w:rPr>
        <w:t> </w:t>
      </w:r>
      <w:r>
        <w:rPr/>
        <w:t>at</w:t>
      </w:r>
      <w:r>
        <w:rPr>
          <w:spacing w:val="-8"/>
        </w:rPr>
        <w:t> </w:t>
      </w:r>
      <w:r>
        <w:rPr/>
        <w:t>5%</w:t>
      </w:r>
      <w:r>
        <w:rPr>
          <w:spacing w:val="-9"/>
        </w:rPr>
        <w:t> </w:t>
      </w:r>
      <w:r>
        <w:rPr/>
        <w:t>level.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study</w:t>
      </w:r>
      <w:r>
        <w:rPr>
          <w:spacing w:val="-10"/>
        </w:rPr>
        <w:t> </w:t>
      </w:r>
      <w:r>
        <w:rPr/>
        <w:t>also</w:t>
      </w:r>
      <w:r>
        <w:rPr>
          <w:spacing w:val="-8"/>
        </w:rPr>
        <w:t> </w:t>
      </w:r>
      <w:r>
        <w:rPr/>
        <w:t>found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spite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rise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NHIS</w:t>
      </w:r>
      <w:r>
        <w:rPr>
          <w:spacing w:val="-7"/>
        </w:rPr>
        <w:t> </w:t>
      </w:r>
      <w:r>
        <w:rPr/>
        <w:t>enrolment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bridge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gap</w:t>
      </w:r>
      <w:r>
        <w:rPr>
          <w:spacing w:val="-8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the poor and rich in healthcare services utilization in Ghana, income inequality is still detrimental</w:t>
      </w:r>
      <w:r>
        <w:rPr>
          <w:spacing w:val="-58"/>
        </w:rPr>
        <w:t> </w:t>
      </w:r>
      <w:r>
        <w:rPr/>
        <w:t>to health-seeking</w:t>
      </w:r>
      <w:r>
        <w:rPr>
          <w:spacing w:val="-4"/>
        </w:rPr>
        <w:t> </w:t>
      </w:r>
      <w:r>
        <w:rPr/>
        <w:t>behavior.</w:t>
      </w:r>
    </w:p>
    <w:p>
      <w:pPr>
        <w:pStyle w:val="BodyText"/>
        <w:spacing w:line="360" w:lineRule="auto" w:before="184"/>
        <w:ind w:left="160" w:right="157"/>
        <w:jc w:val="both"/>
      </w:pPr>
      <w:r>
        <w:rPr/>
        <w:t>Lawanson and Opeloyeru (2016) empirically examined inequality in healthcare utilization 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inequality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employing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dataset.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inequality in utilization of healthcare across the nation is generally skewed against the poor</w:t>
      </w:r>
      <w:r>
        <w:rPr>
          <w:spacing w:val="1"/>
        </w:rPr>
        <w:t> </w:t>
      </w:r>
      <w:r>
        <w:rPr/>
        <w:t>citizens/households</w:t>
      </w:r>
      <w:r>
        <w:rPr>
          <w:spacing w:val="-1"/>
        </w:rPr>
        <w:t> </w:t>
      </w:r>
      <w:r>
        <w:rPr/>
        <w:t>comparatively.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60" w:right="154"/>
        <w:jc w:val="both"/>
      </w:pPr>
      <w:r>
        <w:rPr/>
        <w:t>Fagbemigbe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</w:r>
      <w:r>
        <w:rPr>
          <w:i/>
          <w:spacing w:val="-1"/>
        </w:rPr>
        <w:t> </w:t>
      </w:r>
      <w:r>
        <w:rPr/>
        <w:t>(2015)</w:t>
      </w:r>
      <w:r>
        <w:rPr>
          <w:spacing w:val="-2"/>
        </w:rPr>
        <w:t> </w:t>
      </w:r>
      <w:r>
        <w:rPr/>
        <w:t>investigated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Nigeria</w:t>
      </w:r>
      <w:r>
        <w:rPr>
          <w:spacing w:val="-4"/>
        </w:rPr>
        <w:t> </w:t>
      </w:r>
      <w:r>
        <w:rPr/>
        <w:t>wealth</w:t>
      </w:r>
      <w:r>
        <w:rPr>
          <w:spacing w:val="-4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health-seeking</w:t>
      </w:r>
      <w:r>
        <w:rPr>
          <w:spacing w:val="-58"/>
        </w:rPr>
        <w:t> </w:t>
      </w:r>
      <w:r>
        <w:rPr/>
        <w:t>behavior. The authors used the 2012 National HIV/AIDS and Reproduction Health Survey on</w:t>
      </w:r>
      <w:r>
        <w:rPr>
          <w:spacing w:val="1"/>
        </w:rPr>
        <w:t> </w:t>
      </w:r>
      <w:r>
        <w:rPr/>
        <w:t>30,855 households. The results of the chi-square and ANOVA test revealed that members of</w:t>
      </w:r>
      <w:r>
        <w:rPr>
          <w:spacing w:val="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lower</w:t>
      </w:r>
      <w:r>
        <w:rPr>
          <w:spacing w:val="-5"/>
        </w:rPr>
        <w:t> </w:t>
      </w:r>
      <w:r>
        <w:rPr/>
        <w:t>quintiles</w:t>
      </w:r>
      <w:r>
        <w:rPr>
          <w:spacing w:val="-4"/>
        </w:rPr>
        <w:t> </w:t>
      </w:r>
      <w:r>
        <w:rPr/>
        <w:t>having</w:t>
      </w:r>
      <w:r>
        <w:rPr>
          <w:spacing w:val="-6"/>
        </w:rPr>
        <w:t> </w:t>
      </w:r>
      <w:r>
        <w:rPr/>
        <w:t>lesser</w:t>
      </w:r>
      <w:r>
        <w:rPr>
          <w:spacing w:val="-5"/>
        </w:rPr>
        <w:t> </w:t>
      </w:r>
      <w:r>
        <w:rPr/>
        <w:t>likelihood</w:t>
      </w:r>
      <w:r>
        <w:rPr>
          <w:spacing w:val="-4"/>
        </w:rPr>
        <w:t> </w:t>
      </w:r>
      <w:r>
        <w:rPr/>
        <w:t>(33%)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receive</w:t>
      </w:r>
      <w:r>
        <w:rPr>
          <w:spacing w:val="-4"/>
        </w:rPr>
        <w:t> </w:t>
      </w:r>
      <w:r>
        <w:rPr/>
        <w:t>antenatal</w:t>
      </w:r>
      <w:r>
        <w:rPr>
          <w:spacing w:val="-4"/>
        </w:rPr>
        <w:t> </w:t>
      </w:r>
      <w:r>
        <w:rPr/>
        <w:t>care</w:t>
      </w:r>
      <w:r>
        <w:rPr>
          <w:spacing w:val="-5"/>
        </w:rPr>
        <w:t> </w:t>
      </w:r>
      <w:r>
        <w:rPr/>
        <w:t>than</w:t>
      </w:r>
      <w:r>
        <w:rPr>
          <w:spacing w:val="-4"/>
        </w:rPr>
        <w:t> </w:t>
      </w:r>
      <w:r>
        <w:rPr/>
        <w:t>among</w:t>
      </w:r>
      <w:r>
        <w:rPr>
          <w:spacing w:val="-58"/>
        </w:rPr>
        <w:t> </w:t>
      </w:r>
      <w:r>
        <w:rPr/>
        <w:t>those in the highest quintiles (92%) at 5%. The study has also indicated that income inequality is</w:t>
      </w:r>
      <w:r>
        <w:rPr>
          <w:spacing w:val="1"/>
        </w:rPr>
        <w:t> </w:t>
      </w:r>
      <w:r>
        <w:rPr/>
        <w:t>detrimental</w:t>
      </w:r>
      <w:r>
        <w:rPr>
          <w:spacing w:val="-1"/>
        </w:rPr>
        <w:t> </w:t>
      </w:r>
      <w:r>
        <w:rPr/>
        <w:t>to appropriate</w:t>
      </w:r>
      <w:r>
        <w:rPr>
          <w:spacing w:val="-1"/>
        </w:rPr>
        <w:t> </w:t>
      </w:r>
      <w:r>
        <w:rPr/>
        <w:t>HSB.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6"/>
        <w:jc w:val="both"/>
      </w:pPr>
      <w:r>
        <w:rPr/>
        <w:t>Lawson (2004) investigated the determinants of health-seeking behavior in Uganda. The study</w:t>
      </w:r>
      <w:r>
        <w:rPr>
          <w:spacing w:val="1"/>
        </w:rPr>
        <w:t> </w:t>
      </w:r>
      <w:r>
        <w:rPr/>
        <w:t>employed multinomial logistic regression on 10,696 households obtained from Uganda National</w:t>
      </w:r>
      <w:r>
        <w:rPr>
          <w:spacing w:val="1"/>
        </w:rPr>
        <w:t> </w:t>
      </w:r>
      <w:r>
        <w:rPr/>
        <w:t>Household Survey (UNHS). The author’s result show that income inequality significantly related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poor health-seeking</w:t>
      </w:r>
      <w:r>
        <w:rPr>
          <w:spacing w:val="-1"/>
        </w:rPr>
        <w:t> </w:t>
      </w:r>
      <w:r>
        <w:rPr/>
        <w:t>behavior of</w:t>
      </w:r>
      <w:r>
        <w:rPr>
          <w:spacing w:val="-1"/>
        </w:rPr>
        <w:t> </w:t>
      </w:r>
      <w:r>
        <w:rPr/>
        <w:t>Ugandan</w:t>
      </w:r>
      <w:r>
        <w:rPr>
          <w:spacing w:val="2"/>
        </w:rPr>
        <w:t> </w:t>
      </w:r>
      <w:r>
        <w:rPr/>
        <w:t>citizens.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160" w:right="157"/>
        <w:jc w:val="both"/>
      </w:pPr>
      <w:r>
        <w:rPr/>
        <w:t>Uzochukwu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Onwujekwe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socio-economic</w:t>
      </w:r>
      <w:r>
        <w:rPr>
          <w:spacing w:val="-57"/>
        </w:rPr>
        <w:t> </w:t>
      </w:r>
      <w:r>
        <w:rPr/>
        <w:t>differences and HSB in South-East Nigeria. Their study focuses on 1,594 female household</w:t>
      </w:r>
      <w:r>
        <w:rPr>
          <w:spacing w:val="1"/>
        </w:rPr>
        <w:t> </w:t>
      </w:r>
      <w:r>
        <w:rPr/>
        <w:t>primary</w:t>
      </w:r>
      <w:r>
        <w:rPr>
          <w:spacing w:val="-11"/>
        </w:rPr>
        <w:t> </w:t>
      </w:r>
      <w:r>
        <w:rPr/>
        <w:t>care</w:t>
      </w:r>
      <w:r>
        <w:rPr>
          <w:spacing w:val="-2"/>
        </w:rPr>
        <w:t> </w:t>
      </w:r>
      <w:r>
        <w:rPr/>
        <w:t>givers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household</w:t>
      </w:r>
      <w:r>
        <w:rPr>
          <w:spacing w:val="-5"/>
        </w:rPr>
        <w:t> </w:t>
      </w:r>
      <w:r>
        <w:rPr/>
        <w:t>head.</w:t>
      </w:r>
      <w:r>
        <w:rPr>
          <w:spacing w:val="-2"/>
        </w:rPr>
        <w:t> </w:t>
      </w:r>
      <w:r>
        <w:rPr/>
        <w:t>It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found</w:t>
      </w:r>
      <w:r>
        <w:rPr>
          <w:spacing w:val="-5"/>
        </w:rPr>
        <w:t> </w:t>
      </w:r>
      <w:r>
        <w:rPr/>
        <w:t>that,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least</w:t>
      </w:r>
      <w:r>
        <w:rPr>
          <w:spacing w:val="-5"/>
        </w:rPr>
        <w:t> </w:t>
      </w:r>
      <w:r>
        <w:rPr/>
        <w:t>poor</w:t>
      </w:r>
      <w:r>
        <w:rPr>
          <w:spacing w:val="-4"/>
        </w:rPr>
        <w:t> </w:t>
      </w:r>
      <w:r>
        <w:rPr/>
        <w:t>groups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respondents</w:t>
      </w:r>
      <w:r>
        <w:rPr>
          <w:spacing w:val="-6"/>
        </w:rPr>
        <w:t> </w:t>
      </w:r>
      <w:r>
        <w:rPr/>
        <w:t>had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HSB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low-level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significantly. The richer households complained more about poor staff attitude and lack of drugs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their reasons for</w:t>
      </w:r>
      <w:r>
        <w:rPr>
          <w:spacing w:val="-1"/>
        </w:rPr>
        <w:t> </w:t>
      </w:r>
      <w:r>
        <w:rPr/>
        <w:t>not attending</w:t>
      </w:r>
      <w:r>
        <w:rPr>
          <w:spacing w:val="-3"/>
        </w:rPr>
        <w:t> </w:t>
      </w:r>
      <w:r>
        <w:rPr/>
        <w:t>health centres.</w:t>
      </w:r>
    </w:p>
    <w:p>
      <w:pPr>
        <w:pStyle w:val="BodyText"/>
        <w:spacing w:before="6"/>
      </w:pPr>
    </w:p>
    <w:p>
      <w:pPr>
        <w:pStyle w:val="Heading4"/>
        <w:numPr>
          <w:ilvl w:val="1"/>
          <w:numId w:val="11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bookmarkStart w:name="_TOC_250045" w:id="32"/>
      <w:r>
        <w:rPr/>
        <w:t>Observed</w:t>
      </w:r>
      <w:r>
        <w:rPr>
          <w:spacing w:val="-1"/>
        </w:rPr>
        <w:t> </w:t>
      </w:r>
      <w:r>
        <w:rPr/>
        <w:t>Gaps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bookmarkEnd w:id="32"/>
      <w:r>
        <w:rPr/>
        <w:t>Literature</w:t>
      </w:r>
    </w:p>
    <w:p>
      <w:pPr>
        <w:pStyle w:val="BodyText"/>
        <w:spacing w:before="134"/>
        <w:ind w:left="160"/>
        <w:jc w:val="both"/>
      </w:pPr>
      <w:r>
        <w:rPr/>
        <w:t>Previous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income inequality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health had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limitations:</w:t>
      </w:r>
    </w:p>
    <w:p>
      <w:pPr>
        <w:pStyle w:val="BodyText"/>
        <w:spacing w:line="360" w:lineRule="auto" w:before="231"/>
        <w:ind w:left="160" w:right="153"/>
        <w:jc w:val="both"/>
      </w:pPr>
      <w:r>
        <w:rPr/>
        <w:t>First,</w:t>
      </w:r>
      <w:r>
        <w:rPr>
          <w:spacing w:val="-12"/>
        </w:rPr>
        <w:t> </w:t>
      </w:r>
      <w:r>
        <w:rPr/>
        <w:t>much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studies</w:t>
      </w:r>
      <w:r>
        <w:rPr>
          <w:spacing w:val="-13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effect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direct</w:t>
      </w:r>
      <w:r>
        <w:rPr>
          <w:spacing w:val="-11"/>
        </w:rPr>
        <w:t> </w:t>
      </w:r>
      <w:r>
        <w:rPr/>
        <w:t>link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Wilkinson</w:t>
      </w:r>
      <w:r>
        <w:rPr>
          <w:spacing w:val="-13"/>
        </w:rPr>
        <w:t> </w:t>
      </w:r>
      <w:r>
        <w:rPr/>
        <w:t>hypothesis</w:t>
      </w:r>
      <w:r>
        <w:rPr>
          <w:vertAlign w:val="superscript"/>
        </w:rPr>
        <w:t>10</w:t>
      </w:r>
      <w:r>
        <w:rPr>
          <w:spacing w:val="-10"/>
          <w:vertAlign w:val="baseline"/>
        </w:rPr>
        <w:t> </w:t>
      </w:r>
      <w:r>
        <w:rPr>
          <w:vertAlign w:val="baseline"/>
        </w:rPr>
        <w:t>presented.</w:t>
      </w:r>
      <w:r>
        <w:rPr>
          <w:spacing w:val="-57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-7"/>
          <w:vertAlign w:val="baseline"/>
        </w:rPr>
        <w:t> </w:t>
      </w:r>
      <w:r>
        <w:rPr>
          <w:vertAlign w:val="baseline"/>
        </w:rPr>
        <w:t>this</w:t>
      </w:r>
      <w:r>
        <w:rPr>
          <w:spacing w:val="-5"/>
          <w:vertAlign w:val="baseline"/>
        </w:rPr>
        <w:t> </w:t>
      </w:r>
      <w:r>
        <w:rPr>
          <w:vertAlign w:val="baseline"/>
        </w:rPr>
        <w:t>explanation</w:t>
      </w:r>
      <w:r>
        <w:rPr>
          <w:spacing w:val="-5"/>
          <w:vertAlign w:val="baseline"/>
        </w:rPr>
        <w:t> </w:t>
      </w:r>
      <w:r>
        <w:rPr>
          <w:vertAlign w:val="baseline"/>
        </w:rPr>
        <w:t>ignored</w:t>
      </w:r>
      <w:r>
        <w:rPr>
          <w:spacing w:val="-6"/>
          <w:vertAlign w:val="baseline"/>
        </w:rPr>
        <w:t> </w:t>
      </w:r>
      <w:r>
        <w:rPr>
          <w:vertAlign w:val="baseline"/>
        </w:rPr>
        <w:t>indirect-channels</w:t>
      </w:r>
      <w:r>
        <w:rPr>
          <w:vertAlign w:val="superscript"/>
        </w:rPr>
        <w:t>11</w:t>
      </w:r>
      <w:r>
        <w:rPr>
          <w:spacing w:val="-4"/>
          <w:vertAlign w:val="baseline"/>
        </w:rPr>
        <w:t> </w:t>
      </w:r>
      <w:r>
        <w:rPr>
          <w:vertAlign w:val="baseline"/>
        </w:rPr>
        <w:t>from</w:t>
      </w:r>
      <w:r>
        <w:rPr>
          <w:spacing w:val="-5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7"/>
          <w:vertAlign w:val="baseline"/>
        </w:rPr>
        <w:t> </w:t>
      </w:r>
      <w:r>
        <w:rPr>
          <w:vertAlign w:val="baseline"/>
        </w:rPr>
        <w:t>disparity</w:t>
      </w:r>
      <w:r>
        <w:rPr>
          <w:spacing w:val="-8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6"/>
          <w:vertAlign w:val="baseline"/>
        </w:rPr>
        <w:t> </w:t>
      </w:r>
      <w:r>
        <w:rPr>
          <w:vertAlign w:val="baseline"/>
        </w:rPr>
        <w:t>that</w:t>
      </w:r>
      <w:r>
        <w:rPr>
          <w:spacing w:val="-5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-58"/>
          <w:vertAlign w:val="baseline"/>
        </w:rPr>
        <w:t> </w:t>
      </w:r>
      <w:r>
        <w:rPr>
          <w:vertAlign w:val="baseline"/>
        </w:rPr>
        <w:t>with household’s </w:t>
      </w:r>
      <w:r>
        <w:rPr>
          <w:sz w:val="22"/>
          <w:vertAlign w:val="baseline"/>
        </w:rPr>
        <w:t>characteristics. </w:t>
      </w:r>
      <w:r>
        <w:rPr>
          <w:vertAlign w:val="baseline"/>
        </w:rPr>
        <w:t>Again, for such </w:t>
      </w:r>
      <w:r>
        <w:rPr>
          <w:sz w:val="22"/>
          <w:vertAlign w:val="baseline"/>
        </w:rPr>
        <w:t>postulation </w:t>
      </w:r>
      <w:r>
        <w:rPr>
          <w:vertAlign w:val="baseline"/>
        </w:rPr>
        <w:t>to be tractable to achieve meaning</w:t>
      </w:r>
      <w:r>
        <w:rPr>
          <w:spacing w:val="1"/>
          <w:vertAlign w:val="baseline"/>
        </w:rPr>
        <w:t> </w:t>
      </w:r>
      <w:r>
        <w:rPr>
          <w:spacing w:val="-1"/>
          <w:sz w:val="22"/>
          <w:vertAlign w:val="baseline"/>
        </w:rPr>
        <w:t>progress</w:t>
      </w:r>
      <w:r>
        <w:rPr>
          <w:spacing w:val="-11"/>
          <w:sz w:val="22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health</w:t>
      </w:r>
      <w:r>
        <w:rPr>
          <w:spacing w:val="-15"/>
          <w:vertAlign w:val="baseline"/>
        </w:rPr>
        <w:t> </w:t>
      </w:r>
      <w:r>
        <w:rPr>
          <w:vertAlign w:val="baseline"/>
        </w:rPr>
        <w:t>and</w:t>
      </w:r>
      <w:r>
        <w:rPr>
          <w:spacing w:val="-15"/>
          <w:vertAlign w:val="baseline"/>
        </w:rPr>
        <w:t> </w:t>
      </w:r>
      <w:r>
        <w:rPr>
          <w:vertAlign w:val="baseline"/>
        </w:rPr>
        <w:t>welfare</w:t>
      </w:r>
      <w:r>
        <w:rPr>
          <w:spacing w:val="-17"/>
          <w:vertAlign w:val="baseline"/>
        </w:rPr>
        <w:t> </w:t>
      </w:r>
      <w:r>
        <w:rPr>
          <w:vertAlign w:val="baseline"/>
        </w:rPr>
        <w:t>policies,</w:t>
      </w:r>
      <w:r>
        <w:rPr>
          <w:spacing w:val="-15"/>
          <w:vertAlign w:val="baseline"/>
        </w:rPr>
        <w:t> </w:t>
      </w:r>
      <w:r>
        <w:rPr>
          <w:vertAlign w:val="baseline"/>
        </w:rPr>
        <w:t>it</w:t>
      </w:r>
      <w:r>
        <w:rPr>
          <w:spacing w:val="-14"/>
          <w:vertAlign w:val="baseline"/>
        </w:rPr>
        <w:t> </w:t>
      </w:r>
      <w:r>
        <w:rPr>
          <w:vertAlign w:val="baseline"/>
        </w:rPr>
        <w:t>requires</w:t>
      </w:r>
      <w:r>
        <w:rPr>
          <w:spacing w:val="-15"/>
          <w:vertAlign w:val="baseline"/>
        </w:rPr>
        <w:t> </w:t>
      </w:r>
      <w:r>
        <w:rPr>
          <w:vertAlign w:val="baseline"/>
        </w:rPr>
        <w:t>some</w:t>
      </w:r>
      <w:r>
        <w:rPr>
          <w:spacing w:val="-15"/>
          <w:vertAlign w:val="baseline"/>
        </w:rPr>
        <w:t> </w:t>
      </w:r>
      <w:r>
        <w:rPr>
          <w:vertAlign w:val="baseline"/>
        </w:rPr>
        <w:t>simplifying</w:t>
      </w:r>
      <w:r>
        <w:rPr>
          <w:spacing w:val="-15"/>
          <w:vertAlign w:val="baseline"/>
        </w:rPr>
        <w:t> </w:t>
      </w:r>
      <w:r>
        <w:rPr>
          <w:vertAlign w:val="baseline"/>
        </w:rPr>
        <w:t>assumptions,</w:t>
      </w:r>
      <w:r>
        <w:rPr>
          <w:spacing w:val="-15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5"/>
          <w:vertAlign w:val="baseline"/>
        </w:rPr>
        <w:t> </w:t>
      </w:r>
      <w:r>
        <w:rPr>
          <w:vertAlign w:val="baseline"/>
        </w:rPr>
        <w:t>themselves</w:t>
      </w:r>
      <w:r>
        <w:rPr>
          <w:spacing w:val="-58"/>
          <w:vertAlign w:val="baseline"/>
        </w:rPr>
        <w:t> </w:t>
      </w:r>
      <w:r>
        <w:rPr>
          <w:vertAlign w:val="baseline"/>
        </w:rPr>
        <w:t>drive</w:t>
      </w:r>
      <w:r>
        <w:rPr>
          <w:spacing w:val="-3"/>
          <w:vertAlign w:val="baseline"/>
        </w:rPr>
        <w:t> </w:t>
      </w:r>
      <w:r>
        <w:rPr>
          <w:vertAlign w:val="baseline"/>
        </w:rPr>
        <w:t>the particular results regarding</w:t>
      </w:r>
      <w:r>
        <w:rPr>
          <w:spacing w:val="-3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1"/>
          <w:vertAlign w:val="baseline"/>
        </w:rPr>
        <w:t> </w:t>
      </w:r>
      <w:r>
        <w:rPr>
          <w:vertAlign w:val="baseline"/>
        </w:rPr>
        <w:t>inequality</w:t>
      </w:r>
      <w:r>
        <w:rPr>
          <w:spacing w:val="-5"/>
          <w:vertAlign w:val="baseline"/>
        </w:rPr>
        <w:t> </w:t>
      </w:r>
      <w:r>
        <w:rPr>
          <w:vertAlign w:val="baseline"/>
        </w:rPr>
        <w:t>and health.</w:t>
      </w:r>
    </w:p>
    <w:p>
      <w:pPr>
        <w:pStyle w:val="BodyText"/>
        <w:spacing w:line="360" w:lineRule="auto" w:before="205"/>
        <w:ind w:left="160" w:right="154"/>
        <w:jc w:val="both"/>
      </w:pPr>
      <w:r>
        <w:rPr/>
        <w:t>Second, literature on the effect of income inequality and healthcare-seeking are very scanty. The</w:t>
      </w:r>
      <w:r>
        <w:rPr>
          <w:spacing w:val="1"/>
        </w:rPr>
        <w:t> </w:t>
      </w:r>
      <w:r>
        <w:rPr/>
        <w:t>available studies focused on socio-economic factors that might not properly depict an emerging</w:t>
      </w:r>
      <w:r>
        <w:rPr>
          <w:spacing w:val="1"/>
        </w:rPr>
        <w:t> </w:t>
      </w:r>
      <w:r>
        <w:rPr/>
        <w:t>economy</w:t>
      </w:r>
      <w:r>
        <w:rPr>
          <w:spacing w:val="-17"/>
        </w:rPr>
        <w:t> </w:t>
      </w:r>
      <w:r>
        <w:rPr/>
        <w:t>with</w:t>
      </w:r>
      <w:r>
        <w:rPr>
          <w:spacing w:val="-12"/>
        </w:rPr>
        <w:t> </w:t>
      </w:r>
      <w:r>
        <w:rPr/>
        <w:t>rising</w:t>
      </w:r>
      <w:r>
        <w:rPr>
          <w:spacing w:val="-15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inequality.</w:t>
      </w:r>
      <w:r>
        <w:rPr>
          <w:spacing w:val="-9"/>
        </w:rPr>
        <w:t> </w:t>
      </w:r>
      <w:r>
        <w:rPr/>
        <w:t>Third,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vast</w:t>
      </w:r>
      <w:r>
        <w:rPr>
          <w:spacing w:val="-12"/>
        </w:rPr>
        <w:t> </w:t>
      </w:r>
      <w:r>
        <w:rPr/>
        <w:t>literature</w:t>
      </w:r>
      <w:r>
        <w:rPr>
          <w:spacing w:val="-13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effect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income</w:t>
      </w:r>
      <w:r>
        <w:rPr>
          <w:spacing w:val="-10"/>
        </w:rPr>
        <w:t> </w:t>
      </w:r>
      <w:r>
        <w:rPr/>
        <w:t>disparity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health in Nigeria, the</w:t>
      </w:r>
      <w:r>
        <w:rPr>
          <w:spacing w:val="-1"/>
        </w:rPr>
        <w:t> </w:t>
      </w:r>
      <w:r>
        <w:rPr/>
        <w:t>transmission channels were</w:t>
      </w:r>
      <w:r>
        <w:rPr>
          <w:spacing w:val="-3"/>
        </w:rPr>
        <w:t> </w:t>
      </w:r>
      <w:r>
        <w:rPr/>
        <w:t>lagging.</w:t>
      </w:r>
    </w:p>
    <w:p>
      <w:pPr>
        <w:pStyle w:val="BodyText"/>
        <w:spacing w:line="360" w:lineRule="auto" w:before="185"/>
        <w:ind w:left="160" w:right="153"/>
        <w:jc w:val="both"/>
      </w:pPr>
      <w:r>
        <w:rPr/>
        <w:t>Fourth,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big</w:t>
      </w:r>
      <w:r>
        <w:rPr>
          <w:spacing w:val="-3"/>
        </w:rPr>
        <w:t> </w:t>
      </w:r>
      <w:r>
        <w:rPr/>
        <w:t>gap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methodological</w:t>
      </w:r>
      <w:r>
        <w:rPr>
          <w:spacing w:val="-2"/>
        </w:rPr>
        <w:t> </w:t>
      </w:r>
      <w:r>
        <w:rPr/>
        <w:t>literature</w:t>
      </w:r>
      <w:r>
        <w:rPr>
          <w:spacing w:val="-6"/>
        </w:rPr>
        <w:t> </w:t>
      </w:r>
      <w:r>
        <w:rPr/>
        <w:t>concerning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effect.</w:t>
      </w:r>
      <w:r>
        <w:rPr>
          <w:spacing w:val="-1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studies</w:t>
      </w:r>
      <w:r>
        <w:rPr>
          <w:spacing w:val="-4"/>
        </w:rPr>
        <w:t> </w:t>
      </w:r>
      <w:r>
        <w:rPr/>
        <w:t>with</w:t>
      </w:r>
      <w:r>
        <w:rPr>
          <w:spacing w:val="-57"/>
        </w:rPr>
        <w:t> </w:t>
      </w:r>
      <w:r>
        <w:rPr/>
        <w:t>cross-sectional data relied on logistic regression. These studies ignored the heterogeneity issues –</w:t>
      </w:r>
      <w:r>
        <w:rPr>
          <w:spacing w:val="-57"/>
        </w:rPr>
        <w:t> </w:t>
      </w:r>
      <w:r>
        <w:rPr/>
        <w:t>difference and within-estimation – in their analyses. This therefore making such results suspect.</w:t>
      </w:r>
      <w:r>
        <w:rPr>
          <w:spacing w:val="1"/>
        </w:rPr>
        <w:t> </w:t>
      </w:r>
      <w:r>
        <w:rPr/>
        <w:t>Fifth,</w:t>
      </w:r>
      <w:r>
        <w:rPr>
          <w:spacing w:val="-6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studies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subject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very</w:t>
      </w:r>
      <w:r>
        <w:rPr>
          <w:spacing w:val="-13"/>
        </w:rPr>
        <w:t> </w:t>
      </w:r>
      <w:r>
        <w:rPr>
          <w:sz w:val="22"/>
        </w:rPr>
        <w:t>limited</w:t>
      </w:r>
      <w:r>
        <w:rPr>
          <w:spacing w:val="1"/>
          <w:sz w:val="22"/>
        </w:rPr>
        <w:t> </w:t>
      </w:r>
      <w:r>
        <w:rPr/>
        <w:t>either</w:t>
      </w:r>
      <w:r>
        <w:rPr>
          <w:spacing w:val="-7"/>
        </w:rPr>
        <w:t> </w:t>
      </w:r>
      <w:r>
        <w:rPr/>
        <w:t>by</w:t>
      </w:r>
      <w:r>
        <w:rPr>
          <w:spacing w:val="-9"/>
        </w:rPr>
        <w:t> </w:t>
      </w:r>
      <w:r>
        <w:rPr/>
        <w:t>scope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locations.</w:t>
      </w:r>
      <w:r>
        <w:rPr>
          <w:spacing w:val="-4"/>
        </w:rPr>
        <w:t> </w:t>
      </w:r>
      <w:r>
        <w:rPr/>
        <w:t>For</w:t>
      </w: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72.024002pt;margin-top:13.910001pt;width:144.020pt;height:.71997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  <w:vertAlign w:val="baseline"/>
        </w:rPr>
        <w:t> Advocates of the income inequality hypothesis have argued that, income inequality has a </w:t>
      </w:r>
      <w:r>
        <w:rPr>
          <w:b/>
          <w:i/>
          <w:sz w:val="20"/>
          <w:vertAlign w:val="baseline"/>
        </w:rPr>
        <w:t>direct </w:t>
      </w:r>
      <w:r>
        <w:rPr>
          <w:sz w:val="20"/>
          <w:vertAlign w:val="baseline"/>
        </w:rPr>
        <w:t>effect on health by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affecting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people’s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psychosocial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well-being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through stress,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competition,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frustration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 social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cohesion.</w:t>
      </w:r>
    </w:p>
    <w:p>
      <w:pPr>
        <w:spacing w:line="235" w:lineRule="auto" w:before="56"/>
        <w:ind w:left="160" w:right="159" w:firstLine="0"/>
        <w:jc w:val="both"/>
        <w:rPr>
          <w:sz w:val="20"/>
        </w:rPr>
      </w:pPr>
      <w:r>
        <w:rPr>
          <w:rFonts w:ascii="Calibri"/>
          <w:sz w:val="20"/>
          <w:vertAlign w:val="superscript"/>
        </w:rPr>
        <w:t>11</w:t>
      </w:r>
      <w:r>
        <w:rPr>
          <w:rFonts w:ascii="Calibri"/>
          <w:sz w:val="20"/>
          <w:vertAlign w:val="baseline"/>
        </w:rPr>
        <w:t> </w:t>
      </w:r>
      <w:r>
        <w:rPr>
          <w:sz w:val="20"/>
          <w:vertAlign w:val="baseline"/>
        </w:rPr>
        <w:t>According to Kragten and Rozer (2017:1017), individuals may try to cope with these psychosocial stress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frustration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some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extent.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But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people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become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more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susceptible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unhealthy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food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additions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(due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low-income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level),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health-related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problems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(such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cancers)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surfaces.</w:t>
      </w:r>
    </w:p>
    <w:p>
      <w:pPr>
        <w:spacing w:after="0" w:line="235" w:lineRule="auto"/>
        <w:jc w:val="both"/>
        <w:rPr>
          <w:sz w:val="20"/>
        </w:rPr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2"/>
        <w:jc w:val="both"/>
      </w:pPr>
      <w:r>
        <w:rPr/>
        <w:t>instance,</w:t>
      </w:r>
      <w:r>
        <w:rPr>
          <w:spacing w:val="-1"/>
        </w:rPr>
        <w:t> </w:t>
      </w:r>
      <w:r>
        <w:rPr/>
        <w:t>the study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Alawode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Lawal (2014)</w:t>
      </w:r>
      <w:r>
        <w:rPr>
          <w:spacing w:val="-2"/>
        </w:rPr>
        <w:t> </w:t>
      </w:r>
      <w:r>
        <w:rPr/>
        <w:t>focus only</w:t>
      </w:r>
      <w:r>
        <w:rPr>
          <w:spacing w:val="-9"/>
        </w:rPr>
        <w:t> </w:t>
      </w:r>
      <w:r>
        <w:rPr/>
        <w:t>on rural</w:t>
      </w:r>
      <w:r>
        <w:rPr>
          <w:spacing w:val="-1"/>
        </w:rPr>
        <w:t> </w:t>
      </w:r>
      <w:r>
        <w:rPr/>
        <w:t>Oyo State; Orji</w:t>
      </w:r>
      <w:r>
        <w:rPr>
          <w:spacing w:val="2"/>
        </w:rPr>
        <w:t> </w:t>
      </w:r>
      <w:r>
        <w:rPr>
          <w:i/>
        </w:rPr>
        <w:t>et al.</w:t>
      </w:r>
      <w:r>
        <w:rPr>
          <w:i/>
          <w:spacing w:val="-4"/>
        </w:rPr>
        <w:t> </w:t>
      </w:r>
      <w:r>
        <w:rPr/>
        <w:t>(2013)</w:t>
      </w:r>
      <w:r>
        <w:rPr>
          <w:spacing w:val="-57"/>
        </w:rPr>
        <w:t> </w:t>
      </w:r>
      <w:r>
        <w:rPr/>
        <w:t>utilized data from 2008 National Demographic and Household Survey; Lawanson and Opeloyeru</w:t>
      </w:r>
      <w:r>
        <w:rPr>
          <w:spacing w:val="-57"/>
        </w:rPr>
        <w:t> </w:t>
      </w:r>
      <w:r>
        <w:rPr/>
        <w:t>(2016)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the Nigeria</w:t>
      </w:r>
      <w:r>
        <w:rPr>
          <w:spacing w:val="-3"/>
        </w:rPr>
        <w:t> </w:t>
      </w:r>
      <w:r>
        <w:rPr/>
        <w:t>Living</w:t>
      </w:r>
      <w:r>
        <w:rPr>
          <w:spacing w:val="-5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Survey</w:t>
      </w:r>
      <w:r>
        <w:rPr>
          <w:spacing w:val="-8"/>
        </w:rPr>
        <w:t> </w:t>
      </w:r>
      <w:r>
        <w:rPr/>
        <w:t>(2010)</w:t>
      </w:r>
      <w:r>
        <w:rPr>
          <w:spacing w:val="-5"/>
        </w:rPr>
        <w:t> </w:t>
      </w:r>
      <w:r>
        <w:rPr/>
        <w:t>data;</w:t>
      </w:r>
      <w:r>
        <w:rPr>
          <w:spacing w:val="-4"/>
        </w:rPr>
        <w:t> </w:t>
      </w:r>
      <w:r>
        <w:rPr/>
        <w:t>and Karimo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>
          <w:i/>
          <w:spacing w:val="-3"/>
        </w:rPr>
        <w:t> </w:t>
      </w:r>
      <w:r>
        <w:rPr/>
        <w:t>(2017)</w:t>
      </w:r>
      <w:r>
        <w:rPr>
          <w:spacing w:val="-4"/>
        </w:rPr>
        <w:t> </w:t>
      </w:r>
      <w:r>
        <w:rPr/>
        <w:t>considered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2010</w:t>
      </w:r>
      <w:r>
        <w:rPr>
          <w:spacing w:val="-12"/>
        </w:rPr>
        <w:t> </w:t>
      </w:r>
      <w:r>
        <w:rPr>
          <w:spacing w:val="-1"/>
        </w:rPr>
        <w:t>National</w:t>
      </w:r>
      <w:r>
        <w:rPr>
          <w:spacing w:val="-10"/>
        </w:rPr>
        <w:t> </w:t>
      </w:r>
      <w:r>
        <w:rPr/>
        <w:t>Living</w:t>
      </w:r>
      <w:r>
        <w:rPr>
          <w:spacing w:val="-11"/>
        </w:rPr>
        <w:t> </w:t>
      </w:r>
      <w:r>
        <w:rPr/>
        <w:t>Standard</w:t>
      </w:r>
      <w:r>
        <w:rPr>
          <w:spacing w:val="-13"/>
        </w:rPr>
        <w:t> </w:t>
      </w:r>
      <w:r>
        <w:rPr/>
        <w:t>Survey</w:t>
      </w:r>
      <w:r>
        <w:rPr>
          <w:spacing w:val="-15"/>
        </w:rPr>
        <w:t> </w:t>
      </w:r>
      <w:r>
        <w:rPr/>
        <w:t>(NLSS).</w:t>
      </w:r>
      <w:r>
        <w:rPr>
          <w:spacing w:val="-11"/>
        </w:rPr>
        <w:t> </w:t>
      </w:r>
      <w:r>
        <w:rPr/>
        <w:t>None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these</w:t>
      </w:r>
      <w:r>
        <w:rPr>
          <w:spacing w:val="-14"/>
        </w:rPr>
        <w:t> </w:t>
      </w:r>
      <w:r>
        <w:rPr/>
        <w:t>literatures</w:t>
      </w:r>
      <w:r>
        <w:rPr>
          <w:spacing w:val="-9"/>
        </w:rPr>
        <w:t> </w:t>
      </w:r>
      <w:r>
        <w:rPr/>
        <w:t>combined</w:t>
      </w:r>
      <w:r>
        <w:rPr>
          <w:spacing w:val="-12"/>
        </w:rPr>
        <w:t> </w:t>
      </w:r>
      <w:r>
        <w:rPr/>
        <w:t>survey</w:t>
      </w:r>
      <w:r>
        <w:rPr>
          <w:spacing w:val="-17"/>
        </w:rPr>
        <w:t> </w:t>
      </w:r>
      <w:r>
        <w:rPr/>
        <w:t>data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years 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inequality-health</w:t>
      </w:r>
      <w:r>
        <w:rPr>
          <w:spacing w:val="1"/>
        </w:rPr>
        <w:t> </w:t>
      </w:r>
      <w:r>
        <w:rPr/>
        <w:t>link to</w:t>
      </w:r>
      <w:r>
        <w:rPr>
          <w:spacing w:val="-1"/>
        </w:rPr>
        <w:t> </w:t>
      </w:r>
      <w:r>
        <w:rPr/>
        <w:t>aid appropriate</w:t>
      </w:r>
      <w:r>
        <w:rPr>
          <w:spacing w:val="-1"/>
        </w:rPr>
        <w:t> </w:t>
      </w:r>
      <w:r>
        <w:rPr/>
        <w:t>health policies.</w:t>
      </w:r>
    </w:p>
    <w:p>
      <w:pPr>
        <w:pStyle w:val="BodyText"/>
        <w:spacing w:line="360" w:lineRule="auto" w:before="115"/>
        <w:ind w:left="160" w:right="157"/>
        <w:jc w:val="both"/>
      </w:pPr>
      <w:r>
        <w:rPr/>
        <w:t>Thus,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in-depth</w:t>
      </w:r>
      <w:r>
        <w:rPr>
          <w:spacing w:val="-5"/>
        </w:rPr>
        <w:t> </w:t>
      </w:r>
      <w:r>
        <w:rPr/>
        <w:t>enquiry</w:t>
      </w:r>
      <w:r>
        <w:rPr>
          <w:spacing w:val="-10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probable</w:t>
      </w:r>
      <w:r>
        <w:rPr>
          <w:spacing w:val="-6"/>
        </w:rPr>
        <w:t> </w:t>
      </w:r>
      <w:r>
        <w:rPr/>
        <w:t>effects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rising</w:t>
      </w:r>
      <w:r>
        <w:rPr>
          <w:spacing w:val="-7"/>
        </w:rPr>
        <w:t> </w:t>
      </w:r>
      <w:r>
        <w:rPr/>
        <w:t>income</w:t>
      </w:r>
      <w:r>
        <w:rPr>
          <w:spacing w:val="-9"/>
        </w:rPr>
        <w:t> </w:t>
      </w:r>
      <w:r>
        <w:rPr/>
        <w:t>inequality</w:t>
      </w:r>
      <w:r>
        <w:rPr>
          <w:spacing w:val="-11"/>
        </w:rPr>
        <w:t> </w:t>
      </w:r>
      <w:r>
        <w:rPr/>
        <w:t>on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outcomes</w:t>
      </w:r>
      <w:r>
        <w:rPr>
          <w:spacing w:val="-58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/>
        <w:t>health-seeking</w:t>
      </w:r>
      <w:r>
        <w:rPr>
          <w:spacing w:val="-8"/>
        </w:rPr>
        <w:t> </w:t>
      </w:r>
      <w:r>
        <w:rPr/>
        <w:t>behavior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z w:val="22"/>
        </w:rPr>
        <w:t>Nigeria</w:t>
      </w:r>
      <w:r>
        <w:rPr>
          <w:spacing w:val="-3"/>
          <w:sz w:val="22"/>
        </w:rPr>
        <w:t> </w:t>
      </w:r>
      <w:r>
        <w:rPr/>
        <w:t>is</w:t>
      </w:r>
      <w:r>
        <w:rPr>
          <w:spacing w:val="-6"/>
        </w:rPr>
        <w:t> </w:t>
      </w:r>
      <w:r>
        <w:rPr/>
        <w:t>critical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policy</w:t>
      </w:r>
      <w:r>
        <w:rPr>
          <w:spacing w:val="-12"/>
        </w:rPr>
        <w:t> </w:t>
      </w:r>
      <w:r>
        <w:rPr/>
        <w:t>strategies.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result,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12"/>
        </w:rPr>
        <w:t> </w:t>
      </w:r>
      <w:r>
        <w:rPr/>
        <w:t>used</w:t>
      </w:r>
      <w:r>
        <w:rPr>
          <w:spacing w:val="-6"/>
        </w:rPr>
        <w:t> </w:t>
      </w:r>
      <w:r>
        <w:rPr/>
        <w:t>all</w:t>
      </w:r>
      <w:r>
        <w:rPr>
          <w:spacing w:val="-58"/>
        </w:rPr>
        <w:t> </w:t>
      </w:r>
      <w:r>
        <w:rPr>
          <w:spacing w:val="-1"/>
        </w:rPr>
        <w:t>Waves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Nigeria-General</w:t>
      </w:r>
      <w:r>
        <w:rPr>
          <w:spacing w:val="-10"/>
        </w:rPr>
        <w:t> </w:t>
      </w:r>
      <w:r>
        <w:rPr/>
        <w:t>Household</w:t>
      </w:r>
      <w:r>
        <w:rPr>
          <w:spacing w:val="-8"/>
        </w:rPr>
        <w:t> </w:t>
      </w:r>
      <w:r>
        <w:rPr/>
        <w:t>Panel</w:t>
      </w:r>
      <w:r>
        <w:rPr>
          <w:spacing w:val="-7"/>
        </w:rPr>
        <w:t> </w:t>
      </w:r>
      <w:r>
        <w:rPr/>
        <w:t>Survey</w:t>
      </w:r>
      <w:r>
        <w:rPr>
          <w:spacing w:val="-15"/>
        </w:rPr>
        <w:t> </w:t>
      </w:r>
      <w:r>
        <w:rPr/>
        <w:t>that</w:t>
      </w:r>
      <w:r>
        <w:rPr>
          <w:spacing w:val="-8"/>
        </w:rPr>
        <w:t> </w:t>
      </w:r>
      <w:r>
        <w:rPr/>
        <w:t>contains</w:t>
      </w:r>
      <w:r>
        <w:rPr>
          <w:spacing w:val="-10"/>
        </w:rPr>
        <w:t> </w:t>
      </w:r>
      <w:r>
        <w:rPr/>
        <w:t>more</w:t>
      </w:r>
      <w:r>
        <w:rPr>
          <w:spacing w:val="-9"/>
        </w:rPr>
        <w:t> </w:t>
      </w:r>
      <w:r>
        <w:rPr/>
        <w:t>detailed</w:t>
      </w:r>
      <w:r>
        <w:rPr>
          <w:spacing w:val="-11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on</w:t>
      </w:r>
      <w:r>
        <w:rPr>
          <w:spacing w:val="-57"/>
        </w:rPr>
        <w:t> </w:t>
      </w:r>
      <w:r>
        <w:rPr/>
        <w:t>welfare trends of 26,176 households in Nigeria. The dataset provides recent trend and nature of</w:t>
      </w:r>
      <w:r>
        <w:rPr>
          <w:spacing w:val="1"/>
        </w:rPr>
        <w:t> </w:t>
      </w:r>
      <w:r>
        <w:rPr/>
        <w:t>income</w:t>
      </w:r>
      <w:r>
        <w:rPr>
          <w:spacing w:val="-5"/>
        </w:rPr>
        <w:t> </w:t>
      </w:r>
      <w:r>
        <w:rPr/>
        <w:t>inequality</w:t>
      </w:r>
      <w:r>
        <w:rPr>
          <w:spacing w:val="-8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</w:t>
      </w:r>
      <w:r>
        <w:rPr>
          <w:spacing w:val="-4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expected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will aid in formulating both health and welfare policies, that promote sound physical and mental</w:t>
      </w:r>
      <w:r>
        <w:rPr>
          <w:spacing w:val="1"/>
        </w:rPr>
        <w:t> </w:t>
      </w:r>
      <w:r>
        <w:rPr/>
        <w:t>health,</w:t>
      </w:r>
      <w:r>
        <w:rPr>
          <w:spacing w:val="-1"/>
        </w:rPr>
        <w:t> </w:t>
      </w:r>
      <w:r>
        <w:rPr/>
        <w:t>and reduce</w:t>
      </w:r>
      <w:r>
        <w:rPr>
          <w:spacing w:val="-2"/>
        </w:rPr>
        <w:t> </w:t>
      </w:r>
      <w:r>
        <w:rPr/>
        <w:t>income</w:t>
      </w:r>
      <w:r>
        <w:rPr>
          <w:spacing w:val="-1"/>
        </w:rPr>
        <w:t> </w:t>
      </w:r>
      <w:r>
        <w:rPr/>
        <w:t>inequality</w:t>
      </w:r>
      <w:r>
        <w:rPr>
          <w:spacing w:val="-4"/>
        </w:rPr>
        <w:t> </w:t>
      </w:r>
      <w:r>
        <w:rPr/>
        <w:t>across various</w:t>
      </w:r>
      <w:r>
        <w:rPr>
          <w:spacing w:val="-1"/>
        </w:rPr>
        <w:t> </w:t>
      </w:r>
      <w:r>
        <w:rPr/>
        <w:t>strata in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year 2030.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880" w:val="left" w:leader="none"/>
          <w:tab w:pos="881" w:val="left" w:leader="none"/>
        </w:tabs>
        <w:spacing w:line="240" w:lineRule="auto" w:before="195" w:after="0"/>
        <w:ind w:left="880" w:right="0" w:hanging="721"/>
        <w:jc w:val="left"/>
        <w:rPr>
          <w:b/>
          <w:sz w:val="24"/>
        </w:rPr>
      </w:pPr>
      <w:bookmarkStart w:name="_TOC_250044" w:id="33"/>
      <w:bookmarkEnd w:id="33"/>
      <w:r>
        <w:rPr>
          <w:b/>
          <w:sz w:val="24"/>
        </w:rPr>
        <w:t>Preamble</w:t>
      </w:r>
    </w:p>
    <w:p>
      <w:pPr>
        <w:pStyle w:val="Heading1"/>
        <w:spacing w:line="360" w:lineRule="auto"/>
        <w:ind w:left="160" w:right="2859" w:firstLine="856"/>
        <w:jc w:val="left"/>
      </w:pPr>
      <w:r>
        <w:rPr>
          <w:b w:val="0"/>
        </w:rPr>
        <w:br w:type="column"/>
      </w:r>
      <w:r>
        <w:rPr/>
        <w:t>CHAPTER FOUR</w:t>
      </w:r>
      <w:r>
        <w:rPr>
          <w:spacing w:val="1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METHODOLOGY</w:t>
      </w:r>
    </w:p>
    <w:p>
      <w:pPr>
        <w:spacing w:after="0" w:line="360" w:lineRule="auto"/>
        <w:jc w:val="left"/>
        <w:sectPr>
          <w:pgSz w:w="12240" w:h="15840"/>
          <w:pgMar w:header="0" w:footer="1015" w:top="1360" w:bottom="1200" w:left="1280" w:right="1280"/>
          <w:cols w:num="2" w:equalWidth="0">
            <w:col w:w="1905" w:space="803"/>
            <w:col w:w="6972"/>
          </w:cols>
        </w:sectPr>
      </w:pPr>
    </w:p>
    <w:p>
      <w:pPr>
        <w:pStyle w:val="BodyText"/>
        <w:spacing w:line="360" w:lineRule="auto" w:before="132"/>
        <w:ind w:left="160" w:right="156"/>
        <w:jc w:val="both"/>
      </w:pPr>
      <w:r>
        <w:rPr/>
        <w:t>This chapter presented the research methodology for the study. It focused on the theoretical</w:t>
      </w:r>
      <w:r>
        <w:rPr>
          <w:spacing w:val="1"/>
        </w:rPr>
        <w:t> </w:t>
      </w:r>
      <w:r>
        <w:rPr/>
        <w:t>framework, model specification, research hypotheses, estimation procedures, data issues, and</w:t>
      </w:r>
      <w:r>
        <w:rPr>
          <w:spacing w:val="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income inequality.</w:t>
      </w:r>
    </w:p>
    <w:p>
      <w:pPr>
        <w:pStyle w:val="Heading4"/>
        <w:numPr>
          <w:ilvl w:val="1"/>
          <w:numId w:val="12"/>
        </w:numPr>
        <w:tabs>
          <w:tab w:pos="881" w:val="left" w:leader="none"/>
        </w:tabs>
        <w:spacing w:line="240" w:lineRule="auto" w:before="227" w:after="0"/>
        <w:ind w:left="880" w:right="0" w:hanging="721"/>
        <w:jc w:val="both"/>
      </w:pPr>
      <w:bookmarkStart w:name="_TOC_250043" w:id="34"/>
      <w:r>
        <w:rPr/>
        <w:t>Theoretical</w:t>
      </w:r>
      <w:r>
        <w:rPr>
          <w:spacing w:val="-2"/>
        </w:rPr>
        <w:t> </w:t>
      </w:r>
      <w:bookmarkEnd w:id="34"/>
      <w:r>
        <w:rPr/>
        <w:t>Framework</w:t>
      </w:r>
    </w:p>
    <w:p>
      <w:pPr>
        <w:pStyle w:val="BodyText"/>
        <w:spacing w:line="360" w:lineRule="auto" w:before="19"/>
        <w:ind w:left="160" w:right="153"/>
        <w:jc w:val="both"/>
      </w:pPr>
      <w:r>
        <w:rPr/>
        <w:t>The theoretical foundation of the thesis is predicated on Wilkinson’s income inequality-health</w:t>
      </w:r>
      <w:r>
        <w:rPr>
          <w:spacing w:val="1"/>
        </w:rPr>
        <w:t> </w:t>
      </w:r>
      <w:r>
        <w:rPr/>
        <w:t>hypothesis,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Grossman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extant</w:t>
      </w:r>
      <w:r>
        <w:rPr>
          <w:spacing w:val="1"/>
        </w:rPr>
        <w:t> </w:t>
      </w:r>
      <w:r>
        <w:rPr/>
        <w:t>theories,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emphasizes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process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economic</w:t>
      </w:r>
      <w:r>
        <w:rPr>
          <w:spacing w:val="-10"/>
        </w:rPr>
        <w:t> </w:t>
      </w:r>
      <w:r>
        <w:rPr/>
        <w:t>growth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development,</w:t>
      </w:r>
      <w:r>
        <w:rPr>
          <w:spacing w:val="-11"/>
        </w:rPr>
        <w:t> </w:t>
      </w:r>
      <w:r>
        <w:rPr/>
        <w:t>there</w:t>
      </w:r>
      <w:r>
        <w:rPr>
          <w:spacing w:val="-10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point</w:t>
      </w:r>
      <w:r>
        <w:rPr>
          <w:spacing w:val="-10"/>
        </w:rPr>
        <w:t> </w:t>
      </w:r>
      <w:r>
        <w:rPr/>
        <w:t>at</w:t>
      </w:r>
      <w:r>
        <w:rPr>
          <w:spacing w:val="-11"/>
        </w:rPr>
        <w:t> </w:t>
      </w:r>
      <w:r>
        <w:rPr/>
        <w:t>which</w:t>
      </w:r>
      <w:r>
        <w:rPr>
          <w:spacing w:val="-58"/>
        </w:rPr>
        <w:t> </w:t>
      </w:r>
      <w:r>
        <w:rPr/>
        <w:t>income inequality rises rapidly. This corresponds with the epidemiological transition, the shift in</w:t>
      </w:r>
      <w:r>
        <w:rPr>
          <w:spacing w:val="1"/>
        </w:rPr>
        <w:t> </w:t>
      </w:r>
      <w:r>
        <w:rPr/>
        <w:t>the main causes of poor health issues from infectious diseases to more of NCDs, such as, stroke,</w:t>
      </w:r>
      <w:r>
        <w:rPr>
          <w:spacing w:val="1"/>
        </w:rPr>
        <w:t> </w:t>
      </w:r>
      <w:r>
        <w:rPr/>
        <w:t>heart failure, and hypertension (Wilkinson, 1994:62). As the scholar observed, income inequality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detrimental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because,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enforces</w:t>
      </w:r>
      <w:r>
        <w:rPr>
          <w:spacing w:val="1"/>
        </w:rPr>
        <w:t> </w:t>
      </w:r>
      <w:r>
        <w:rPr/>
        <w:t>competition, psycho-social stress, depression and frustration, which affect the state of health</w:t>
      </w:r>
      <w:r>
        <w:rPr>
          <w:spacing w:val="1"/>
        </w:rPr>
        <w:t> </w:t>
      </w:r>
      <w:r>
        <w:rPr/>
        <w:t>(Wilkinson</w:t>
      </w:r>
      <w:r>
        <w:rPr>
          <w:spacing w:val="-1"/>
        </w:rPr>
        <w:t> </w:t>
      </w:r>
      <w:r>
        <w:rPr/>
        <w:t>and Pickett, 2010).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160" w:right="156"/>
        <w:jc w:val="both"/>
      </w:pPr>
      <w:r>
        <w:rPr/>
        <w:t>The theory thus asserts that people’s health is influenced not only by their income, but also by</w:t>
      </w:r>
      <w:r>
        <w:rPr>
          <w:spacing w:val="1"/>
        </w:rPr>
        <w:t> </w:t>
      </w:r>
      <w:r>
        <w:rPr/>
        <w:t>income</w:t>
      </w:r>
      <w:r>
        <w:rPr>
          <w:spacing w:val="-2"/>
        </w:rPr>
        <w:t> </w:t>
      </w:r>
      <w:r>
        <w:rPr/>
        <w:t>disparities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residence</w:t>
      </w:r>
      <w:r>
        <w:rPr>
          <w:spacing w:val="-2"/>
        </w:rPr>
        <w:t> </w:t>
      </w:r>
      <w:r>
        <w:rPr/>
        <w:t>(Lynch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>
          <w:i/>
          <w:spacing w:val="-1"/>
        </w:rPr>
        <w:t> </w:t>
      </w:r>
      <w:r>
        <w:rPr/>
        <w:t>2004:9-11).</w:t>
      </w:r>
      <w:r>
        <w:rPr>
          <w:spacing w:val="-1"/>
        </w:rPr>
        <w:t> </w:t>
      </w:r>
      <w:r>
        <w:rPr/>
        <w:t>Algebraically,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implies:</w:t>
      </w:r>
    </w:p>
    <w:p>
      <w:pPr>
        <w:pStyle w:val="BodyText"/>
        <w:tabs>
          <w:tab w:pos="8801" w:val="left" w:leader="none"/>
        </w:tabs>
        <w:spacing w:line="282" w:lineRule="exact"/>
        <w:ind w:left="2320"/>
      </w:pPr>
      <w:r>
        <w:rPr>
          <w:rFonts w:ascii="Cambria Math" w:eastAsia="Cambria Math"/>
          <w:spacing w:val="-2"/>
        </w:rPr>
        <w:t>𝐻</w:t>
      </w:r>
      <w:r>
        <w:rPr>
          <w:rFonts w:ascii="Cambria Math" w:eastAsia="Cambria Math"/>
          <w:spacing w:val="-2"/>
          <w:vertAlign w:val="subscript"/>
        </w:rPr>
        <w:t>𝑖</w:t>
      </w:r>
      <w:r>
        <w:rPr>
          <w:rFonts w:ascii="Cambria Math" w:eastAsia="Cambria Math"/>
          <w:spacing w:val="29"/>
          <w:vertAlign w:val="baseline"/>
        </w:rPr>
        <w:t> </w:t>
      </w:r>
      <w:r>
        <w:rPr>
          <w:rFonts w:ascii="Cambria Math" w:eastAsia="Cambria Math"/>
          <w:spacing w:val="-2"/>
          <w:vertAlign w:val="baseline"/>
        </w:rPr>
        <w:t>=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spacing w:val="-2"/>
          <w:vertAlign w:val="baseline"/>
        </w:rPr>
        <w:t>𝑓</w:t>
      </w:r>
      <w:r>
        <w:rPr>
          <w:rFonts w:ascii="Cambria Math" w:eastAsia="Cambria Math"/>
          <w:spacing w:val="8"/>
          <w:vertAlign w:val="baseline"/>
        </w:rPr>
        <w:t> </w:t>
      </w:r>
      <w:r>
        <w:rPr>
          <w:rFonts w:ascii="Cambria Math" w:eastAsia="Cambria Math"/>
          <w:spacing w:val="-2"/>
          <w:position w:val="1"/>
          <w:vertAlign w:val="baseline"/>
        </w:rPr>
        <w:t>(</w:t>
      </w:r>
      <w:r>
        <w:rPr>
          <w:rFonts w:ascii="Cambria Math" w:eastAsia="Cambria Math"/>
          <w:spacing w:val="-2"/>
          <w:vertAlign w:val="baseline"/>
        </w:rPr>
        <w:t>𝑌</w:t>
      </w:r>
      <w:r>
        <w:rPr>
          <w:rFonts w:ascii="Cambria Math" w:eastAsia="Cambria Math"/>
          <w:spacing w:val="-2"/>
          <w:vertAlign w:val="subscript"/>
        </w:rPr>
        <w:t>𝑖</w:t>
      </w:r>
      <w:r>
        <w:rPr>
          <w:rFonts w:ascii="Cambria Math" w:eastAsia="Cambria Math"/>
          <w:spacing w:val="-2"/>
          <w:vertAlign w:val="baseline"/>
        </w:rPr>
        <w:t>,</w:t>
      </w:r>
      <w:r>
        <w:rPr>
          <w:rFonts w:ascii="Cambria Math" w:eastAsia="Cambria Math"/>
          <w:spacing w:val="-16"/>
          <w:vertAlign w:val="baseline"/>
        </w:rPr>
        <w:t> </w:t>
      </w:r>
      <w:r>
        <w:rPr>
          <w:rFonts w:ascii="Cambria Math" w:eastAsia="Cambria Math"/>
          <w:spacing w:val="-1"/>
          <w:vertAlign w:val="baseline"/>
        </w:rPr>
        <w:t>𝑍</w:t>
      </w:r>
      <w:r>
        <w:rPr>
          <w:rFonts w:ascii="Cambria Math" w:eastAsia="Cambria Math"/>
          <w:spacing w:val="-1"/>
          <w:position w:val="1"/>
          <w:vertAlign w:val="baseline"/>
        </w:rPr>
        <w:t>)</w:t>
        <w:tab/>
      </w:r>
      <w:r>
        <w:rPr>
          <w:vertAlign w:val="baseline"/>
        </w:rPr>
        <w:t>(4.1)</w:t>
      </w:r>
    </w:p>
    <w:p>
      <w:pPr>
        <w:pStyle w:val="BodyText"/>
        <w:spacing w:before="182"/>
        <w:ind w:left="160"/>
        <w:jc w:val="both"/>
        <w:rPr>
          <w:rFonts w:ascii="Cambria Math" w:eastAsia="Cambria Math"/>
        </w:rPr>
      </w:pPr>
      <w:r>
        <w:rPr/>
        <w:t>where</w:t>
      </w:r>
      <w:r>
        <w:rPr>
          <w:spacing w:val="73"/>
        </w:rPr>
        <w:t> </w:t>
      </w: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vertAlign w:val="baseline"/>
        </w:rPr>
        <w:t>       </w:t>
      </w:r>
      <w:r>
        <w:rPr>
          <w:rFonts w:ascii="Cambria Math" w:eastAsia="Cambria Math"/>
          <w:spacing w:val="20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health outcomes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-1"/>
          <w:vertAlign w:val="baseline"/>
        </w:rPr>
        <w:t> </w:t>
      </w:r>
      <w:r>
        <w:rPr>
          <w:rFonts w:ascii="Cambria Math" w:eastAsia="Cambria Math"/>
          <w:vertAlign w:val="baseline"/>
        </w:rPr>
        <w:t>𝑖</w:t>
      </w:r>
    </w:p>
    <w:p>
      <w:pPr>
        <w:tabs>
          <w:tab w:pos="1600" w:val="left" w:leader="none"/>
        </w:tabs>
        <w:spacing w:before="138"/>
        <w:ind w:left="933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𝑖</w:t>
        <w:tab/>
      </w: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1, 2, 3, ….,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</w:t>
      </w:r>
      <w:r>
        <w:rPr>
          <w:sz w:val="24"/>
        </w:rPr>
        <w:t>.</w:t>
      </w:r>
    </w:p>
    <w:p>
      <w:pPr>
        <w:pStyle w:val="BodyText"/>
        <w:tabs>
          <w:tab w:pos="1600" w:val="left" w:leader="none"/>
        </w:tabs>
        <w:spacing w:before="141"/>
        <w:ind w:left="880"/>
      </w:pPr>
      <w:r>
        <w:rPr>
          <w:rFonts w:ascii="Cambria Math" w:eastAsia="Cambria Math"/>
        </w:rPr>
        <w:t>𝑌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absolute</w:t>
      </w:r>
      <w:r>
        <w:rPr>
          <w:spacing w:val="-1"/>
          <w:vertAlign w:val="baseline"/>
        </w:rPr>
        <w:t> </w:t>
      </w:r>
      <w:r>
        <w:rPr>
          <w:vertAlign w:val="baseline"/>
        </w:rPr>
        <w:t>incomes</w:t>
      </w:r>
      <w:r>
        <w:rPr>
          <w:spacing w:val="-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all</w:t>
      </w:r>
      <w:r>
        <w:rPr>
          <w:spacing w:val="-1"/>
          <w:vertAlign w:val="baseline"/>
        </w:rPr>
        <w:t> </w:t>
      </w:r>
      <w:r>
        <w:rPr>
          <w:vertAlign w:val="baseline"/>
        </w:rPr>
        <w:t>sources.</w:t>
      </w:r>
    </w:p>
    <w:p>
      <w:pPr>
        <w:pStyle w:val="BodyText"/>
        <w:tabs>
          <w:tab w:pos="1600" w:val="left" w:leader="none"/>
        </w:tabs>
        <w:spacing w:before="141"/>
        <w:ind w:left="880"/>
      </w:pPr>
      <w:r>
        <w:rPr>
          <w:rFonts w:ascii="Cambria Math" w:eastAsia="Cambria Math"/>
        </w:rPr>
        <w:t>𝑍</w:t>
        <w:tab/>
      </w:r>
      <w:r>
        <w:rPr/>
        <w:t>=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relative income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his/her</w:t>
      </w:r>
      <w:r>
        <w:rPr>
          <w:spacing w:val="-1"/>
        </w:rPr>
        <w:t> </w:t>
      </w:r>
      <w:r>
        <w:rPr/>
        <w:t>reference group.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360" w:lineRule="auto"/>
        <w:ind w:left="160" w:right="158"/>
        <w:jc w:val="both"/>
      </w:pPr>
      <w:r>
        <w:rPr/>
        <w:t>The</w:t>
      </w:r>
      <w:r>
        <w:rPr>
          <w:spacing w:val="-4"/>
        </w:rPr>
        <w:t> </w:t>
      </w:r>
      <w:r>
        <w:rPr/>
        <w:t>basic</w:t>
      </w:r>
      <w:r>
        <w:rPr>
          <w:spacing w:val="-3"/>
        </w:rPr>
        <w:t> </w:t>
      </w:r>
      <w:r>
        <w:rPr/>
        <w:t>premise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hypothesis</w:t>
      </w:r>
      <w:r>
        <w:rPr>
          <w:spacing w:val="-2"/>
        </w:rPr>
        <w:t> </w:t>
      </w:r>
      <w:r>
        <w:rPr/>
        <w:t>is:</w:t>
      </w:r>
      <w:r>
        <w:rPr>
          <w:spacing w:val="-2"/>
        </w:rPr>
        <w:t> </w:t>
      </w:r>
      <w:r>
        <w:rPr/>
        <w:t>“health</w:t>
      </w:r>
      <w:r>
        <w:rPr>
          <w:spacing w:val="-2"/>
        </w:rPr>
        <w:t> </w:t>
      </w:r>
      <w:r>
        <w:rPr/>
        <w:t>outcomes is</w:t>
      </w:r>
      <w:r>
        <w:rPr>
          <w:spacing w:val="-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by….</w:t>
      </w:r>
      <w:r>
        <w:rPr>
          <w:spacing w:val="-2"/>
        </w:rPr>
        <w:t> </w:t>
      </w:r>
      <w:r>
        <w:rPr/>
        <w:t>economic</w:t>
      </w:r>
      <w:r>
        <w:rPr>
          <w:spacing w:val="-58"/>
        </w:rPr>
        <w:t> </w:t>
      </w:r>
      <w:r>
        <w:rPr/>
        <w:t>differences</w:t>
      </w:r>
      <w:r>
        <w:rPr>
          <w:spacing w:val="-3"/>
        </w:rPr>
        <w:t> </w:t>
      </w:r>
      <w:r>
        <w:rPr/>
        <w:t>among</w:t>
      </w:r>
      <w:r>
        <w:rPr>
          <w:spacing w:val="-4"/>
        </w:rPr>
        <w:t> </w:t>
      </w:r>
      <w:r>
        <w:rPr/>
        <w:t>population”</w:t>
      </w:r>
      <w:r>
        <w:rPr>
          <w:spacing w:val="-1"/>
        </w:rPr>
        <w:t> </w:t>
      </w:r>
      <w:r>
        <w:rPr/>
        <w:t>(Wilkinson,</w:t>
      </w:r>
      <w:r>
        <w:rPr>
          <w:spacing w:val="-4"/>
        </w:rPr>
        <w:t> </w:t>
      </w:r>
      <w:r>
        <w:rPr/>
        <w:t>1992:3).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assertion</w:t>
      </w:r>
      <w:r>
        <w:rPr>
          <w:spacing w:val="-2"/>
        </w:rPr>
        <w:t> </w:t>
      </w:r>
      <w:r>
        <w:rPr/>
        <w:t>implies</w:t>
      </w:r>
      <w:r>
        <w:rPr>
          <w:spacing w:val="-1"/>
        </w:rPr>
        <w:t> </w:t>
      </w:r>
      <w:r>
        <w:rPr/>
        <w:t>that,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magnitude</w:t>
      </w:r>
      <w:r>
        <w:rPr>
          <w:spacing w:val="-2"/>
        </w:rPr>
        <w:t> </w:t>
      </w:r>
      <w:r>
        <w:rPr/>
        <w:t>or</w:t>
      </w:r>
      <w:r>
        <w:rPr>
          <w:spacing w:val="-58"/>
        </w:rPr>
        <w:t> </w:t>
      </w:r>
      <w:r>
        <w:rPr/>
        <w:t>degree of income inequality in the economy can affect health. More so, it is not only the nation’s</w:t>
      </w:r>
      <w:r>
        <w:rPr>
          <w:spacing w:val="1"/>
        </w:rPr>
        <w:t> </w:t>
      </w:r>
      <w:r>
        <w:rPr/>
        <w:t>income inequality that matter, but also the level and magnitude of income disparity in society or</w:t>
      </w:r>
      <w:r>
        <w:rPr>
          <w:spacing w:val="1"/>
        </w:rPr>
        <w:t> </w:t>
      </w:r>
      <w:r>
        <w:rPr/>
        <w:t>group(s)</w:t>
      </w:r>
      <w:r>
        <w:rPr>
          <w:spacing w:val="-3"/>
        </w:rPr>
        <w:t> </w:t>
      </w:r>
      <w:r>
        <w:rPr/>
        <w:t>that people belongs to</w:t>
      </w:r>
      <w:r>
        <w:rPr>
          <w:spacing w:val="-1"/>
        </w:rPr>
        <w:t> </w:t>
      </w:r>
      <w:r>
        <w:rPr/>
        <w:t>(Mellor</w:t>
      </w:r>
      <w:r>
        <w:rPr>
          <w:spacing w:val="1"/>
        </w:rPr>
        <w:t> </w:t>
      </w:r>
      <w:r>
        <w:rPr/>
        <w:t>and Milyo, 2002; Deaton,</w:t>
      </w:r>
      <w:r>
        <w:rPr>
          <w:spacing w:val="-1"/>
        </w:rPr>
        <w:t> </w:t>
      </w:r>
      <w:r>
        <w:rPr/>
        <w:t>2003:121).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280" w:left="1280" w:right="1280"/>
        </w:sectPr>
      </w:pPr>
    </w:p>
    <w:p>
      <w:pPr>
        <w:pStyle w:val="BodyText"/>
        <w:spacing w:line="360" w:lineRule="auto" w:before="73"/>
        <w:ind w:left="160" w:right="170"/>
        <w:jc w:val="both"/>
      </w:pPr>
      <w:r>
        <w:rPr/>
        <w:t>The underlying assumption of the Wilkinson’s idea is that </w:t>
      </w: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depends on the deviation of the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mean income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𝑁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is, 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income:</w:t>
      </w:r>
    </w:p>
    <w:p>
      <w:pPr>
        <w:pStyle w:val="BodyText"/>
        <w:tabs>
          <w:tab w:pos="6428" w:val="left" w:leader="none"/>
        </w:tabs>
        <w:spacing w:line="282" w:lineRule="exact"/>
        <w:ind w:right="416"/>
        <w:jc w:val="right"/>
      </w:pPr>
      <w:r>
        <w:rPr>
          <w:rFonts w:ascii="Cambria Math" w:hAnsi="Cambria Math" w:eastAsia="Cambria Math"/>
        </w:rPr>
        <w:t>𝑍</w:t>
      </w:r>
      <w:r>
        <w:rPr>
          <w:rFonts w:ascii="Cambria Math" w:hAnsi="Cambria Math" w:eastAsia="Cambria Math"/>
          <w:spacing w:val="1"/>
        </w:rPr>
        <w:t> </w:t>
      </w:r>
      <w:r>
        <w:rPr/>
        <w:t>=</w:t>
      </w:r>
      <w:r>
        <w:rPr>
          <w:spacing w:val="-14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vertAlign w:val="subscript"/>
        </w:rPr>
        <w:t>𝑁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position w:val="1"/>
          <w:vertAlign w:val="baseline"/>
        </w:rPr>
        <w:t>)</w:t>
        <w:tab/>
      </w:r>
      <w:r>
        <w:rPr>
          <w:vertAlign w:val="baseline"/>
        </w:rPr>
        <w:t>(4.2)</w:t>
      </w:r>
    </w:p>
    <w:p>
      <w:pPr>
        <w:pStyle w:val="BodyText"/>
        <w:spacing w:line="357" w:lineRule="auto" w:before="141"/>
        <w:ind w:left="160" w:right="152"/>
        <w:jc w:val="both"/>
      </w:pPr>
      <w:r>
        <w:rPr/>
        <w:t>where</w:t>
      </w:r>
      <w:r>
        <w:rPr>
          <w:spacing w:val="-3"/>
        </w:rPr>
        <w:t>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vertAlign w:val="subscript"/>
        </w:rPr>
        <w:t>𝑁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-3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2"/>
          <w:vertAlign w:val="baseline"/>
        </w:rPr>
        <w:t> </w:t>
      </w:r>
      <w:r>
        <w:rPr>
          <w:vertAlign w:val="baseline"/>
        </w:rPr>
        <w:t>earned</w:t>
      </w:r>
      <w:r>
        <w:rPr>
          <w:spacing w:val="-2"/>
          <w:vertAlign w:val="baseline"/>
        </w:rPr>
        <w:t> </w:t>
      </w:r>
      <w:r>
        <w:rPr>
          <w:vertAlign w:val="baseline"/>
        </w:rPr>
        <w:t>per</w:t>
      </w:r>
      <w:r>
        <w:rPr>
          <w:spacing w:val="-3"/>
          <w:vertAlign w:val="baseline"/>
        </w:rPr>
        <w:t> </w:t>
      </w:r>
      <w:r>
        <w:rPr>
          <w:vertAlign w:val="baseline"/>
        </w:rPr>
        <w:t>person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vertAlign w:val="baseline"/>
        </w:rPr>
        <w:t>given</w:t>
      </w:r>
      <w:r>
        <w:rPr>
          <w:spacing w:val="-2"/>
          <w:vertAlign w:val="baseline"/>
        </w:rPr>
        <w:t> </w:t>
      </w:r>
      <w:r>
        <w:rPr>
          <w:vertAlign w:val="baseline"/>
        </w:rPr>
        <w:t>area</w:t>
      </w:r>
      <w:r>
        <w:rPr>
          <w:spacing w:val="-3"/>
          <w:vertAlign w:val="baseline"/>
        </w:rPr>
        <w:t> </w:t>
      </w:r>
      <w:r>
        <w:rPr>
          <w:vertAlign w:val="baseline"/>
        </w:rPr>
        <w:t>(group,</w:t>
      </w:r>
      <w:r>
        <w:rPr>
          <w:spacing w:val="-3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7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country),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particular period. It is calculated by dividing the area’s total income by its population </w:t>
      </w:r>
      <w:r>
        <w:rPr>
          <w:b/>
          <w:i/>
          <w:vertAlign w:val="baseline"/>
        </w:rPr>
        <w:t>N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If every</w:t>
      </w:r>
      <w:r>
        <w:rPr>
          <w:spacing w:val="-57"/>
          <w:vertAlign w:val="baseline"/>
        </w:rPr>
        <w:t> </w:t>
      </w:r>
      <w:r>
        <w:rPr>
          <w:vertAlign w:val="baseline"/>
        </w:rPr>
        <w:t>household in a group apart from one (say, P) sees their income rising, Equation 4.2 implies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𝑁</w:t>
      </w:r>
      <w:r>
        <w:rPr>
          <w:rFonts w:ascii="Cambria Math" w:hAnsi="Cambria Math" w:eastAsia="Cambria Math"/>
          <w:vertAlign w:val="baseline"/>
        </w:rPr>
        <w:t> − 𝑌</w:t>
      </w:r>
      <w:r>
        <w:rPr>
          <w:rFonts w:ascii="Cambria Math" w:hAnsi="Cambria Math" w:eastAsia="Cambria Math"/>
          <w:vertAlign w:val="subscript"/>
        </w:rPr>
        <w:t>𝑃</w:t>
      </w:r>
      <w:r>
        <w:rPr>
          <w:rFonts w:ascii="Cambria Math" w:hAnsi="Cambria Math" w:eastAsia="Cambria Math"/>
          <w:position w:val="1"/>
          <w:vertAlign w:val="baseline"/>
        </w:rPr>
        <w:t>) </w:t>
      </w:r>
      <w:r>
        <w:rPr>
          <w:vertAlign w:val="baseline"/>
        </w:rPr>
        <w:t>will be positive (and vice-visa, if otherwise). As a result of this, the health status of</w:t>
      </w:r>
      <w:r>
        <w:rPr>
          <w:spacing w:val="-58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baseline"/>
        </w:rPr>
        <w:t>’s household (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𝑃</w:t>
      </w:r>
      <w:r>
        <w:rPr>
          <w:vertAlign w:val="baseline"/>
        </w:rPr>
        <w:t>) will worsen relatively</w:t>
      </w:r>
      <w:r>
        <w:rPr>
          <w:spacing w:val="-5"/>
          <w:vertAlign w:val="baseline"/>
        </w:rPr>
        <w:t> </w:t>
      </w:r>
      <w:r>
        <w:rPr>
          <w:vertAlign w:val="baseline"/>
        </w:rPr>
        <w:t>(see Wagstaff and van Doorslaer, 2000:546).</w:t>
      </w:r>
    </w:p>
    <w:p>
      <w:pPr>
        <w:pStyle w:val="BodyText"/>
        <w:spacing w:line="360" w:lineRule="auto" w:before="235"/>
        <w:ind w:left="160" w:right="159"/>
        <w:jc w:val="both"/>
      </w:pPr>
      <w:r>
        <w:rPr>
          <w:spacing w:val="-1"/>
        </w:rPr>
        <w:t>Wilkinson</w:t>
      </w:r>
      <w:r>
        <w:rPr>
          <w:spacing w:val="-12"/>
        </w:rPr>
        <w:t> </w:t>
      </w:r>
      <w:r>
        <w:rPr/>
        <w:t>(1996:4)</w:t>
      </w:r>
      <w:r>
        <w:rPr>
          <w:spacing w:val="-12"/>
        </w:rPr>
        <w:t> </w:t>
      </w:r>
      <w:r>
        <w:rPr/>
        <w:t>postulated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inequality-health</w:t>
      </w:r>
      <w:r>
        <w:rPr>
          <w:spacing w:val="-11"/>
        </w:rPr>
        <w:t> </w:t>
      </w:r>
      <w:r>
        <w:rPr/>
        <w:t>link</w:t>
      </w:r>
      <w:r>
        <w:rPr>
          <w:spacing w:val="-12"/>
        </w:rPr>
        <w:t> </w:t>
      </w:r>
      <w:r>
        <w:rPr/>
        <w:t>closely</w:t>
      </w:r>
      <w:r>
        <w:rPr>
          <w:spacing w:val="-14"/>
        </w:rPr>
        <w:t> </w:t>
      </w:r>
      <w:r>
        <w:rPr/>
        <w:t>associated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social</w:t>
      </w:r>
      <w:r>
        <w:rPr>
          <w:spacing w:val="-57"/>
        </w:rPr>
        <w:t> </w:t>
      </w:r>
      <w:r>
        <w:rPr/>
        <w:t>comparison in a group – </w:t>
      </w:r>
      <w:r>
        <w:rPr>
          <w:i/>
        </w:rPr>
        <w:t>people like me</w:t>
      </w:r>
      <w:r>
        <w:rPr/>
        <w:t>. This means there is frequent comparison among people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same</w:t>
      </w:r>
      <w:r>
        <w:rPr>
          <w:spacing w:val="-16"/>
        </w:rPr>
        <w:t> </w:t>
      </w:r>
      <w:r>
        <w:rPr/>
        <w:t>age,</w:t>
      </w:r>
      <w:r>
        <w:rPr>
          <w:spacing w:val="-15"/>
        </w:rPr>
        <w:t> </w:t>
      </w:r>
      <w:r>
        <w:rPr/>
        <w:t>income,</w:t>
      </w:r>
      <w:r>
        <w:rPr>
          <w:spacing w:val="-12"/>
        </w:rPr>
        <w:t> </w:t>
      </w:r>
      <w:r>
        <w:rPr/>
        <w:t>social</w:t>
      </w:r>
      <w:r>
        <w:rPr>
          <w:spacing w:val="-15"/>
        </w:rPr>
        <w:t> </w:t>
      </w:r>
      <w:r>
        <w:rPr/>
        <w:t>class,</w:t>
      </w:r>
      <w:r>
        <w:rPr>
          <w:spacing w:val="-12"/>
        </w:rPr>
        <w:t> </w:t>
      </w:r>
      <w:r>
        <w:rPr/>
        <w:t>education</w:t>
      </w:r>
      <w:r>
        <w:rPr>
          <w:spacing w:val="-15"/>
        </w:rPr>
        <w:t> </w:t>
      </w:r>
      <w:r>
        <w:rPr/>
        <w:t>or</w:t>
      </w:r>
      <w:r>
        <w:rPr>
          <w:spacing w:val="-12"/>
        </w:rPr>
        <w:t> </w:t>
      </w:r>
      <w:r>
        <w:rPr/>
        <w:t>group.</w:t>
      </w:r>
      <w:r>
        <w:rPr>
          <w:spacing w:val="-13"/>
        </w:rPr>
        <w:t> </w:t>
      </w:r>
      <w:r>
        <w:rPr/>
        <w:t>For</w:t>
      </w:r>
      <w:r>
        <w:rPr>
          <w:spacing w:val="-16"/>
        </w:rPr>
        <w:t> </w:t>
      </w:r>
      <w:r>
        <w:rPr/>
        <w:t>instance,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ratio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real</w:t>
      </w:r>
      <w:r>
        <w:rPr>
          <w:spacing w:val="-14"/>
        </w:rPr>
        <w:t> </w:t>
      </w:r>
      <w:r>
        <w:rPr/>
        <w:t>household’s</w:t>
      </w:r>
      <w:r>
        <w:rPr>
          <w:spacing w:val="-57"/>
        </w:rPr>
        <w:t> </w:t>
      </w:r>
      <w:r>
        <w:rPr/>
        <w:t>income</w:t>
      </w:r>
      <w:r>
        <w:rPr>
          <w:spacing w:val="-2"/>
        </w:rPr>
        <w:t> </w:t>
      </w:r>
      <w:r>
        <w:rPr/>
        <w:t>to average</w:t>
      </w:r>
      <w:r>
        <w:rPr>
          <w:spacing w:val="-1"/>
        </w:rPr>
        <w:t> </w:t>
      </w:r>
      <w:r>
        <w:rPr/>
        <w:t>income</w:t>
      </w:r>
      <w:r>
        <w:rPr>
          <w:spacing w:val="-1"/>
        </w:rPr>
        <w:t> </w:t>
      </w:r>
      <w:r>
        <w:rPr/>
        <w:t>in corresponding</w:t>
      </w:r>
      <w:r>
        <w:rPr>
          <w:spacing w:val="-4"/>
        </w:rPr>
        <w:t> </w:t>
      </w:r>
      <w:r>
        <w:rPr/>
        <w:t>social</w:t>
      </w:r>
      <w:r>
        <w:rPr>
          <w:spacing w:val="2"/>
        </w:rPr>
        <w:t> </w:t>
      </w:r>
      <w:r>
        <w:rPr/>
        <w:t>class. He</w:t>
      </w:r>
      <w:r>
        <w:rPr>
          <w:spacing w:val="-2"/>
        </w:rPr>
        <w:t> </w:t>
      </w:r>
      <w:r>
        <w:rPr/>
        <w:t>hypothesized that</w:t>
      </w:r>
      <w:r>
        <w:rPr>
          <w:spacing w:val="-1"/>
        </w:rPr>
        <w:t> </w:t>
      </w:r>
      <w:r>
        <w:rPr/>
        <w:t>when:</w:t>
      </w:r>
    </w:p>
    <w:p>
      <w:pPr>
        <w:tabs>
          <w:tab w:pos="4480" w:val="left" w:leader="none"/>
          <w:tab w:pos="8801" w:val="left" w:leader="none"/>
        </w:tabs>
        <w:spacing w:before="1"/>
        <w:ind w:left="3101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𝑌</w:t>
      </w:r>
      <w:r>
        <w:rPr>
          <w:rFonts w:ascii="Cambria Math" w:hAnsi="Cambria Math" w:eastAsia="Cambria Math"/>
          <w:sz w:val="24"/>
          <w:vertAlign w:val="subscript"/>
        </w:rPr>
        <w:t>𝑁</w:t>
      </w:r>
      <w:r>
        <w:rPr>
          <w:rFonts w:ascii="Cambria Math" w:hAnsi="Cambria Math" w:eastAsia="Cambria Math"/>
          <w:spacing w:val="54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˃</w:t>
      </w:r>
      <w:r>
        <w:rPr>
          <w:rFonts w:ascii="Cambria Math" w:hAnsi="Cambria Math" w:eastAsia="Cambria Math"/>
          <w:spacing w:val="39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𝑌</w:t>
      </w:r>
      <w:r>
        <w:rPr>
          <w:rFonts w:ascii="Cambria Math" w:hAnsi="Cambria Math" w:eastAsia="Cambria Math"/>
          <w:sz w:val="24"/>
          <w:vertAlign w:val="subscript"/>
        </w:rPr>
        <w:t>𝑃</w:t>
      </w:r>
      <w:r>
        <w:rPr>
          <w:rFonts w:ascii="Cambria Math" w:hAnsi="Cambria Math" w:eastAsia="Cambria Math"/>
          <w:sz w:val="24"/>
          <w:vertAlign w:val="baseline"/>
        </w:rPr>
        <w:tab/>
      </w:r>
      <w:r>
        <w:rPr>
          <w:rFonts w:ascii="Cambria Math" w:hAnsi="Cambria Math" w:eastAsia="Cambria Math"/>
          <w:sz w:val="22"/>
          <w:vertAlign w:val="baseline"/>
        </w:rPr>
        <w:t>→</w:t>
      </w:r>
      <w:r>
        <w:rPr>
          <w:rFonts w:ascii="Cambria Math" w:hAnsi="Cambria Math" w:eastAsia="Cambria Math"/>
          <w:spacing w:val="12"/>
          <w:sz w:val="22"/>
          <w:vertAlign w:val="baseline"/>
        </w:rPr>
        <w:t> </w:t>
      </w:r>
      <w:r>
        <w:rPr>
          <w:rFonts w:ascii="Cambria Math" w:hAnsi="Cambria Math" w:eastAsia="Cambria Math"/>
          <w:sz w:val="22"/>
          <w:vertAlign w:val="baseline"/>
        </w:rPr>
        <w:t>𝑤𝑜𝑟𝑠𝑒𝑛</w:t>
      </w:r>
      <w:r>
        <w:rPr>
          <w:rFonts w:ascii="Cambria Math" w:hAnsi="Cambria Math" w:eastAsia="Cambria Math"/>
          <w:spacing w:val="3"/>
          <w:sz w:val="22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𝐻</w:t>
        <w:tab/>
      </w:r>
      <w:r>
        <w:rPr>
          <w:sz w:val="24"/>
          <w:vertAlign w:val="baseline"/>
        </w:rPr>
        <w:t>(4.3)</w:t>
      </w:r>
    </w:p>
    <w:p>
      <w:pPr>
        <w:pStyle w:val="BodyText"/>
        <w:spacing w:line="360" w:lineRule="auto" w:before="181"/>
        <w:ind w:left="160" w:right="155"/>
        <w:jc w:val="both"/>
      </w:pPr>
      <w:r>
        <w:rPr/>
        <w:t>That is, anytime average income in a given group is </w:t>
      </w:r>
      <w:r>
        <w:rPr>
          <w:i/>
        </w:rPr>
        <w:t>greater than </w:t>
      </w:r>
      <w:r>
        <w:rPr/>
        <w:t>that of a particular household</w:t>
      </w:r>
      <w:r>
        <w:rPr>
          <w:spacing w:val="1"/>
        </w:rPr>
        <w:t> </w:t>
      </w:r>
      <w:r>
        <w:rPr/>
        <w:t>(say, </w:t>
      </w:r>
      <w:r>
        <w:rPr>
          <w:i/>
        </w:rPr>
        <w:t>P</w:t>
      </w:r>
      <w:r>
        <w:rPr/>
        <w:t>), </w:t>
      </w:r>
      <w:r>
        <w:rPr>
          <w:i/>
        </w:rPr>
        <w:t>P</w:t>
      </w:r>
      <w:r>
        <w:rPr/>
        <w:t>’s households will experience poor health outcomes. When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vertAlign w:val="subscript"/>
        </w:rPr>
        <w:t>𝑁</w:t>
      </w:r>
      <w:r>
        <w:rPr>
          <w:rFonts w:ascii="Cambria Math" w:hAnsi="Cambria Math" w:eastAsia="Cambria Math"/>
          <w:vertAlign w:val="baseline"/>
        </w:rPr>
        <w:t> ˃ 𝑌</w:t>
      </w:r>
      <w:r>
        <w:rPr>
          <w:rFonts w:ascii="Cambria Math" w:hAnsi="Cambria Math" w:eastAsia="Cambria Math"/>
          <w:vertAlign w:val="subscript"/>
        </w:rPr>
        <w:t>𝑃</w:t>
      </w:r>
      <w:r>
        <w:rPr>
          <w:vertAlign w:val="baseline"/>
        </w:rPr>
        <w:t>, this will result to</w:t>
      </w:r>
      <w:r>
        <w:rPr>
          <w:spacing w:val="1"/>
          <w:vertAlign w:val="baseline"/>
        </w:rPr>
        <w:t> </w:t>
      </w:r>
      <w:r>
        <w:rPr>
          <w:vertAlign w:val="baseline"/>
        </w:rPr>
        <w:t>invidious processes of comparison that enforce social strata or hierarchy. This rises competition,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long working hours, and debt burden leading to low immunological resistance to certain diseases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limit health (Lynch </w:t>
      </w:r>
      <w:r>
        <w:rPr>
          <w:i/>
          <w:vertAlign w:val="baseline"/>
        </w:rPr>
        <w:t>et al., </w:t>
      </w:r>
      <w:r>
        <w:rPr>
          <w:vertAlign w:val="baseline"/>
        </w:rPr>
        <w:t>2004; Massa </w:t>
      </w:r>
      <w:r>
        <w:rPr>
          <w:i/>
          <w:vertAlign w:val="baseline"/>
        </w:rPr>
        <w:t>et al. </w:t>
      </w:r>
      <w:r>
        <w:rPr>
          <w:vertAlign w:val="baseline"/>
        </w:rPr>
        <w:t>2018). It further implies that citizens with lower</w:t>
      </w:r>
      <w:r>
        <w:rPr>
          <w:spacing w:val="-58"/>
          <w:vertAlign w:val="baseline"/>
        </w:rPr>
        <w:t> </w:t>
      </w:r>
      <w:r>
        <w:rPr>
          <w:vertAlign w:val="baseline"/>
        </w:rPr>
        <w:t>income will be exposed to competition and stressful situations, then depression, frustration; and</w:t>
      </w:r>
      <w:r>
        <w:rPr>
          <w:spacing w:val="1"/>
          <w:vertAlign w:val="baseline"/>
        </w:rPr>
        <w:t> </w:t>
      </w:r>
      <w:r>
        <w:rPr>
          <w:vertAlign w:val="baseline"/>
        </w:rPr>
        <w:t>finally, poor health outcomes sets in (Singh </w:t>
      </w:r>
      <w:r>
        <w:rPr>
          <w:i/>
          <w:vertAlign w:val="baseline"/>
        </w:rPr>
        <w:t>et al. </w:t>
      </w:r>
      <w:r>
        <w:rPr>
          <w:vertAlign w:val="baseline"/>
        </w:rPr>
        <w:t>2018). As Mullahy </w:t>
      </w:r>
      <w:r>
        <w:rPr>
          <w:i/>
          <w:vertAlign w:val="baseline"/>
        </w:rPr>
        <w:t>et al. </w:t>
      </w:r>
      <w:r>
        <w:rPr>
          <w:vertAlign w:val="baseline"/>
        </w:rPr>
        <w:t>(2004) explains, 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perceptions of being relatively deprived and “to keep up with the Joneses</w:t>
      </w:r>
      <w:r>
        <w:rPr>
          <w:i/>
          <w:vertAlign w:val="baseline"/>
        </w:rPr>
        <w:t>” </w:t>
      </w:r>
      <w:r>
        <w:rPr>
          <w:vertAlign w:val="baseline"/>
        </w:rPr>
        <w:t>may perpetuate stress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illnesses. On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hand, when:</w:t>
      </w:r>
    </w:p>
    <w:p>
      <w:pPr>
        <w:tabs>
          <w:tab w:pos="1439" w:val="left" w:leader="none"/>
          <w:tab w:pos="5760" w:val="left" w:leader="none"/>
        </w:tabs>
        <w:spacing w:line="281" w:lineRule="exact" w:before="0"/>
        <w:ind w:left="0" w:right="416" w:firstLine="0"/>
        <w:jc w:val="right"/>
        <w:rPr>
          <w:sz w:val="24"/>
        </w:rPr>
      </w:pPr>
      <w:r>
        <w:rPr>
          <w:rFonts w:ascii="Cambria Math" w:hAnsi="Cambria Math" w:eastAsia="Cambria Math"/>
          <w:sz w:val="24"/>
        </w:rPr>
        <w:t>𝑌</w:t>
      </w:r>
      <w:r>
        <w:rPr>
          <w:rFonts w:ascii="Cambria Math" w:hAnsi="Cambria Math" w:eastAsia="Cambria Math"/>
          <w:sz w:val="24"/>
          <w:vertAlign w:val="subscript"/>
        </w:rPr>
        <w:t>𝑁</w:t>
      </w:r>
      <w:r>
        <w:rPr>
          <w:rFonts w:ascii="Cambria Math" w:hAnsi="Cambria Math" w:eastAsia="Cambria Math"/>
          <w:spacing w:val="56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&lt;</w:t>
      </w:r>
      <w:r>
        <w:rPr>
          <w:rFonts w:ascii="Cambria Math" w:hAnsi="Cambria Math" w:eastAsia="Cambria Math"/>
          <w:spacing w:val="99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𝑌</w:t>
      </w:r>
      <w:r>
        <w:rPr>
          <w:rFonts w:ascii="Cambria Math" w:hAnsi="Cambria Math" w:eastAsia="Cambria Math"/>
          <w:sz w:val="24"/>
          <w:vertAlign w:val="subscript"/>
        </w:rPr>
        <w:t>𝑅</w:t>
      </w:r>
      <w:r>
        <w:rPr>
          <w:rFonts w:ascii="Cambria Math" w:hAnsi="Cambria Math" w:eastAsia="Cambria Math"/>
          <w:sz w:val="24"/>
          <w:vertAlign w:val="baseline"/>
        </w:rPr>
        <w:tab/>
      </w:r>
      <w:r>
        <w:rPr>
          <w:rFonts w:ascii="Cambria Math" w:hAnsi="Cambria Math" w:eastAsia="Cambria Math"/>
          <w:sz w:val="22"/>
          <w:vertAlign w:val="baseline"/>
        </w:rPr>
        <w:t>→</w:t>
      </w:r>
      <w:r>
        <w:rPr>
          <w:rFonts w:ascii="Cambria Math" w:hAnsi="Cambria Math" w:eastAsia="Cambria Math"/>
          <w:spacing w:val="12"/>
          <w:sz w:val="22"/>
          <w:vertAlign w:val="baseline"/>
        </w:rPr>
        <w:t> </w:t>
      </w:r>
      <w:r>
        <w:rPr>
          <w:rFonts w:ascii="Cambria Math" w:hAnsi="Cambria Math" w:eastAsia="Cambria Math"/>
          <w:sz w:val="22"/>
          <w:vertAlign w:val="baseline"/>
        </w:rPr>
        <w:t>𝑤𝑜𝑟𝑠𝑒𝑛</w:t>
      </w:r>
      <w:r>
        <w:rPr>
          <w:rFonts w:ascii="Cambria Math" w:hAnsi="Cambria Math" w:eastAsia="Cambria Math"/>
          <w:spacing w:val="4"/>
          <w:sz w:val="22"/>
          <w:vertAlign w:val="baseline"/>
        </w:rPr>
        <w:t> </w:t>
      </w:r>
      <w:r>
        <w:rPr>
          <w:rFonts w:ascii="Cambria Math" w:hAnsi="Cambria Math" w:eastAsia="Cambria Math"/>
          <w:sz w:val="22"/>
          <w:vertAlign w:val="baseline"/>
        </w:rPr>
        <w:t>𝐻</w:t>
        <w:tab/>
      </w:r>
      <w:r>
        <w:rPr>
          <w:sz w:val="24"/>
          <w:vertAlign w:val="baseline"/>
        </w:rPr>
        <w:t>(4.4)</w:t>
      </w:r>
    </w:p>
    <w:p>
      <w:pPr>
        <w:pStyle w:val="BodyText"/>
        <w:spacing w:line="360" w:lineRule="auto" w:before="143"/>
        <w:ind w:left="160" w:right="155"/>
        <w:jc w:val="both"/>
      </w:pPr>
      <w:r>
        <w:rPr/>
        <w:t>If average income in a given group is </w:t>
      </w:r>
      <w:r>
        <w:rPr>
          <w:i/>
        </w:rPr>
        <w:t>less than </w:t>
      </w:r>
      <w:r>
        <w:rPr/>
        <w:t>that of a household (say, </w:t>
      </w:r>
      <w:r>
        <w:rPr>
          <w:i/>
        </w:rPr>
        <w:t>R</w:t>
      </w:r>
      <w:r>
        <w:rPr/>
        <w:t>), </w:t>
      </w:r>
      <w:r>
        <w:rPr>
          <w:i/>
        </w:rPr>
        <w:t>R</w:t>
      </w:r>
      <w:r>
        <w:rPr/>
        <w:t>’s households will</w:t>
      </w:r>
      <w:r>
        <w:rPr>
          <w:spacing w:val="1"/>
        </w:rPr>
        <w:t> </w:t>
      </w:r>
      <w:r>
        <w:rPr/>
        <w:t>experience</w:t>
      </w:r>
      <w:r>
        <w:rPr>
          <w:spacing w:val="-9"/>
        </w:rPr>
        <w:t> </w:t>
      </w:r>
      <w:r>
        <w:rPr/>
        <w:t>poor</w:t>
      </w:r>
      <w:r>
        <w:rPr>
          <w:spacing w:val="-7"/>
        </w:rPr>
        <w:t> </w:t>
      </w:r>
      <w:r>
        <w:rPr/>
        <w:t>health</w:t>
      </w:r>
      <w:r>
        <w:rPr>
          <w:spacing w:val="-8"/>
        </w:rPr>
        <w:t> </w:t>
      </w:r>
      <w:r>
        <w:rPr/>
        <w:t>outcomes.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implies</w:t>
      </w:r>
      <w:r>
        <w:rPr>
          <w:spacing w:val="-8"/>
        </w:rPr>
        <w:t> </w:t>
      </w:r>
      <w:r>
        <w:rPr/>
        <w:t>that,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more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vertAlign w:val="subscript"/>
        </w:rPr>
        <w:t>𝑁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&lt;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𝑅</w:t>
      </w:r>
      <w:r>
        <w:rPr>
          <w:vertAlign w:val="baseline"/>
        </w:rPr>
        <w:t>,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higher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positions</w:t>
      </w:r>
      <w:r>
        <w:rPr>
          <w:spacing w:val="-58"/>
          <w:vertAlign w:val="baseline"/>
        </w:rPr>
        <w:t> </w:t>
      </w:r>
      <w:r>
        <w:rPr>
          <w:vertAlign w:val="baseline"/>
        </w:rPr>
        <w:t>of </w:t>
      </w:r>
      <w:r>
        <w:rPr>
          <w:i/>
          <w:vertAlign w:val="baseline"/>
        </w:rPr>
        <w:t>R </w:t>
      </w:r>
      <w:r>
        <w:rPr>
          <w:vertAlign w:val="baseline"/>
        </w:rPr>
        <w:t>in the social strata. It can lead to social dysfunctions (theft, crime, violence and kidnapping).</w:t>
      </w:r>
      <w:r>
        <w:rPr>
          <w:spacing w:val="-57"/>
          <w:vertAlign w:val="baseline"/>
        </w:rPr>
        <w:t> </w:t>
      </w:r>
      <w:r>
        <w:rPr>
          <w:vertAlign w:val="baseline"/>
        </w:rPr>
        <w:t>This</w:t>
      </w:r>
      <w:r>
        <w:rPr>
          <w:spacing w:val="-7"/>
          <w:vertAlign w:val="baseline"/>
        </w:rPr>
        <w:t> </w:t>
      </w:r>
      <w:r>
        <w:rPr>
          <w:vertAlign w:val="baseline"/>
        </w:rPr>
        <w:t>intensify</w:t>
      </w:r>
      <w:r>
        <w:rPr>
          <w:spacing w:val="-10"/>
          <w:vertAlign w:val="baseline"/>
        </w:rPr>
        <w:t> </w:t>
      </w:r>
      <w:r>
        <w:rPr>
          <w:vertAlign w:val="baseline"/>
        </w:rPr>
        <w:t>fear,</w:t>
      </w:r>
      <w:r>
        <w:rPr>
          <w:spacing w:val="-6"/>
          <w:vertAlign w:val="baseline"/>
        </w:rPr>
        <w:t> </w:t>
      </w:r>
      <w:r>
        <w:rPr>
          <w:vertAlign w:val="baseline"/>
        </w:rPr>
        <w:t>shock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feeling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insecurity</w:t>
      </w:r>
      <w:r>
        <w:rPr>
          <w:spacing w:val="-10"/>
          <w:vertAlign w:val="baseline"/>
        </w:rPr>
        <w:t> </w:t>
      </w:r>
      <w:r>
        <w:rPr>
          <w:vertAlign w:val="baseline"/>
        </w:rPr>
        <w:t>which</w:t>
      </w:r>
      <w:r>
        <w:rPr>
          <w:spacing w:val="-8"/>
          <w:vertAlign w:val="baseline"/>
        </w:rPr>
        <w:t> </w:t>
      </w:r>
      <w:r>
        <w:rPr>
          <w:vertAlign w:val="baseline"/>
        </w:rPr>
        <w:t>transcends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poor</w:t>
      </w:r>
      <w:r>
        <w:rPr>
          <w:spacing w:val="-4"/>
          <w:vertAlign w:val="baseline"/>
        </w:rPr>
        <w:t> </w:t>
      </w:r>
      <w:r>
        <w:rPr>
          <w:vertAlign w:val="baseline"/>
        </w:rPr>
        <w:t>health,</w:t>
      </w:r>
      <w:r>
        <w:rPr>
          <w:spacing w:val="-8"/>
          <w:vertAlign w:val="baseline"/>
        </w:rPr>
        <w:t> </w:t>
      </w:r>
      <w:r>
        <w:rPr>
          <w:vertAlign w:val="baseline"/>
        </w:rPr>
        <w:t>such</w:t>
      </w:r>
      <w:r>
        <w:rPr>
          <w:spacing w:val="-6"/>
          <w:vertAlign w:val="baseline"/>
        </w:rPr>
        <w:t> </w:t>
      </w:r>
      <w:r>
        <w:rPr>
          <w:vertAlign w:val="baseline"/>
        </w:rPr>
        <w:t>as,</w:t>
      </w:r>
      <w:r>
        <w:rPr>
          <w:spacing w:val="-7"/>
          <w:vertAlign w:val="baseline"/>
        </w:rPr>
        <w:t> </w:t>
      </w:r>
      <w:r>
        <w:rPr>
          <w:vertAlign w:val="baseline"/>
        </w:rPr>
        <w:t>heart-</w:t>
      </w:r>
      <w:r>
        <w:rPr>
          <w:spacing w:val="-57"/>
          <w:vertAlign w:val="baseline"/>
        </w:rPr>
        <w:t> </w:t>
      </w:r>
      <w:r>
        <w:rPr>
          <w:vertAlign w:val="baseline"/>
        </w:rPr>
        <w:t>attack,</w:t>
      </w:r>
      <w:r>
        <w:rPr>
          <w:spacing w:val="-12"/>
          <w:vertAlign w:val="baseline"/>
        </w:rPr>
        <w:t> </w:t>
      </w:r>
      <w:r>
        <w:rPr>
          <w:vertAlign w:val="baseline"/>
        </w:rPr>
        <w:t>strokes,</w:t>
      </w:r>
      <w:r>
        <w:rPr>
          <w:spacing w:val="-11"/>
          <w:vertAlign w:val="baseline"/>
        </w:rPr>
        <w:t> </w:t>
      </w:r>
      <w:r>
        <w:rPr>
          <w:vertAlign w:val="baseline"/>
        </w:rPr>
        <w:t>hypertension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high-blood</w:t>
      </w:r>
      <w:r>
        <w:rPr>
          <w:spacing w:val="-11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-13"/>
          <w:vertAlign w:val="baseline"/>
        </w:rPr>
        <w:t> </w:t>
      </w:r>
      <w:r>
        <w:rPr>
          <w:vertAlign w:val="baseline"/>
        </w:rPr>
        <w:t>for</w:t>
      </w:r>
      <w:r>
        <w:rPr>
          <w:spacing w:val="-12"/>
          <w:vertAlign w:val="baseline"/>
        </w:rPr>
        <w:t> </w:t>
      </w:r>
      <w:r>
        <w:rPr>
          <w:i/>
          <w:vertAlign w:val="baseline"/>
        </w:rPr>
        <w:t>R</w:t>
      </w:r>
      <w:r>
        <w:rPr>
          <w:i/>
          <w:spacing w:val="-11"/>
          <w:vertAlign w:val="baseline"/>
        </w:rPr>
        <w:t> </w:t>
      </w:r>
      <w:r>
        <w:rPr>
          <w:vertAlign w:val="baseline"/>
        </w:rPr>
        <w:t>(Kawachi</w:t>
      </w:r>
      <w:r>
        <w:rPr>
          <w:spacing w:val="-10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1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-11"/>
          <w:vertAlign w:val="baseline"/>
        </w:rPr>
        <w:t> </w:t>
      </w:r>
      <w:r>
        <w:rPr>
          <w:vertAlign w:val="baseline"/>
        </w:rPr>
        <w:t>1997;</w:t>
      </w:r>
      <w:r>
        <w:rPr>
          <w:spacing w:val="-11"/>
          <w:vertAlign w:val="baseline"/>
        </w:rPr>
        <w:t> </w:t>
      </w:r>
      <w:r>
        <w:rPr>
          <w:vertAlign w:val="baseline"/>
        </w:rPr>
        <w:t>Tan</w:t>
      </w:r>
      <w:r>
        <w:rPr>
          <w:spacing w:val="-10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11"/>
          <w:vertAlign w:val="baseline"/>
        </w:rPr>
        <w:t> </w:t>
      </w:r>
      <w:r>
        <w:rPr>
          <w:vertAlign w:val="baseline"/>
        </w:rPr>
        <w:t>2018).</w:t>
      </w:r>
      <w:r>
        <w:rPr>
          <w:spacing w:val="-58"/>
          <w:vertAlign w:val="baseline"/>
        </w:rPr>
        <w:t> </w:t>
      </w:r>
      <w:r>
        <w:rPr>
          <w:vertAlign w:val="baseline"/>
        </w:rPr>
        <w:t>Both Equations (4.3) and (4.4) hold for all citizens whether they live in developed or emerging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nations,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wherever they</w:t>
      </w:r>
      <w:r>
        <w:rPr>
          <w:spacing w:val="-4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epidemiological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transition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-1"/>
          <w:vertAlign w:val="baseline"/>
        </w:rPr>
        <w:t> </w:t>
      </w:r>
      <w:r>
        <w:rPr>
          <w:vertAlign w:val="baseline"/>
        </w:rPr>
        <w:t>(Deaton,</w:t>
      </w:r>
      <w:r>
        <w:rPr>
          <w:spacing w:val="-1"/>
          <w:vertAlign w:val="baseline"/>
        </w:rPr>
        <w:t> </w:t>
      </w:r>
      <w:r>
        <w:rPr>
          <w:vertAlign w:val="baseline"/>
        </w:rPr>
        <w:t>2003:121).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6"/>
        <w:jc w:val="both"/>
      </w:pPr>
      <w:r>
        <w:rPr/>
        <w:t>In general, rising income inequality concerns stress, social comparison, frustration, fear, debt</w:t>
      </w:r>
      <w:r>
        <w:rPr>
          <w:spacing w:val="1"/>
        </w:rPr>
        <w:t> </w:t>
      </w:r>
      <w:r>
        <w:rPr/>
        <w:t>burden, insecurity and high rate of crimes. These flows through and within every strata in every</w:t>
      </w:r>
      <w:r>
        <w:rPr>
          <w:spacing w:val="1"/>
        </w:rPr>
        <w:t> </w:t>
      </w:r>
      <w:r>
        <w:rPr/>
        <w:t>economy</w:t>
      </w:r>
      <w:r>
        <w:rPr>
          <w:spacing w:val="-6"/>
        </w:rPr>
        <w:t> </w:t>
      </w:r>
      <w:r>
        <w:rPr/>
        <w:t>(Pickett and</w:t>
      </w:r>
      <w:r>
        <w:rPr>
          <w:spacing w:val="-1"/>
        </w:rPr>
        <w:t> </w:t>
      </w:r>
      <w:r>
        <w:rPr/>
        <w:t>Wilkinson, 2015).</w:t>
      </w:r>
      <w:r>
        <w:rPr>
          <w:spacing w:val="2"/>
        </w:rPr>
        <w:t> </w:t>
      </w:r>
      <w:r>
        <w:rPr/>
        <w:t>Hence,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Wilkinson’s</w:t>
      </w:r>
      <w:r>
        <w:rPr>
          <w:spacing w:val="-1"/>
        </w:rPr>
        <w:t> </w:t>
      </w:r>
      <w:r>
        <w:rPr/>
        <w:t>hypothesis</w:t>
      </w:r>
      <w:r>
        <w:rPr>
          <w:spacing w:val="2"/>
        </w:rPr>
        <w:t> </w:t>
      </w:r>
      <w:r>
        <w:rPr/>
        <w:t>implies;</w:t>
      </w:r>
    </w:p>
    <w:p>
      <w:pPr>
        <w:pStyle w:val="BodyText"/>
        <w:tabs>
          <w:tab w:pos="6481" w:val="left" w:leader="none"/>
        </w:tabs>
        <w:spacing w:line="281" w:lineRule="exact"/>
        <w:ind w:right="416"/>
        <w:jc w:val="right"/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𝑓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</w:t>
      </w:r>
      <w:r>
        <w:rPr>
          <w:rFonts w:ascii="Cambria Math" w:hAnsi="Cambria Math" w:eastAsia="Cambria Math"/>
          <w:position w:val="1"/>
          <w:vertAlign w:val="baseline"/>
        </w:rPr>
        <w:t>)</w:t>
        <w:tab/>
      </w:r>
      <w:r>
        <w:rPr>
          <w:vertAlign w:val="baseline"/>
        </w:rPr>
        <w:t>(4.5)</w:t>
      </w:r>
    </w:p>
    <w:p>
      <w:pPr>
        <w:pStyle w:val="BodyText"/>
        <w:spacing w:line="357" w:lineRule="auto" w:before="182"/>
        <w:ind w:left="160" w:right="160"/>
        <w:jc w:val="both"/>
      </w:pPr>
      <w:r>
        <w:rPr/>
        <w:t>The subscript </w:t>
      </w:r>
      <w:r>
        <w:rPr>
          <w:rFonts w:ascii="Cambria Math" w:hAnsi="Cambria Math" w:eastAsia="Cambria Math"/>
        </w:rPr>
        <w:t>ℎ </w:t>
      </w:r>
      <w:r>
        <w:rPr/>
        <w:t>denotes household identity </w:t>
      </w:r>
      <w:r>
        <w:rPr>
          <w:i/>
        </w:rPr>
        <w:t>h </w:t>
      </w:r>
      <w:r>
        <w:rPr/>
        <w:t>ranges from </w:t>
      </w:r>
      <w:r>
        <w:rPr>
          <w:i/>
        </w:rPr>
        <w:t>1, 2, 3, ..., N</w:t>
      </w:r>
      <w:r>
        <w:rPr/>
        <w:t>, in the economy. Notably,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(4.5)</w:t>
      </w:r>
      <w:r>
        <w:rPr>
          <w:spacing w:val="-2"/>
        </w:rPr>
        <w:t> </w:t>
      </w:r>
      <w:r>
        <w:rPr/>
        <w:t>posits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vertAlign w:val="baseline"/>
        </w:rPr>
        <w:t>directly</w:t>
      </w:r>
      <w:r>
        <w:rPr>
          <w:spacing w:val="-7"/>
          <w:vertAlign w:val="baseline"/>
        </w:rPr>
        <w:t> </w:t>
      </w:r>
      <w:r>
        <w:rPr>
          <w:vertAlign w:val="baseline"/>
        </w:rPr>
        <w:t>affects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vertAlign w:val="baseline"/>
        </w:rPr>
        <w:t>(see</w:t>
      </w:r>
      <w:r>
        <w:rPr>
          <w:spacing w:val="-2"/>
          <w:vertAlign w:val="baseline"/>
        </w:rPr>
        <w:t> </w:t>
      </w:r>
      <w:r>
        <w:rPr>
          <w:vertAlign w:val="baseline"/>
        </w:rPr>
        <w:t>Wilkinson,</w:t>
      </w:r>
      <w:r>
        <w:rPr>
          <w:spacing w:val="-2"/>
          <w:vertAlign w:val="baseline"/>
        </w:rPr>
        <w:t> </w:t>
      </w:r>
      <w:r>
        <w:rPr>
          <w:vertAlign w:val="baseline"/>
        </w:rPr>
        <w:t>1992,</w:t>
      </w:r>
      <w:r>
        <w:rPr>
          <w:spacing w:val="-1"/>
          <w:vertAlign w:val="baseline"/>
        </w:rPr>
        <w:t> </w:t>
      </w:r>
      <w:r>
        <w:rPr>
          <w:vertAlign w:val="baseline"/>
        </w:rPr>
        <w:t>1994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1996).</w:t>
      </w:r>
    </w:p>
    <w:p>
      <w:pPr>
        <w:pStyle w:val="BodyText"/>
        <w:spacing w:line="360" w:lineRule="auto" w:before="236"/>
        <w:ind w:left="160" w:right="155"/>
        <w:jc w:val="both"/>
      </w:pPr>
      <w:r>
        <w:rPr>
          <w:spacing w:val="-1"/>
        </w:rPr>
        <w:t>Taken</w:t>
      </w:r>
      <w:r>
        <w:rPr>
          <w:spacing w:val="-13"/>
        </w:rPr>
        <w:t> </w:t>
      </w:r>
      <w:r>
        <w:rPr>
          <w:spacing w:val="-1"/>
          <w:sz w:val="23"/>
        </w:rPr>
        <w:t>together</w:t>
      </w:r>
      <w:r>
        <w:rPr>
          <w:spacing w:val="-1"/>
        </w:rPr>
        <w:t>,</w:t>
      </w:r>
      <w:r>
        <w:rPr>
          <w:spacing w:val="-13"/>
        </w:rPr>
        <w:t> </w:t>
      </w:r>
      <w:r>
        <w:rPr>
          <w:sz w:val="23"/>
        </w:rPr>
        <w:t>the</w:t>
      </w:r>
      <w:r>
        <w:rPr>
          <w:spacing w:val="-13"/>
          <w:sz w:val="23"/>
        </w:rPr>
        <w:t> </w:t>
      </w:r>
      <w:r>
        <w:rPr>
          <w:sz w:val="23"/>
        </w:rPr>
        <w:t>Wilkinson</w:t>
      </w:r>
      <w:r>
        <w:rPr>
          <w:spacing w:val="-8"/>
          <w:sz w:val="23"/>
        </w:rPr>
        <w:t> </w:t>
      </w:r>
      <w:r>
        <w:rPr/>
        <w:t>approach</w:t>
      </w:r>
      <w:r>
        <w:rPr>
          <w:spacing w:val="-13"/>
        </w:rPr>
        <w:t> </w:t>
      </w:r>
      <w:r>
        <w:rPr>
          <w:sz w:val="23"/>
        </w:rPr>
        <w:t>provides</w:t>
      </w:r>
      <w:r>
        <w:rPr>
          <w:spacing w:val="-11"/>
          <w:sz w:val="23"/>
        </w:rPr>
        <w:t> </w:t>
      </w:r>
      <w:r>
        <w:rPr/>
        <w:t>important</w:t>
      </w:r>
      <w:r>
        <w:rPr>
          <w:spacing w:val="-14"/>
        </w:rPr>
        <w:t> </w:t>
      </w:r>
      <w:r>
        <w:rPr>
          <w:sz w:val="23"/>
        </w:rPr>
        <w:t>insights</w:t>
      </w:r>
      <w:r>
        <w:rPr>
          <w:spacing w:val="-11"/>
          <w:sz w:val="2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income</w:t>
      </w:r>
      <w:r>
        <w:rPr>
          <w:spacing w:val="-14"/>
        </w:rPr>
        <w:t> </w:t>
      </w:r>
      <w:r>
        <w:rPr/>
        <w:t>inequality-health</w:t>
      </w:r>
      <w:r>
        <w:rPr>
          <w:spacing w:val="-58"/>
        </w:rPr>
        <w:t> </w:t>
      </w:r>
      <w:r>
        <w:rPr/>
        <w:t>link. Nevertheless, his perspective assumed household’s factors are given. There is no doubt that</w:t>
      </w:r>
      <w:r>
        <w:rPr>
          <w:spacing w:val="1"/>
        </w:rPr>
        <w:t> </w:t>
      </w:r>
      <w:r>
        <w:rPr/>
        <w:t>income</w:t>
      </w:r>
      <w:r>
        <w:rPr>
          <w:spacing w:val="-10"/>
        </w:rPr>
        <w:t> </w:t>
      </w:r>
      <w:r>
        <w:rPr/>
        <w:t>inequality</w:t>
      </w:r>
      <w:r>
        <w:rPr>
          <w:spacing w:val="-13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these</w:t>
      </w:r>
      <w:r>
        <w:rPr>
          <w:spacing w:val="-10"/>
        </w:rPr>
        <w:t> </w:t>
      </w:r>
      <w:r>
        <w:rPr/>
        <w:t>characteristics,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as,</w:t>
      </w:r>
      <w:r>
        <w:rPr>
          <w:spacing w:val="-8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education,</w:t>
      </w:r>
      <w:r>
        <w:rPr>
          <w:spacing w:val="-9"/>
        </w:rPr>
        <w:t> </w:t>
      </w:r>
      <w:r>
        <w:rPr/>
        <w:t>food/diet,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housing</w:t>
      </w:r>
      <w:r>
        <w:rPr>
          <w:spacing w:val="-58"/>
        </w:rPr>
        <w:t> </w:t>
      </w:r>
      <w:r>
        <w:rPr/>
        <w:t>conditions</w:t>
      </w:r>
      <w:r>
        <w:rPr>
          <w:spacing w:val="-11"/>
        </w:rPr>
        <w:t> </w:t>
      </w:r>
      <w:r>
        <w:rPr/>
        <w:t>exert</w:t>
      </w:r>
      <w:r>
        <w:rPr>
          <w:spacing w:val="-11"/>
        </w:rPr>
        <w:t> </w:t>
      </w:r>
      <w:r>
        <w:rPr/>
        <w:t>considerable</w:t>
      </w:r>
      <w:r>
        <w:rPr>
          <w:spacing w:val="-13"/>
        </w:rPr>
        <w:t> </w:t>
      </w:r>
      <w:r>
        <w:rPr/>
        <w:t>impact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health</w:t>
      </w:r>
      <w:r>
        <w:rPr>
          <w:spacing w:val="-11"/>
        </w:rPr>
        <w:t> </w:t>
      </w:r>
      <w:r>
        <w:rPr/>
        <w:t>(see</w:t>
      </w:r>
      <w:r>
        <w:rPr>
          <w:spacing w:val="-13"/>
        </w:rPr>
        <w:t> </w:t>
      </w:r>
      <w:r>
        <w:rPr/>
        <w:t>Nilsson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Bergh,</w:t>
      </w:r>
      <w:r>
        <w:rPr>
          <w:spacing w:val="-11"/>
        </w:rPr>
        <w:t> </w:t>
      </w:r>
      <w:r>
        <w:rPr/>
        <w:t>2012;</w:t>
      </w:r>
      <w:r>
        <w:rPr>
          <w:spacing w:val="-12"/>
        </w:rPr>
        <w:t> </w:t>
      </w:r>
      <w:r>
        <w:rPr/>
        <w:t>Truesdale,</w:t>
      </w:r>
      <w:r>
        <w:rPr>
          <w:spacing w:val="-12"/>
        </w:rPr>
        <w:t> </w:t>
      </w:r>
      <w:r>
        <w:rPr/>
        <w:t>2016:12).</w:t>
      </w:r>
    </w:p>
    <w:p>
      <w:pPr>
        <w:pStyle w:val="BodyText"/>
        <w:spacing w:line="360" w:lineRule="auto" w:before="231"/>
        <w:ind w:left="160" w:right="156"/>
        <w:jc w:val="both"/>
      </w:pP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  <w:sz w:val="23"/>
        </w:rPr>
        <w:t>essential</w:t>
      </w:r>
      <w:r>
        <w:rPr>
          <w:spacing w:val="-12"/>
          <w:sz w:val="23"/>
        </w:rPr>
        <w:t> </w:t>
      </w:r>
      <w:r>
        <w:rPr>
          <w:sz w:val="23"/>
        </w:rPr>
        <w:t>because</w:t>
      </w:r>
      <w:r>
        <w:rPr/>
        <w:t>,</w:t>
      </w:r>
      <w:r>
        <w:rPr>
          <w:spacing w:val="-12"/>
        </w:rPr>
        <w:t> </w:t>
      </w:r>
      <w:r>
        <w:rPr/>
        <w:t>income</w:t>
      </w:r>
      <w:r>
        <w:rPr>
          <w:spacing w:val="-12"/>
        </w:rPr>
        <w:t> </w:t>
      </w:r>
      <w:r>
        <w:rPr/>
        <w:t>disparity</w:t>
      </w:r>
      <w:r>
        <w:rPr>
          <w:spacing w:val="-17"/>
        </w:rPr>
        <w:t> </w:t>
      </w:r>
      <w:r>
        <w:rPr/>
        <w:t>impact</w:t>
      </w:r>
      <w:r>
        <w:rPr>
          <w:spacing w:val="-12"/>
        </w:rPr>
        <w:t> </w:t>
      </w:r>
      <w:r>
        <w:rPr/>
        <w:t>health</w:t>
      </w:r>
      <w:r>
        <w:rPr>
          <w:spacing w:val="-12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goods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services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people</w:t>
      </w:r>
      <w:r>
        <w:rPr>
          <w:spacing w:val="-58"/>
        </w:rPr>
        <w:t> </w:t>
      </w:r>
      <w:r>
        <w:rPr/>
        <w:t>buy, consume or have access to (Benzeval </w:t>
      </w:r>
      <w:r>
        <w:rPr>
          <w:i/>
        </w:rPr>
        <w:t>et al., </w:t>
      </w:r>
      <w:r>
        <w:rPr/>
        <w:t>2014). In unequal societies, non-availability of</w:t>
      </w:r>
      <w:r>
        <w:rPr>
          <w:spacing w:val="1"/>
        </w:rPr>
        <w:t> </w:t>
      </w:r>
      <w:r>
        <w:rPr/>
        <w:t>these often results to long-working hours, debt burden, stress, anxiety and frustration, which are</w:t>
      </w:r>
      <w:r>
        <w:rPr>
          <w:spacing w:val="1"/>
        </w:rPr>
        <w:t> </w:t>
      </w:r>
      <w:r>
        <w:rPr/>
        <w:t>detrimental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health.</w:t>
      </w:r>
      <w:r>
        <w:rPr>
          <w:spacing w:val="-6"/>
        </w:rPr>
        <w:t> </w:t>
      </w:r>
      <w:r>
        <w:rPr/>
        <w:t>Thus,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11"/>
        </w:rPr>
        <w:t> </w:t>
      </w:r>
      <w:r>
        <w:rPr/>
        <w:t>on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likely</w:t>
      </w:r>
      <w:r>
        <w:rPr>
          <w:spacing w:val="-11"/>
        </w:rPr>
        <w:t> </w:t>
      </w:r>
      <w:r>
        <w:rPr/>
        <w:t>via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household’s</w:t>
      </w:r>
      <w:r>
        <w:rPr>
          <w:spacing w:val="-58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(Nilsson</w:t>
      </w:r>
      <w:r>
        <w:rPr>
          <w:spacing w:val="-1"/>
        </w:rPr>
        <w:t> </w:t>
      </w:r>
      <w:r>
        <w:rPr/>
        <w:t>and Bergh, 2012;</w:t>
      </w:r>
      <w:r>
        <w:rPr>
          <w:spacing w:val="-1"/>
        </w:rPr>
        <w:t> </w:t>
      </w:r>
      <w:r>
        <w:rPr/>
        <w:t>Grossman,</w:t>
      </w:r>
      <w:r>
        <w:rPr>
          <w:spacing w:val="-1"/>
        </w:rPr>
        <w:t> </w:t>
      </w:r>
      <w:r>
        <w:rPr/>
        <w:t>2017).</w:t>
      </w:r>
      <w:r>
        <w:rPr>
          <w:spacing w:val="2"/>
        </w:rPr>
        <w:t> </w:t>
      </w:r>
      <w:r>
        <w:rPr/>
        <w:t>In line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perspective;</w:t>
      </w:r>
    </w:p>
    <w:p>
      <w:pPr>
        <w:pStyle w:val="BodyText"/>
        <w:tabs>
          <w:tab w:pos="7201" w:val="left" w:leader="none"/>
        </w:tabs>
        <w:spacing w:line="279" w:lineRule="exact"/>
        <w:ind w:right="416"/>
        <w:jc w:val="right"/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3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𝑓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position w:val="1"/>
          <w:vertAlign w:val="baseline"/>
        </w:rPr>
        <w:t>)</w:t>
        <w:tab/>
      </w:r>
      <w:r>
        <w:rPr>
          <w:vertAlign w:val="baseline"/>
        </w:rPr>
        <w:t>(4.6)</w:t>
      </w:r>
    </w:p>
    <w:p>
      <w:pPr>
        <w:pStyle w:val="BodyText"/>
        <w:spacing w:line="362" w:lineRule="auto" w:before="141"/>
        <w:ind w:left="160" w:right="155"/>
        <w:jc w:val="both"/>
      </w:pPr>
      <w:r>
        <w:rPr>
          <w:spacing w:val="-1"/>
        </w:rPr>
        <w:t>where</w:t>
      </w:r>
      <w:r>
        <w:rPr>
          <w:spacing w:val="-14"/>
        </w:rPr>
        <w:t>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vertAlign w:val="baseline"/>
        </w:rPr>
        <w:t>stands</w:t>
      </w:r>
      <w:r>
        <w:rPr>
          <w:spacing w:val="-15"/>
          <w:vertAlign w:val="baseline"/>
        </w:rPr>
        <w:t> </w:t>
      </w:r>
      <w:r>
        <w:rPr>
          <w:vertAlign w:val="baseline"/>
        </w:rPr>
        <w:t>for</w:t>
      </w:r>
      <w:r>
        <w:rPr>
          <w:spacing w:val="-16"/>
          <w:vertAlign w:val="baseline"/>
        </w:rPr>
        <w:t> </w:t>
      </w:r>
      <w:r>
        <w:rPr>
          <w:vertAlign w:val="baseline"/>
        </w:rPr>
        <w:t>vector</w:t>
      </w:r>
      <w:r>
        <w:rPr>
          <w:spacing w:val="-15"/>
          <w:vertAlign w:val="baseline"/>
        </w:rPr>
        <w:t> </w:t>
      </w:r>
      <w:r>
        <w:rPr>
          <w:vertAlign w:val="baseline"/>
        </w:rPr>
        <w:t>of</w:t>
      </w:r>
      <w:r>
        <w:rPr>
          <w:spacing w:val="-15"/>
          <w:vertAlign w:val="baseline"/>
        </w:rPr>
        <w:t> </w:t>
      </w:r>
      <w:r>
        <w:rPr>
          <w:vertAlign w:val="baseline"/>
        </w:rPr>
        <w:t>households’</w:t>
      </w:r>
      <w:r>
        <w:rPr>
          <w:spacing w:val="-16"/>
          <w:vertAlign w:val="baseline"/>
        </w:rPr>
        <w:t> </w:t>
      </w:r>
      <w:r>
        <w:rPr>
          <w:vertAlign w:val="baseline"/>
        </w:rPr>
        <w:t>characteristics,</w:t>
      </w:r>
      <w:r>
        <w:rPr>
          <w:spacing w:val="-15"/>
          <w:vertAlign w:val="baseline"/>
        </w:rPr>
        <w:t> </w:t>
      </w:r>
      <w:r>
        <w:rPr>
          <w:vertAlign w:val="baseline"/>
        </w:rPr>
        <w:t>such</w:t>
      </w:r>
      <w:r>
        <w:rPr>
          <w:spacing w:val="-15"/>
          <w:vertAlign w:val="baseline"/>
        </w:rPr>
        <w:t> </w:t>
      </w:r>
      <w:r>
        <w:rPr>
          <w:vertAlign w:val="baseline"/>
        </w:rPr>
        <w:t>as,</w:t>
      </w:r>
      <w:r>
        <w:rPr>
          <w:spacing w:val="-15"/>
          <w:vertAlign w:val="baseline"/>
        </w:rPr>
        <w:t> </w:t>
      </w:r>
      <w:r>
        <w:rPr>
          <w:vertAlign w:val="baseline"/>
        </w:rPr>
        <w:t>food,</w:t>
      </w:r>
      <w:r>
        <w:rPr>
          <w:spacing w:val="-16"/>
          <w:vertAlign w:val="baseline"/>
        </w:rPr>
        <w:t> </w:t>
      </w:r>
      <w:r>
        <w:rPr>
          <w:vertAlign w:val="baseline"/>
        </w:rPr>
        <w:t>housing</w:t>
      </w:r>
      <w:r>
        <w:rPr>
          <w:spacing w:val="-16"/>
          <w:vertAlign w:val="baseline"/>
        </w:rPr>
        <w:t> </w:t>
      </w:r>
      <w:r>
        <w:rPr>
          <w:vertAlign w:val="baseline"/>
        </w:rPr>
        <w:t>conditions,</w:t>
      </w:r>
      <w:r>
        <w:rPr>
          <w:spacing w:val="-14"/>
          <w:vertAlign w:val="baseline"/>
        </w:rPr>
        <w:t> </w:t>
      </w:r>
      <w:r>
        <w:rPr>
          <w:vertAlign w:val="baseline"/>
        </w:rPr>
        <w:t>family</w:t>
      </w:r>
      <w:r>
        <w:rPr>
          <w:spacing w:val="-58"/>
          <w:vertAlign w:val="baseline"/>
        </w:rPr>
        <w:t> </w:t>
      </w:r>
      <w:r>
        <w:rPr>
          <w:vertAlign w:val="baseline"/>
        </w:rPr>
        <w:t>size,</w:t>
      </w:r>
      <w:r>
        <w:rPr>
          <w:spacing w:val="-1"/>
          <w:vertAlign w:val="baseline"/>
        </w:rPr>
        <w:t> </w:t>
      </w:r>
      <w:r>
        <w:rPr>
          <w:vertAlign w:val="baseline"/>
        </w:rPr>
        <w:t>availability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 health-promoting</w:t>
      </w:r>
      <w:r>
        <w:rPr>
          <w:spacing w:val="-1"/>
          <w:vertAlign w:val="baseline"/>
        </w:rPr>
        <w:t> </w:t>
      </w:r>
      <w:r>
        <w:rPr>
          <w:vertAlign w:val="baseline"/>
        </w:rPr>
        <w:t>goods and services.</w:t>
      </w:r>
    </w:p>
    <w:p>
      <w:pPr>
        <w:pStyle w:val="BodyText"/>
        <w:spacing w:line="360" w:lineRule="auto" w:before="226"/>
        <w:ind w:left="160" w:right="155"/>
        <w:jc w:val="both"/>
      </w:pPr>
      <w:r>
        <w:rPr/>
        <w:t>Equation 4.6 was based on the approach by Grossman (2010, 2017). He noted that in addition to</w:t>
      </w:r>
      <w:r>
        <w:rPr>
          <w:spacing w:val="1"/>
        </w:rPr>
        <w:t> </w:t>
      </w:r>
      <w:r>
        <w:rPr/>
        <w:t>income</w:t>
      </w:r>
      <w:r>
        <w:rPr>
          <w:spacing w:val="-5"/>
        </w:rPr>
        <w:t> </w:t>
      </w:r>
      <w:r>
        <w:rPr/>
        <w:t>inequality,</w:t>
      </w:r>
      <w:r>
        <w:rPr>
          <w:spacing w:val="-6"/>
        </w:rPr>
        <w:t>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vertAlign w:val="baseline"/>
        </w:rPr>
        <w:t>are</w:t>
      </w:r>
      <w:r>
        <w:rPr>
          <w:spacing w:val="-6"/>
          <w:vertAlign w:val="baseline"/>
        </w:rPr>
        <w:t> </w:t>
      </w:r>
      <w:r>
        <w:rPr>
          <w:vertAlign w:val="baseline"/>
        </w:rPr>
        <w:t>key</w:t>
      </w:r>
      <w:r>
        <w:rPr>
          <w:spacing w:val="-5"/>
          <w:vertAlign w:val="baseline"/>
        </w:rPr>
        <w:t> </w:t>
      </w:r>
      <w:r>
        <w:rPr>
          <w:vertAlign w:val="baseline"/>
        </w:rPr>
        <w:t>determinants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health outcomes.</w:t>
      </w:r>
      <w:r>
        <w:rPr>
          <w:spacing w:val="-4"/>
          <w:vertAlign w:val="baseline"/>
        </w:rPr>
        <w:t> </w:t>
      </w:r>
      <w:r>
        <w:rPr>
          <w:vertAlign w:val="baseline"/>
        </w:rPr>
        <w:t>As</w:t>
      </w:r>
      <w:r>
        <w:rPr>
          <w:spacing w:val="-3"/>
          <w:vertAlign w:val="baseline"/>
        </w:rPr>
        <w:t> </w:t>
      </w:r>
      <w:r>
        <w:rPr>
          <w:vertAlign w:val="baseline"/>
        </w:rPr>
        <w:t>he</w:t>
      </w:r>
      <w:r>
        <w:rPr>
          <w:spacing w:val="-5"/>
          <w:vertAlign w:val="baseline"/>
        </w:rPr>
        <w:t> </w:t>
      </w:r>
      <w:r>
        <w:rPr>
          <w:vertAlign w:val="baseline"/>
        </w:rPr>
        <w:t>argued,</w:t>
      </w:r>
      <w:r>
        <w:rPr>
          <w:spacing w:val="-1"/>
          <w:vertAlign w:val="baseline"/>
        </w:rPr>
        <w:t> </w:t>
      </w:r>
      <w:r>
        <w:rPr>
          <w:vertAlign w:val="baseline"/>
        </w:rPr>
        <w:t>peoples’</w:t>
      </w:r>
      <w:r>
        <w:rPr>
          <w:spacing w:val="-4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4"/>
          <w:vertAlign w:val="baseline"/>
        </w:rPr>
        <w:t> </w:t>
      </w:r>
      <w:r>
        <w:rPr>
          <w:vertAlign w:val="baseline"/>
        </w:rPr>
        <w:t>has</w:t>
      </w:r>
      <w:r>
        <w:rPr>
          <w:spacing w:val="-57"/>
          <w:vertAlign w:val="baseline"/>
        </w:rPr>
        <w:t> </w:t>
      </w:r>
      <w:r>
        <w:rPr>
          <w:vertAlign w:val="baseline"/>
        </w:rPr>
        <w:t>some determinate history from time </w:t>
      </w:r>
      <w:r>
        <w:rPr>
          <w:rFonts w:ascii="Cambria Math" w:hAnsi="Cambria Math" w:eastAsia="Cambria Math"/>
          <w:vertAlign w:val="baseline"/>
        </w:rPr>
        <w:t>𝑡 </w:t>
      </w:r>
      <w:r>
        <w:rPr>
          <w:vertAlign w:val="baseline"/>
        </w:rPr>
        <w:t>(birthdate) to </w:t>
      </w:r>
      <w:r>
        <w:rPr>
          <w:rFonts w:ascii="Cambria Math" w:hAnsi="Cambria Math" w:eastAsia="Cambria Math"/>
          <w:vertAlign w:val="baseline"/>
        </w:rPr>
        <w:t>𝑡′ </w:t>
      </w:r>
      <w:r>
        <w:rPr>
          <w:vertAlign w:val="baseline"/>
        </w:rPr>
        <w:t>(death-date). The underlying assumption is,</w:t>
      </w:r>
      <w:r>
        <w:rPr>
          <w:spacing w:val="-57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6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stock</w:t>
      </w:r>
      <w:r>
        <w:rPr>
          <w:spacing w:val="-7"/>
          <w:vertAlign w:val="baseline"/>
        </w:rPr>
        <w:t> </w:t>
      </w:r>
      <w:r>
        <w:rPr>
          <w:vertAlign w:val="baseline"/>
        </w:rPr>
        <w:t>variable</w:t>
      </w:r>
      <w:r>
        <w:rPr>
          <w:spacing w:val="-2"/>
          <w:vertAlign w:val="baseline"/>
        </w:rPr>
        <w:t> </w:t>
      </w:r>
      <w:r>
        <w:rPr>
          <w:vertAlign w:val="baseline"/>
        </w:rPr>
        <w:t>that</w:t>
      </w:r>
      <w:r>
        <w:rPr>
          <w:spacing w:val="-5"/>
          <w:vertAlign w:val="baseline"/>
        </w:rPr>
        <w:t> </w:t>
      </w:r>
      <w:r>
        <w:rPr>
          <w:vertAlign w:val="baseline"/>
        </w:rPr>
        <w:t>depreciates</w:t>
      </w:r>
      <w:r>
        <w:rPr>
          <w:spacing w:val="-4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→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𝑡′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sudden</w:t>
      </w:r>
      <w:r>
        <w:rPr>
          <w:spacing w:val="-6"/>
          <w:vertAlign w:val="baseline"/>
        </w:rPr>
        <w:t> </w:t>
      </w:r>
      <w:r>
        <w:rPr>
          <w:vertAlign w:val="baseline"/>
        </w:rPr>
        <w:t>sickness,</w:t>
      </w:r>
      <w:r>
        <w:rPr>
          <w:spacing w:val="-6"/>
          <w:vertAlign w:val="baseline"/>
        </w:rPr>
        <w:t> </w:t>
      </w:r>
      <w:r>
        <w:rPr>
          <w:vertAlign w:val="baseline"/>
        </w:rPr>
        <w:t>stress,</w:t>
      </w:r>
      <w:r>
        <w:rPr>
          <w:spacing w:val="-1"/>
          <w:vertAlign w:val="baseline"/>
        </w:rPr>
        <w:t> </w:t>
      </w:r>
      <w:r>
        <w:rPr>
          <w:vertAlign w:val="baseline"/>
        </w:rPr>
        <w:t>depression,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58"/>
          <w:vertAlign w:val="baseline"/>
        </w:rPr>
        <w:t> </w:t>
      </w:r>
      <w:r>
        <w:rPr>
          <w:vertAlign w:val="baseline"/>
        </w:rPr>
        <w:t>injuries. Notably, within </w:t>
      </w:r>
      <w:r>
        <w:rPr>
          <w:rFonts w:ascii="Cambria Math" w:hAnsi="Cambria Math" w:eastAsia="Cambria Math"/>
          <w:vertAlign w:val="baseline"/>
        </w:rPr>
        <w:t>𝑡 </w:t>
      </w:r>
      <w:r>
        <w:rPr>
          <w:vertAlign w:val="baseline"/>
        </w:rPr>
        <w:t>and </w:t>
      </w:r>
      <w:r>
        <w:rPr>
          <w:rFonts w:ascii="Cambria Math" w:hAnsi="Cambria Math" w:eastAsia="Cambria Math"/>
          <w:vertAlign w:val="baseline"/>
        </w:rPr>
        <w:t>𝑡′</w:t>
      </w:r>
      <w:r>
        <w:rPr>
          <w:vertAlign w:val="baseline"/>
        </w:rPr>
        <w:t>, health is predicted by all exogenous factors associated with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ℎ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pertinent to note that households will pay larger percentages of their incomes on electricity,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and health bills, school fees, house rents, and health-promoting goods in rising income-</w:t>
      </w:r>
      <w:r>
        <w:rPr>
          <w:spacing w:val="1"/>
          <w:vertAlign w:val="baseline"/>
        </w:rPr>
        <w:t> </w:t>
      </w:r>
      <w:r>
        <w:rPr>
          <w:vertAlign w:val="baseline"/>
        </w:rPr>
        <w:t>inequality</w:t>
      </w:r>
      <w:r>
        <w:rPr>
          <w:spacing w:val="-5"/>
          <w:vertAlign w:val="baseline"/>
        </w:rPr>
        <w:t> </w:t>
      </w:r>
      <w:r>
        <w:rPr>
          <w:vertAlign w:val="baseline"/>
        </w:rPr>
        <w:t>nations (Brockway</w:t>
      </w:r>
      <w:r>
        <w:rPr>
          <w:spacing w:val="-3"/>
          <w:vertAlign w:val="baseline"/>
        </w:rPr>
        <w:t> </w:t>
      </w:r>
      <w:r>
        <w:rPr>
          <w:i/>
          <w:sz w:val="22"/>
          <w:vertAlign w:val="baseline"/>
        </w:rPr>
        <w:t>et</w:t>
      </w:r>
      <w:r>
        <w:rPr>
          <w:i/>
          <w:spacing w:val="1"/>
          <w:sz w:val="22"/>
          <w:vertAlign w:val="baseline"/>
        </w:rPr>
        <w:t> </w:t>
      </w:r>
      <w:r>
        <w:rPr>
          <w:i/>
          <w:sz w:val="22"/>
          <w:vertAlign w:val="baseline"/>
        </w:rPr>
        <w:t>al.</w:t>
      </w:r>
      <w:r>
        <w:rPr>
          <w:i/>
          <w:spacing w:val="5"/>
          <w:sz w:val="22"/>
          <w:vertAlign w:val="baseline"/>
        </w:rPr>
        <w:t> </w:t>
      </w:r>
      <w:r>
        <w:rPr>
          <w:vertAlign w:val="baseline"/>
        </w:rPr>
        <w:t>2014).</w:t>
      </w:r>
    </w:p>
    <w:p>
      <w:pPr>
        <w:pStyle w:val="BodyText"/>
        <w:spacing w:line="360" w:lineRule="auto" w:before="184"/>
        <w:ind w:left="160" w:right="158"/>
        <w:jc w:val="both"/>
      </w:pP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indirect</w:t>
      </w:r>
      <w:r>
        <w:rPr>
          <w:spacing w:val="-5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income</w:t>
      </w:r>
      <w:r>
        <w:rPr>
          <w:spacing w:val="-6"/>
        </w:rPr>
        <w:t> </w:t>
      </w:r>
      <w:r>
        <w:rPr/>
        <w:t>inequality</w:t>
      </w:r>
      <w:r>
        <w:rPr>
          <w:spacing w:val="-10"/>
        </w:rPr>
        <w:t> </w:t>
      </w:r>
      <w:r>
        <w:rPr/>
        <w:t>on</w:t>
      </w:r>
      <w:r>
        <w:rPr>
          <w:spacing w:val="-3"/>
        </w:rPr>
        <w:t> </w:t>
      </w:r>
      <w:r>
        <w:rPr/>
        <w:t>health,</w:t>
      </w:r>
      <w:r>
        <w:rPr>
          <w:spacing w:val="-5"/>
        </w:rPr>
        <w:t> </w:t>
      </w:r>
      <w:r>
        <w:rPr/>
        <w:t>because</w:t>
      </w:r>
      <w:r>
        <w:rPr>
          <w:spacing w:val="-6"/>
        </w:rPr>
        <w:t> </w:t>
      </w:r>
      <w:r>
        <w:rPr/>
        <w:t>income</w:t>
      </w:r>
      <w:r>
        <w:rPr>
          <w:spacing w:val="-6"/>
        </w:rPr>
        <w:t> </w:t>
      </w:r>
      <w:r>
        <w:rPr/>
        <w:t>distribution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result</w:t>
      </w:r>
      <w:r>
        <w:rPr>
          <w:spacing w:val="-57"/>
        </w:rPr>
        <w:t> </w:t>
      </w:r>
      <w:r>
        <w:rPr/>
        <w:t>of</w:t>
      </w:r>
      <w:r>
        <w:rPr>
          <w:spacing w:val="-8"/>
        </w:rPr>
        <w:t> </w:t>
      </w:r>
      <w:r>
        <w:rPr/>
        <w:t>political-economic,</w:t>
      </w:r>
      <w:r>
        <w:rPr>
          <w:spacing w:val="-7"/>
        </w:rPr>
        <w:t> </w:t>
      </w:r>
      <w:r>
        <w:rPr/>
        <w:t>cultural,</w:t>
      </w:r>
      <w:r>
        <w:rPr>
          <w:spacing w:val="-7"/>
        </w:rPr>
        <w:t> </w:t>
      </w:r>
      <w:r>
        <w:rPr/>
        <w:t>social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historical</w:t>
      </w:r>
      <w:r>
        <w:rPr>
          <w:spacing w:val="-7"/>
        </w:rPr>
        <w:t> </w:t>
      </w:r>
      <w:r>
        <w:rPr/>
        <w:t>process.</w:t>
      </w:r>
      <w:r>
        <w:rPr>
          <w:spacing w:val="-6"/>
        </w:rPr>
        <w:t> </w:t>
      </w:r>
      <w:r>
        <w:rPr/>
        <w:t>These</w:t>
      </w:r>
      <w:r>
        <w:rPr>
          <w:spacing w:val="-8"/>
        </w:rPr>
        <w:t> </w:t>
      </w:r>
      <w:r>
        <w:rPr/>
        <w:t>influence</w:t>
      </w:r>
      <w:r>
        <w:rPr>
          <w:spacing w:val="-8"/>
        </w:rPr>
        <w:t> </w:t>
      </w:r>
      <w:r>
        <w:rPr/>
        <w:t>resource</w:t>
      </w:r>
      <w:r>
        <w:rPr>
          <w:spacing w:val="-7"/>
        </w:rPr>
        <w:t> </w:t>
      </w:r>
      <w:r>
        <w:rPr/>
        <w:t>available</w:t>
      </w:r>
      <w:r>
        <w:rPr>
          <w:spacing w:val="-8"/>
        </w:rPr>
        <w:t> </w:t>
      </w:r>
      <w:r>
        <w:rPr/>
        <w:t>to</w:t>
      </w:r>
      <w:r>
        <w:rPr>
          <w:spacing w:val="-58"/>
        </w:rPr>
        <w:t> </w:t>
      </w:r>
      <w:r>
        <w:rPr/>
        <w:t>households’</w:t>
      </w:r>
      <w:r>
        <w:rPr>
          <w:spacing w:val="23"/>
        </w:rPr>
        <w:t> </w:t>
      </w:r>
      <w:r>
        <w:rPr/>
        <w:t>education,</w:t>
      </w:r>
      <w:r>
        <w:rPr>
          <w:spacing w:val="23"/>
        </w:rPr>
        <w:t> </w:t>
      </w:r>
      <w:r>
        <w:rPr/>
        <w:t>availability</w:t>
      </w:r>
      <w:r>
        <w:rPr>
          <w:spacing w:val="18"/>
        </w:rPr>
        <w:t> </w:t>
      </w:r>
      <w:r>
        <w:rPr/>
        <w:t>of</w:t>
      </w:r>
      <w:r>
        <w:rPr>
          <w:spacing w:val="25"/>
        </w:rPr>
        <w:t> </w:t>
      </w:r>
      <w:r>
        <w:rPr/>
        <w:t>food,</w:t>
      </w:r>
      <w:r>
        <w:rPr>
          <w:spacing w:val="23"/>
        </w:rPr>
        <w:t> </w:t>
      </w:r>
      <w:r>
        <w:rPr/>
        <w:t>quantity</w:t>
      </w:r>
      <w:r>
        <w:rPr>
          <w:spacing w:val="19"/>
        </w:rPr>
        <w:t> </w:t>
      </w:r>
      <w:r>
        <w:rPr/>
        <w:t>and</w:t>
      </w:r>
      <w:r>
        <w:rPr>
          <w:spacing w:val="25"/>
        </w:rPr>
        <w:t> </w:t>
      </w:r>
      <w:r>
        <w:rPr/>
        <w:t>quality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housing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environmental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line="360" w:lineRule="auto" w:before="74"/>
        <w:ind w:left="160" w:right="155"/>
        <w:jc w:val="both"/>
      </w:pPr>
      <w:r>
        <w:rPr/>
        <w:t>factors (Hill </w:t>
      </w:r>
      <w:r>
        <w:rPr>
          <w:i/>
        </w:rPr>
        <w:t>et al. </w:t>
      </w:r>
      <w:r>
        <w:rPr/>
        <w:t>2019). In contemporary society, income distribution influences a wide variety</w:t>
      </w:r>
      <w:r>
        <w:rPr>
          <w:spacing w:val="1"/>
        </w:rPr>
        <w:t> </w:t>
      </w:r>
      <w:r>
        <w:rPr/>
        <w:t>of health-promoting factors that often have an indirect impact on health. The aggregate effect of</w:t>
      </w:r>
      <w:r>
        <w:rPr>
          <w:spacing w:val="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on health is through the</w:t>
      </w:r>
      <w:r>
        <w:rPr>
          <w:spacing w:val="-1"/>
        </w:rPr>
        <w:t> </w:t>
      </w:r>
      <w:r>
        <w:rPr/>
        <w:t>direct</w:t>
      </w:r>
      <w:r>
        <w:rPr>
          <w:spacing w:val="2"/>
        </w:rPr>
        <w:t> </w:t>
      </w:r>
      <w:r>
        <w:rPr/>
        <w:t>and indirect channels.</w:t>
      </w:r>
    </w:p>
    <w:p>
      <w:pPr>
        <w:spacing w:before="230"/>
        <w:ind w:left="160" w:right="0" w:firstLine="0"/>
        <w:jc w:val="both"/>
        <w:rPr>
          <w:i/>
          <w:sz w:val="24"/>
        </w:rPr>
      </w:pPr>
      <w:r>
        <w:rPr>
          <w:i/>
          <w:sz w:val="24"/>
        </w:rPr>
        <w:t>Panel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Inequality-Health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Outcomes</w:t>
      </w:r>
    </w:p>
    <w:p>
      <w:pPr>
        <w:pStyle w:val="BodyText"/>
        <w:spacing w:line="360" w:lineRule="auto" w:before="139"/>
        <w:ind w:left="160" w:right="158"/>
        <w:jc w:val="both"/>
      </w:pPr>
      <w:r>
        <w:rPr/>
        <w:t>Figure 4.1 (panel A) provides a lucid exposition of the flow path of directional effect of income</w:t>
      </w:r>
      <w:r>
        <w:rPr>
          <w:spacing w:val="1"/>
        </w:rPr>
        <w:t> </w:t>
      </w:r>
      <w:r>
        <w:rPr>
          <w:spacing w:val="-1"/>
        </w:rPr>
        <w:t>inequality</w:t>
      </w:r>
      <w:r>
        <w:rPr>
          <w:spacing w:val="-17"/>
        </w:rPr>
        <w:t> </w:t>
      </w:r>
      <w:r>
        <w:rPr/>
        <w:t>on</w:t>
      </w:r>
      <w:r>
        <w:rPr>
          <w:spacing w:val="-11"/>
        </w:rPr>
        <w:t> </w:t>
      </w:r>
      <w:r>
        <w:rPr/>
        <w:t>health</w:t>
      </w:r>
      <w:r>
        <w:rPr>
          <w:spacing w:val="-12"/>
        </w:rPr>
        <w:t> </w:t>
      </w:r>
      <w:r>
        <w:rPr/>
        <w:t>outcomes.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direct</w:t>
      </w:r>
      <w:r>
        <w:rPr>
          <w:spacing w:val="-11"/>
        </w:rPr>
        <w:t> </w:t>
      </w:r>
      <w:r>
        <w:rPr/>
        <w:t>effect,</w:t>
      </w:r>
      <w:r>
        <w:rPr>
          <w:spacing w:val="-12"/>
        </w:rPr>
        <w:t> </w:t>
      </w:r>
      <w:r>
        <w:rPr/>
        <w:t>ample</w:t>
      </w:r>
      <w:r>
        <w:rPr>
          <w:spacing w:val="-12"/>
        </w:rPr>
        <w:t> </w:t>
      </w:r>
      <w:r>
        <w:rPr/>
        <w:t>evidence</w:t>
      </w:r>
      <w:r>
        <w:rPr>
          <w:spacing w:val="-13"/>
        </w:rPr>
        <w:t> </w:t>
      </w:r>
      <w:r>
        <w:rPr/>
        <w:t>suggest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inequality</w:t>
      </w:r>
      <w:r>
        <w:rPr>
          <w:spacing w:val="-57"/>
        </w:rPr>
        <w:t> </w:t>
      </w:r>
      <w:r>
        <w:rPr/>
        <w:t>can affect health through social comparison and competition. Duesenberry (1949) earlier called</w:t>
      </w:r>
      <w:r>
        <w:rPr>
          <w:spacing w:val="1"/>
        </w:rPr>
        <w:t> </w:t>
      </w:r>
      <w:r>
        <w:rPr/>
        <w:t>this ‘envy’</w:t>
      </w:r>
      <w:r>
        <w:rPr>
          <w:spacing w:val="2"/>
        </w:rPr>
        <w:t> </w:t>
      </w:r>
      <w:r>
        <w:rPr/>
        <w:t>effect, but</w:t>
      </w:r>
      <w:r>
        <w:rPr>
          <w:spacing w:val="1"/>
        </w:rPr>
        <w:t> </w:t>
      </w:r>
      <w:r>
        <w:rPr/>
        <w:t>to Fehr</w:t>
      </w:r>
      <w:r>
        <w:rPr>
          <w:spacing w:val="2"/>
        </w:rPr>
        <w:t> </w:t>
      </w:r>
      <w:r>
        <w:rPr/>
        <w:t>and Schmidt</w:t>
      </w:r>
      <w:r>
        <w:rPr>
          <w:spacing w:val="1"/>
        </w:rPr>
        <w:t> </w:t>
      </w:r>
      <w:r>
        <w:rPr/>
        <w:t>(1999), it</w:t>
      </w:r>
      <w:r>
        <w:rPr>
          <w:spacing w:val="1"/>
        </w:rPr>
        <w:t> </w:t>
      </w:r>
      <w:r>
        <w:rPr/>
        <w:t>is upward-income-comparison</w:t>
      </w:r>
      <w:r>
        <w:rPr>
          <w:spacing w:val="1"/>
        </w:rPr>
        <w:t> </w:t>
      </w:r>
      <w:r>
        <w:rPr/>
        <w:t>effect.</w:t>
      </w:r>
      <w:r>
        <w:rPr>
          <w:spacing w:val="1"/>
        </w:rPr>
        <w:t> </w:t>
      </w:r>
      <w:r>
        <w:rPr/>
        <w:t>Given</w:t>
      </w:r>
    </w:p>
    <w:p>
      <w:pPr>
        <w:pStyle w:val="BodyText"/>
        <w:spacing w:line="360" w:lineRule="auto"/>
        <w:ind w:left="160" w:right="155"/>
        <w:jc w:val="both"/>
      </w:pP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spacing w:val="6"/>
        </w:rPr>
        <w:t> </w:t>
      </w:r>
      <w:r>
        <w:rPr/>
        <w:t>(say,</w:t>
      </w:r>
      <w:r>
        <w:rPr>
          <w:spacing w:val="-6"/>
        </w:rPr>
        <w:t> </w:t>
      </w:r>
      <w:r>
        <w:rPr/>
        <w:t>low-income)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spacing w:val="10"/>
        </w:rPr>
        <w:t> </w:t>
      </w:r>
      <w:r>
        <w:rPr/>
        <w:t>(the</w:t>
      </w:r>
      <w:r>
        <w:rPr>
          <w:spacing w:val="-7"/>
        </w:rPr>
        <w:t> </w:t>
      </w:r>
      <w:r>
        <w:rPr/>
        <w:t>rich)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society,</w:t>
      </w:r>
      <w:r>
        <w:rPr>
          <w:spacing w:val="-4"/>
        </w:rPr>
        <w:t> </w:t>
      </w:r>
      <w:r>
        <w:rPr/>
        <w:t>where</w:t>
      </w:r>
      <w:r>
        <w:rPr>
          <w:spacing w:val="-3"/>
        </w:rPr>
        <w:t>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vertAlign w:val="subscript"/>
        </w:rPr>
        <w:t>𝑅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˃</w:t>
      </w:r>
      <w:r>
        <w:rPr>
          <w:rFonts w:ascii="Cambria Math" w:hAnsi="Cambria Math" w:eastAsia="Cambria Math"/>
          <w:spacing w:val="-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𝑃</w:t>
      </w:r>
      <w:r>
        <w:rPr>
          <w:vertAlign w:val="baseline"/>
        </w:rPr>
        <w:t>.</w:t>
      </w:r>
      <w:r>
        <w:rPr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vertAlign w:val="baseline"/>
        </w:rPr>
        <w:t>will</w:t>
      </w:r>
      <w:r>
        <w:rPr>
          <w:spacing w:val="-4"/>
          <w:vertAlign w:val="baseline"/>
        </w:rPr>
        <w:t> </w:t>
      </w:r>
      <w:r>
        <w:rPr>
          <w:vertAlign w:val="baseline"/>
        </w:rPr>
        <w:t>be</w:t>
      </w:r>
      <w:r>
        <w:rPr>
          <w:spacing w:val="-6"/>
          <w:vertAlign w:val="baseline"/>
        </w:rPr>
        <w:t> </w:t>
      </w:r>
      <w:r>
        <w:rPr>
          <w:vertAlign w:val="baseline"/>
        </w:rPr>
        <w:t>expose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vertAlign w:val="baseline"/>
        </w:rPr>
        <w:t>competition,</w:t>
      </w:r>
      <w:r>
        <w:rPr>
          <w:spacing w:val="-58"/>
          <w:vertAlign w:val="baseline"/>
        </w:rPr>
        <w:t> </w:t>
      </w:r>
      <w:r>
        <w:rPr>
          <w:vertAlign w:val="baseline"/>
        </w:rPr>
        <w:t>long-working hours, depression, frustration, stress and anxiety, and finally poor health outcomes,</w:t>
      </w:r>
      <w:r>
        <w:rPr>
          <w:spacing w:val="-57"/>
          <w:vertAlign w:val="baseline"/>
        </w:rPr>
        <w:t> </w:t>
      </w:r>
      <w:r>
        <w:rPr>
          <w:vertAlign w:val="baseline"/>
        </w:rPr>
        <w:t>such as illness and deaths (Singh </w:t>
      </w:r>
      <w:r>
        <w:rPr>
          <w:i/>
          <w:vertAlign w:val="baseline"/>
        </w:rPr>
        <w:t>et al., </w:t>
      </w:r>
      <w:r>
        <w:rPr>
          <w:vertAlign w:val="baseline"/>
        </w:rPr>
        <w:t>2018). Similarly, the perceptions of being relatively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deprived, and </w:t>
      </w:r>
      <w:r>
        <w:rPr>
          <w:i/>
          <w:vertAlign w:val="baseline"/>
        </w:rPr>
        <w:t>to keep up with the Jonnes </w:t>
      </w:r>
      <w:r>
        <w:rPr>
          <w:vertAlign w:val="baseline"/>
        </w:rPr>
        <w:t>often leads to lack of social cohesion and dysfunctions,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such as, theft, crime, low trust, and kidnapping issues. These results to fear, shock, and insecurity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for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both</w:t>
      </w:r>
      <w:r>
        <w:rPr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𝑅 </w:t>
      </w:r>
      <w:r>
        <w:rPr>
          <w:vertAlign w:val="baseline"/>
        </w:rPr>
        <w:t>alike.</w:t>
      </w:r>
      <w:r>
        <w:rPr>
          <w:spacing w:val="-15"/>
          <w:vertAlign w:val="baseline"/>
        </w:rPr>
        <w:t> </w:t>
      </w:r>
      <w:r>
        <w:rPr>
          <w:vertAlign w:val="baseline"/>
        </w:rPr>
        <w:t>All</w:t>
      </w:r>
      <w:r>
        <w:rPr>
          <w:spacing w:val="-13"/>
          <w:vertAlign w:val="baseline"/>
        </w:rPr>
        <w:t> </w:t>
      </w:r>
      <w:r>
        <w:rPr>
          <w:vertAlign w:val="baseline"/>
        </w:rPr>
        <w:t>these</w:t>
      </w:r>
      <w:r>
        <w:rPr>
          <w:spacing w:val="-16"/>
          <w:vertAlign w:val="baseline"/>
        </w:rPr>
        <w:t> </w:t>
      </w:r>
      <w:r>
        <w:rPr>
          <w:vertAlign w:val="baseline"/>
        </w:rPr>
        <w:t>directly</w:t>
      </w:r>
      <w:r>
        <w:rPr>
          <w:spacing w:val="-20"/>
          <w:vertAlign w:val="baseline"/>
        </w:rPr>
        <w:t> </w:t>
      </w:r>
      <w:r>
        <w:rPr>
          <w:vertAlign w:val="baseline"/>
        </w:rPr>
        <w:t>worsen</w:t>
      </w:r>
      <w:r>
        <w:rPr>
          <w:spacing w:val="-15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15"/>
          <w:vertAlign w:val="baseline"/>
        </w:rPr>
        <w:t> </w:t>
      </w:r>
      <w:r>
        <w:rPr>
          <w:vertAlign w:val="baseline"/>
        </w:rPr>
        <w:t>outcomes</w:t>
      </w:r>
      <w:r>
        <w:rPr>
          <w:spacing w:val="-12"/>
          <w:vertAlign w:val="baseline"/>
        </w:rPr>
        <w:t> </w:t>
      </w:r>
      <w:r>
        <w:rPr>
          <w:vertAlign w:val="baseline"/>
        </w:rPr>
        <w:t>(Drabo</w:t>
      </w:r>
      <w:r>
        <w:rPr>
          <w:spacing w:val="-12"/>
          <w:vertAlign w:val="baseline"/>
        </w:rPr>
        <w:t> </w:t>
      </w:r>
      <w:r>
        <w:rPr>
          <w:vertAlign w:val="baseline"/>
        </w:rPr>
        <w:t>2011;</w:t>
      </w:r>
      <w:r>
        <w:rPr>
          <w:spacing w:val="-12"/>
          <w:vertAlign w:val="baseline"/>
        </w:rPr>
        <w:t> </w:t>
      </w:r>
      <w:r>
        <w:rPr>
          <w:vertAlign w:val="baseline"/>
        </w:rPr>
        <w:t>Massa</w:t>
      </w:r>
      <w:r>
        <w:rPr>
          <w:spacing w:val="-1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2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14"/>
          <w:vertAlign w:val="baseline"/>
        </w:rPr>
        <w:t> </w:t>
      </w:r>
      <w:r>
        <w:rPr>
          <w:vertAlign w:val="baseline"/>
        </w:rPr>
        <w:t>2018).</w:t>
      </w:r>
    </w:p>
    <w:p>
      <w:pPr>
        <w:pStyle w:val="BodyText"/>
        <w:spacing w:line="360" w:lineRule="auto" w:before="114"/>
        <w:ind w:left="160" w:right="154"/>
        <w:jc w:val="both"/>
      </w:pPr>
      <w:r>
        <w:rPr/>
        <w:t>It should be noted that income inequality often drag-down the ability of households to convert</w:t>
      </w:r>
      <w:r>
        <w:rPr>
          <w:spacing w:val="1"/>
        </w:rPr>
        <w:t> </w:t>
      </w:r>
      <w:r>
        <w:rPr/>
        <w:t>their wealth or incomes to meet basic needs of their family members. It can also reduce their</w:t>
      </w:r>
      <w:r>
        <w:rPr>
          <w:spacing w:val="1"/>
        </w:rPr>
        <w:t> </w:t>
      </w:r>
      <w:r>
        <w:rPr/>
        <w:t>purchasing-power to obtain healthy diet and foods. Households frequent pay largest percentages</w:t>
      </w:r>
      <w:r>
        <w:rPr>
          <w:spacing w:val="1"/>
        </w:rPr>
        <w:t> </w:t>
      </w:r>
      <w:r>
        <w:rPr/>
        <w:t>of their incomes on house rents, school fees, electricity and water bills, with little or no income</w:t>
      </w:r>
      <w:r>
        <w:rPr>
          <w:spacing w:val="1"/>
        </w:rPr>
        <w:t> </w:t>
      </w:r>
      <w:r>
        <w:rPr/>
        <w:t>(sometimes, with debt burdens) to obtain these health-promoting goods and services (Brockway</w:t>
      </w:r>
      <w:r>
        <w:rPr>
          <w:spacing w:val="1"/>
        </w:rPr>
        <w:t> </w:t>
      </w:r>
      <w:r>
        <w:rPr>
          <w:i/>
        </w:rPr>
        <w:t>et al. </w:t>
      </w:r>
      <w:r>
        <w:rPr/>
        <w:t>2014).</w:t>
      </w:r>
      <w:r>
        <w:rPr>
          <w:spacing w:val="1"/>
        </w:rPr>
        <w:t> </w:t>
      </w:r>
      <w:r>
        <w:rPr/>
        <w:t>This can</w:t>
      </w:r>
      <w:r>
        <w:rPr>
          <w:spacing w:val="1"/>
        </w:rPr>
        <w:t> </w:t>
      </w:r>
      <w:r>
        <w:rPr/>
        <w:t>enforce households, especially the</w:t>
      </w:r>
      <w:r>
        <w:rPr>
          <w:spacing w:val="1"/>
        </w:rPr>
        <w:t> </w:t>
      </w:r>
      <w:r>
        <w:rPr/>
        <w:t>low-income</w:t>
      </w:r>
      <w:r>
        <w:rPr>
          <w:spacing w:val="1"/>
        </w:rPr>
        <w:t> </w:t>
      </w:r>
      <w:r>
        <w:rPr/>
        <w:t>earners to</w:t>
      </w:r>
      <w:r>
        <w:rPr>
          <w:spacing w:val="1"/>
        </w:rPr>
        <w:t> </w:t>
      </w:r>
      <w:r>
        <w:rPr/>
        <w:t>anti-health</w:t>
      </w:r>
      <w:r>
        <w:rPr>
          <w:spacing w:val="1"/>
        </w:rPr>
        <w:t> </w:t>
      </w:r>
      <w:r>
        <w:rPr>
          <w:spacing w:val="-1"/>
        </w:rPr>
        <w:t>behavior,</w:t>
      </w:r>
      <w:r>
        <w:rPr>
          <w:spacing w:val="-13"/>
        </w:rPr>
        <w:t> </w:t>
      </w:r>
      <w:r>
        <w:rPr>
          <w:spacing w:val="-1"/>
        </w:rPr>
        <w:t>such</w:t>
      </w:r>
      <w:r>
        <w:rPr>
          <w:spacing w:val="-10"/>
        </w:rPr>
        <w:t> </w:t>
      </w:r>
      <w:r>
        <w:rPr>
          <w:spacing w:val="-1"/>
        </w:rPr>
        <w:t>as,</w:t>
      </w:r>
      <w:r>
        <w:rPr>
          <w:spacing w:val="-12"/>
        </w:rPr>
        <w:t> </w:t>
      </w:r>
      <w:r>
        <w:rPr/>
        <w:t>smoking.</w:t>
      </w:r>
      <w:r>
        <w:rPr>
          <w:spacing w:val="-8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inequality</w:t>
      </w:r>
      <w:r>
        <w:rPr>
          <w:spacing w:val="-15"/>
        </w:rPr>
        <w:t> </w:t>
      </w:r>
      <w:r>
        <w:rPr/>
        <w:t>also</w:t>
      </w:r>
      <w:r>
        <w:rPr>
          <w:spacing w:val="-9"/>
        </w:rPr>
        <w:t> </w:t>
      </w:r>
      <w:r>
        <w:rPr/>
        <w:t>results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low</w:t>
      </w:r>
      <w:r>
        <w:rPr>
          <w:spacing w:val="-12"/>
        </w:rPr>
        <w:t> </w:t>
      </w:r>
      <w:r>
        <w:rPr/>
        <w:t>appropriate</w:t>
      </w:r>
      <w:r>
        <w:rPr>
          <w:spacing w:val="-11"/>
        </w:rPr>
        <w:t> </w:t>
      </w:r>
      <w:r>
        <w:rPr/>
        <w:t>healthcare</w:t>
      </w:r>
      <w:r>
        <w:rPr>
          <w:spacing w:val="-14"/>
        </w:rPr>
        <w:t> </w:t>
      </w:r>
      <w:r>
        <w:rPr/>
        <w:t>utilization</w:t>
      </w:r>
      <w:r>
        <w:rPr>
          <w:spacing w:val="-57"/>
        </w:rPr>
        <w:t> </w:t>
      </w:r>
      <w:r>
        <w:rPr/>
        <w:t>and causes households’ members to resort to self-medication. All these indirectly results to poor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outcomes of households as Figure</w:t>
      </w:r>
      <w:r>
        <w:rPr>
          <w:spacing w:val="-2"/>
        </w:rPr>
        <w:t> </w:t>
      </w:r>
      <w:r>
        <w:rPr/>
        <w:t>4.1 (panel</w:t>
      </w:r>
      <w:r>
        <w:rPr>
          <w:spacing w:val="-1"/>
        </w:rPr>
        <w:t> </w:t>
      </w:r>
      <w:r>
        <w:rPr/>
        <w:t>A) summarized.</w:t>
      </w:r>
    </w:p>
    <w:p>
      <w:pPr>
        <w:pStyle w:val="BodyText"/>
        <w:spacing w:line="360" w:lineRule="auto" w:before="176"/>
        <w:ind w:left="160" w:right="164"/>
        <w:jc w:val="both"/>
      </w:pPr>
      <w:r>
        <w:rPr/>
        <w:t>Thus, one of the contributions of this study to literature is the assessment of these direct and</w:t>
      </w:r>
      <w:r>
        <w:rPr>
          <w:spacing w:val="1"/>
        </w:rPr>
        <w:t> </w:t>
      </w:r>
      <w:r>
        <w:rPr/>
        <w:t>indirect</w:t>
      </w:r>
      <w:r>
        <w:rPr>
          <w:spacing w:val="-1"/>
        </w:rPr>
        <w:t> </w:t>
      </w:r>
      <w:r>
        <w:rPr/>
        <w:t>income inequality-health links:</w:t>
      </w:r>
    </w:p>
    <w:p>
      <w:pPr>
        <w:spacing w:before="113"/>
        <w:ind w:left="160" w:right="0" w:firstLine="0"/>
        <w:jc w:val="both"/>
        <w:rPr>
          <w:sz w:val="22"/>
        </w:rPr>
      </w:pPr>
      <w:r>
        <w:rPr/>
        <w:pict>
          <v:shape style="position:absolute;margin-left:204pt;margin-top:11.483125pt;width:20.25pt;height:8.15pt;mso-position-horizontal-relative:page;mso-position-vertical-relative:paragraph;z-index:-43074048" coordorigin="4080,230" coordsize="405,163" path="m4445,311l4335,375,4334,381,4339,391,4345,392,4468,321,4465,321,4465,320,4460,320,4445,311xm4428,301l4080,301,4080,321,4428,321,4445,311,4428,301xm4468,301l4465,301,4465,321,4468,321,4485,311,4468,301xm4460,302l4445,311,4460,320,4460,302xm4465,302l4460,302,4460,320,4465,320,4465,302xm4345,230l4339,231,4334,241,4335,247,4445,311,4460,302,4465,302,4465,301,4468,301,4345,230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4"/>
        </w:rPr>
        <w:t>Direct:</w:t>
      </w:r>
      <w:r>
        <w:rPr>
          <w:i/>
          <w:spacing w:val="-3"/>
          <w:sz w:val="24"/>
        </w:rPr>
        <w:t> </w:t>
      </w:r>
      <w:r>
        <w:rPr>
          <w:b/>
          <w:sz w:val="24"/>
        </w:rPr>
        <w:t>Income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Inequality     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Outcomes</w:t>
      </w:r>
      <w:r>
        <w:rPr>
          <w:b/>
          <w:spacing w:val="-1"/>
          <w:sz w:val="24"/>
        </w:rPr>
        <w:t> </w:t>
      </w:r>
      <w:r>
        <w:rPr>
          <w:sz w:val="22"/>
        </w:rPr>
        <w:t>(via</w:t>
      </w:r>
      <w:r>
        <w:rPr>
          <w:spacing w:val="-1"/>
          <w:sz w:val="22"/>
        </w:rPr>
        <w:t> </w:t>
      </w:r>
      <w:r>
        <w:rPr>
          <w:sz w:val="22"/>
        </w:rPr>
        <w:t>stress,</w:t>
      </w:r>
      <w:r>
        <w:rPr>
          <w:spacing w:val="-3"/>
          <w:sz w:val="22"/>
        </w:rPr>
        <w:t> </w:t>
      </w:r>
      <w:r>
        <w:rPr>
          <w:sz w:val="22"/>
        </w:rPr>
        <w:t>depression,</w:t>
      </w:r>
      <w:r>
        <w:rPr>
          <w:spacing w:val="-4"/>
          <w:sz w:val="22"/>
        </w:rPr>
        <w:t> </w:t>
      </w:r>
      <w:r>
        <w:rPr>
          <w:sz w:val="22"/>
        </w:rPr>
        <w:t>frustration,</w:t>
      </w:r>
      <w:r>
        <w:rPr>
          <w:spacing w:val="-1"/>
          <w:sz w:val="22"/>
        </w:rPr>
        <w:t> </w:t>
      </w:r>
      <w:r>
        <w:rPr>
          <w:sz w:val="22"/>
        </w:rPr>
        <w:t>fear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shock)</w:t>
      </w:r>
    </w:p>
    <w:p>
      <w:pPr>
        <w:pStyle w:val="BodyText"/>
        <w:spacing w:before="1"/>
        <w:rPr>
          <w:sz w:val="22"/>
        </w:rPr>
      </w:pPr>
    </w:p>
    <w:p>
      <w:pPr>
        <w:spacing w:line="360" w:lineRule="auto" w:before="0"/>
        <w:ind w:left="160" w:right="158" w:firstLine="0"/>
        <w:jc w:val="both"/>
        <w:rPr>
          <w:b/>
          <w:sz w:val="24"/>
        </w:rPr>
      </w:pPr>
      <w:r>
        <w:rPr/>
        <w:pict>
          <v:shape style="position:absolute;margin-left:209.279999pt;margin-top:5.83312pt;width:20.25pt;height:8.15pt;mso-position-horizontal-relative:page;mso-position-vertical-relative:paragraph;z-index:-43073536" coordorigin="4186,117" coordsize="405,163" path="m4551,198l4441,262,4439,268,4445,278,4451,279,4573,208,4571,208,4571,207,4566,207,4551,198xm4534,188l4186,188,4186,208,4534,208,4551,198,4534,188xm4573,188l4571,188,4571,208,4573,208,4591,198,4573,188xm4566,189l4551,198,4566,207,4566,189xm4571,189l4566,189,4566,207,4571,207,4571,189xm4451,117l4445,118,4439,128,4441,134,4551,198,4566,189,4571,189,4571,188,4573,188,4451,11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1.720001pt;margin-top:44.232121pt;width:20.25pt;height:8.15pt;mso-position-horizontal-relative:page;mso-position-vertical-relative:paragraph;z-index:-43073024" coordorigin="5234,885" coordsize="405,163" path="m5600,966l5490,1030,5488,1036,5494,1046,5500,1047,5622,976,5620,976,5620,975,5615,975,5600,966xm5583,956l5234,956,5234,976,5583,976,5600,966,5583,956xm5622,956l5620,956,5620,976,5622,976,5639,966,5622,956xm5615,957l5600,966,5615,975,5615,957xm5620,957l5615,957,5615,975,5620,975,5620,957xm5500,885l5494,886,5488,896,5490,902,5600,966,5615,957,5620,957,5620,956,5622,956,5500,885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4"/>
        </w:rPr>
        <w:t>Indirect: </w:t>
      </w:r>
      <w:r>
        <w:rPr>
          <w:b/>
          <w:sz w:val="24"/>
        </w:rPr>
        <w:t>Income inequality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Household characteristics </w:t>
      </w:r>
      <w:r>
        <w:rPr>
          <w:sz w:val="24"/>
        </w:rPr>
        <w:t>(through</w:t>
      </w:r>
      <w:r>
        <w:rPr>
          <w:spacing w:val="1"/>
          <w:sz w:val="24"/>
        </w:rPr>
        <w:t> </w:t>
      </w:r>
      <w:r>
        <w:rPr>
          <w:sz w:val="24"/>
        </w:rPr>
        <w:t>family size, quality and</w:t>
      </w:r>
      <w:r>
        <w:rPr>
          <w:spacing w:val="1"/>
          <w:sz w:val="24"/>
        </w:rPr>
        <w:t> </w:t>
      </w:r>
      <w:r>
        <w:rPr>
          <w:sz w:val="24"/>
        </w:rPr>
        <w:t>quantity of foods, access to drinkable water, housing conditions, lifestyle, and demand for timely</w:t>
      </w:r>
      <w:r>
        <w:rPr>
          <w:spacing w:val="-57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services among</w:t>
      </w:r>
      <w:r>
        <w:rPr>
          <w:spacing w:val="-3"/>
          <w:sz w:val="24"/>
        </w:rPr>
        <w:t> </w:t>
      </w:r>
      <w:r>
        <w:rPr>
          <w:sz w:val="24"/>
        </w:rPr>
        <w:t>households)</w:t>
      </w:r>
      <w:r>
        <w:rPr>
          <w:spacing w:val="32"/>
          <w:sz w:val="24"/>
        </w:rPr>
        <w:t> </w:t>
      </w:r>
      <w:r>
        <w:rPr>
          <w:b/>
          <w:sz w:val="24"/>
        </w:rPr>
        <w:t>Health Outcomes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1280" w:right="1280"/>
        </w:sectPr>
      </w:pPr>
    </w:p>
    <w:p>
      <w:pPr>
        <w:pStyle w:val="BodyText"/>
        <w:spacing w:before="11"/>
        <w:rPr>
          <w:b/>
          <w:sz w:val="17"/>
        </w:rPr>
      </w:pPr>
      <w:r>
        <w:rPr/>
        <w:pict>
          <v:shape style="position:absolute;margin-left:534.719971pt;margin-top:190.330002pt;width:20.25pt;height:8.15pt;mso-position-horizontal-relative:page;mso-position-vertical-relative:page;z-index:15768064" coordorigin="10694,3807" coordsize="405,163" path="m11060,3888l10950,3952,10948,3958,10954,3968,10960,3969,11082,3898,11080,3898,11080,3897,11075,3897,11060,3888xm11043,3878l10694,3878,10694,3898,11043,3898,11060,3888,11043,3878xm11082,3878l11080,3878,11080,3898,11082,3898,11099,3888,11082,3878xm11075,3879l11060,3888,11075,3897,11075,3879xm11080,3879l11075,3879,11075,3897,11080,3897,11080,3879xm10960,3807l10954,3808,10948,3818,10950,3824,11060,3888,11075,3879,11080,3879,11080,3878,11082,3878,10960,3807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768576" from="185.279999pt,260.160004pt" to="191.999999pt,260.160004pt" stroked="true" strokeweight=".48pt" strokecolor="#000000">
            <v:stroke dashstyle="solid"/>
            <w10:wrap type="none"/>
          </v:line>
        </w:pict>
      </w:r>
    </w:p>
    <w:p>
      <w:pPr>
        <w:pStyle w:val="Heading1"/>
        <w:spacing w:before="89"/>
        <w:ind w:left="4161" w:right="4200"/>
      </w:pPr>
      <w:r>
        <w:rPr/>
        <w:pict>
          <v:group style="position:absolute;margin-left:191.759995pt;margin-top:75.590324pt;width:133.950pt;height:259.3500pt;mso-position-horizontal-relative:page;mso-position-vertical-relative:paragraph;z-index:15765504" coordorigin="3835,1512" coordsize="2679,5187">
            <v:shape style="position:absolute;left:4814;top:1511;width:405;height:163" coordorigin="4814,1512" coordsize="405,163" path="m5180,1593l5070,1657,5068,1663,5074,1673,5080,1675,5202,1603,5200,1603,5200,1602,5195,1602,5180,1593xm5163,1583l4814,1583,4814,1603,5163,1603,5180,1593,5163,1583xm5202,1583l5200,1583,5200,1603,5202,1603,5219,1593,5202,1583xm5195,1585l5180,1593,5195,1602,5195,1585xm5200,1585l5195,1585,5195,1602,5200,1602,5200,1585xm5080,1512l5074,1513,5068,1523,5070,1529,5180,1593,5195,1585,5200,1585,5200,1583,5202,1583,5080,1512xe" filled="true" fillcolor="#000000" stroked="false">
              <v:path arrowok="t"/>
              <v:fill type="solid"/>
            </v:shape>
            <v:line style="position:absolute" from="4800,1593" to="4800,6183" stroked="true" strokeweight=".48pt" strokecolor="#000000">
              <v:stroke dashstyle="solid"/>
            </v:line>
            <v:shape style="position:absolute;left:4800;top:6098;width:405;height:163" coordorigin="4800,6098" coordsize="405,163" path="m5165,6180l5055,6244,5054,6250,5059,6259,5065,6261,5188,6190,5185,6190,5185,6188,5180,6188,5165,6180xm5148,6170l4800,6170,4800,6190,5148,6190,5165,6180,5148,6170xm5188,6170l5185,6170,5185,6190,5188,6190,5205,6180,5188,6170xm5180,6171l5165,6180,5180,6188,5180,6171xm5185,6171l5180,6171,5180,6188,5185,6188,5185,6171xm5065,6098l5059,6100,5054,6109,5055,6115,5165,6180,5180,6171,5185,6171,5185,6170,5188,6170,5065,6098xe" filled="true" fillcolor="#000000" stroked="false">
              <v:path arrowok="t"/>
              <v:fill type="solid"/>
            </v:shape>
            <v:line style="position:absolute" from="4711,3856" to="4816,3856" stroked="true" strokeweight=".48pt" strokecolor="#000000">
              <v:stroke dashstyle="solid"/>
            </v:line>
            <v:shape style="position:absolute;left:3840;top:3602;width:872;height:555" type="#_x0000_t202" filled="false" stroked="true" strokeweight=".48pt" strokecolor="#000000">
              <v:textbox inset="0,0,0,0">
                <w:txbxContent>
                  <w:p>
                    <w:pPr>
                      <w:spacing w:line="249" w:lineRule="auto" w:before="70"/>
                      <w:ind w:left="372" w:right="144" w:hanging="216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PANEL</w:t>
                    </w:r>
                    <w:r>
                      <w:rPr>
                        <w:b/>
                        <w:spacing w:val="-37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5203;top:5613;width:1306;height:1080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sz w:val="27"/>
                      </w:rPr>
                    </w:pPr>
                  </w:p>
                  <w:p>
                    <w:pPr>
                      <w:spacing w:line="244" w:lineRule="auto" w:before="1"/>
                      <w:ind w:left="224" w:right="129" w:hanging="77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INDIRECT</w:t>
                    </w:r>
                    <w:r>
                      <w:rPr>
                        <w:b/>
                        <w:spacing w:val="-4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EFFECTS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22.410004pt;margin-top:37.660328pt;width:114.15pt;height:50.3pt;mso-position-horizontal-relative:page;mso-position-vertical-relative:paragraph;z-index:15766016" coordorigin="6448,753" coordsize="2283,1006">
            <v:shape style="position:absolute;left:6448;top:1165;width:393;height:167" type="#_x0000_t75" stroked="false">
              <v:imagedata r:id="rId150" o:title=""/>
            </v:shape>
            <v:shape style="position:absolute;left:8325;top:1211;width:405;height:163" coordorigin="8326,1212" coordsize="405,163" path="m8691,1293l8581,1357,8579,1363,8585,1373,8591,1375,8713,1303,8711,1303,8711,1302,8706,1302,8691,1293xm8674,1283l8326,1283,8326,1303,8674,1303,8691,1293,8674,1283xm8713,1283l8711,1283,8711,1303,8713,1303,8731,1293,8713,1283xm8706,1285l8691,1293,8706,1302,8706,1285xm8711,1285l8706,1285,8706,1302,8711,1302,8711,1285xm8591,1212l8585,1213,8579,1223,8581,1229,8691,1293,8706,1285,8711,1285,8711,1283,8713,1283,8591,1212xe" filled="true" fillcolor="#000000" stroked="false">
              <v:path arrowok="t"/>
              <v:fill type="solid"/>
            </v:shape>
            <v:rect style="position:absolute;left:6840;top:753;width:1532;height:1006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260.760010pt;margin-top:37.420326pt;width:158.050pt;height:110.8pt;mso-position-horizontal-relative:page;mso-position-vertical-relative:paragraph;z-index:15766528" coordorigin="5215,748" coordsize="3161,2216">
            <v:shape style="position:absolute;left:6449;top:2423;width:497;height:163" coordorigin="6449,2423" coordsize="497,163" path="m6889,2533l6787,2567,6784,2573,6788,2583,6793,2586,6798,2584,6929,2540,6925,2540,6889,2533xm6907,2526l6889,2533,6925,2540,6925,2538,6920,2538,6907,2526xm6826,2427l6819,2427,6816,2431,6812,2435,6812,2441,6817,2445,6893,2513,6929,2520,6925,2540,6929,2540,6946,2534,6826,2427xm6924,2521l6907,2526,6920,2538,6924,2521xm6929,2521l6924,2521,6920,2538,6925,2538,6929,2521xm6453,2423l6449,2443,6889,2533,6907,2526,6893,2513,6453,2423xm6893,2513l6907,2526,6924,2521,6929,2521,6929,2520,6893,2513xe" filled="true" fillcolor="#000000" stroked="false">
              <v:path arrowok="t"/>
              <v:fill type="solid"/>
            </v:shape>
            <v:shape style="position:absolute;left:5220;top:964;width:1232;height:1995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9"/>
                      </w:rPr>
                    </w:pPr>
                  </w:p>
                  <w:p>
                    <w:pPr>
                      <w:spacing w:line="242" w:lineRule="auto" w:before="1"/>
                      <w:ind w:left="161" w:right="148" w:firstLine="6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DIRECT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sz w:val="20"/>
                      </w:rPr>
                      <w:t>EFFECTS</w:t>
                    </w:r>
                  </w:p>
                </w:txbxContent>
              </v:textbox>
              <v:stroke dashstyle="solid"/>
              <w10:wrap type="none"/>
            </v:shape>
            <v:shape style="position:absolute;left:6840;top:753;width:1532;height:1006" type="#_x0000_t202" filled="false" stroked="true" strokeweight=".48pt" strokecolor="#000000">
              <v:textbox inset="0,0,0,0">
                <w:txbxContent>
                  <w:p>
                    <w:pPr>
                      <w:spacing w:before="67"/>
                      <w:ind w:left="149" w:right="152" w:firstLine="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SOCIAL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COMPARISON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COMPETITION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555.479980pt;margin-top:31.420326pt;width:187pt;height:397.2pt;mso-position-horizontal-relative:page;mso-position-vertical-relative:paragraph;z-index:-43069952" coordorigin="11110,628" coordsize="3740,7944">
            <v:shape style="position:absolute;left:12885;top:2351;width:405;height:163" coordorigin="12886,2352" coordsize="405,163" path="m13251,2433l13141,2497,13139,2503,13145,2513,13151,2515,13273,2443,13271,2443,13271,2442,13266,2442,13251,2433xm13234,2423l12886,2423,12886,2443,13234,2443,13251,2433,13234,2423xm13273,2423l13271,2423,13271,2443,13273,2443,13291,2433,13273,2423xm13266,2425l13251,2433,13266,2442,13266,2425xm13271,2425l13266,2425,13266,2442,13271,2442,13271,2425xm13151,2352l13145,2353,13139,2363,13141,2369,13251,2433,13266,2425,13271,2425,13271,2423,13273,2423,13151,2352xe" filled="true" fillcolor="#000000" stroked="false">
              <v:path arrowok="t"/>
              <v:fill type="solid"/>
            </v:shape>
            <v:shape style="position:absolute;left:11114;top:2147;width:1772;height:706" type="#_x0000_t202" filled="false" stroked="true" strokeweight=".48pt" strokecolor="#000000">
              <v:textbox inset="0,0,0,0">
                <w:txbxContent>
                  <w:p>
                    <w:pPr>
                      <w:spacing w:before="67"/>
                      <w:ind w:left="590" w:right="591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*Fear</w:t>
                    </w:r>
                  </w:p>
                  <w:p>
                    <w:pPr>
                      <w:spacing w:before="7"/>
                      <w:ind w:left="591" w:right="591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*Shock</w:t>
                    </w:r>
                  </w:p>
                </w:txbxContent>
              </v:textbox>
              <v:stroke dashstyle="solid"/>
              <w10:wrap type="none"/>
            </v:shape>
            <v:shape style="position:absolute;left:13291;top:633;width:1553;height:7935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1"/>
                      </w:rPr>
                    </w:pPr>
                  </w:p>
                  <w:p>
                    <w:pPr>
                      <w:spacing w:line="256" w:lineRule="auto" w:before="0"/>
                      <w:ind w:left="160" w:right="153" w:hanging="1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HEALTH</w:t>
                    </w:r>
                    <w:r>
                      <w:rPr>
                        <w:b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OUTCOMES</w:t>
                    </w:r>
                  </w:p>
                  <w:p>
                    <w:pPr>
                      <w:spacing w:line="259" w:lineRule="auto" w:before="163"/>
                      <w:ind w:left="256" w:right="250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(Illness and</w:t>
                    </w:r>
                    <w:r>
                      <w:rPr>
                        <w:b/>
                        <w:spacing w:val="-50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Deaths)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46.920013pt;margin-top:98.980324pt;width:188.05pt;height:58.95pt;mso-position-horizontal-relative:page;mso-position-vertical-relative:paragraph;z-index:15767552" coordorigin="6938,1980" coordsize="3761,1179">
            <v:shape style="position:absolute;left:8640;top:2531;width:405;height:163" coordorigin="8640,2532" coordsize="405,163" path="m9005,2613l8895,2677,8894,2683,8899,2693,8905,2695,9028,2623,9025,2623,9025,2622,9020,2622,9005,2613xm8988,2603l8640,2603,8640,2623,8988,2623,9005,2613,8988,2603xm9028,2603l9025,2603,9025,2623,9028,2623,9045,2613,9028,2603xm9020,2605l9005,2613,9020,2622,9020,2605xm9025,2605l9020,2605,9020,2622,9025,2622,9025,2605xm8905,2532l8899,2533,8894,2543,8895,2549,9005,2613,9020,2605,9025,2605,9025,2603,9028,2603,8905,2532xe" filled="true" fillcolor="#000000" stroked="false">
              <v:path arrowok="t"/>
              <v:fill type="solid"/>
            </v:shape>
            <v:shape style="position:absolute;left:6943;top:2133;width:1697;height:929" type="#_x0000_t202" filled="false" stroked="true" strokeweight=".48pt" strokecolor="#000000">
              <v:textbox inset="0,0,0,0">
                <w:txbxContent>
                  <w:p>
                    <w:pPr>
                      <w:spacing w:before="67"/>
                      <w:ind w:left="195" w:right="198" w:firstLine="2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SOCIAL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COHESION AND</w:t>
                    </w:r>
                    <w:r>
                      <w:rPr>
                        <w:spacing w:val="-4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SOCIAL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pacing w:val="-1"/>
                        <w:sz w:val="17"/>
                      </w:rPr>
                      <w:t>DYSFUNCTIONS</w:t>
                    </w:r>
                  </w:p>
                </w:txbxContent>
              </v:textbox>
              <v:stroke dashstyle="solid"/>
              <w10:wrap type="none"/>
            </v:shape>
            <v:shape style="position:absolute;left:9045;top:1984;width:1649;height:1169" type="#_x0000_t202" filled="false" stroked="true" strokeweight=".48pt" strokecolor="#000000">
              <v:textbox inset="0,0,0,0">
                <w:txbxContent>
                  <w:p>
                    <w:pPr>
                      <w:spacing w:line="207" w:lineRule="exact" w:before="67"/>
                      <w:ind w:left="329" w:right="32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*Theft</w:t>
                    </w:r>
                  </w:p>
                  <w:p>
                    <w:pPr>
                      <w:spacing w:line="207" w:lineRule="exact" w:before="0"/>
                      <w:ind w:left="329" w:right="32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*Crime</w:t>
                    </w:r>
                  </w:p>
                  <w:p>
                    <w:pPr>
                      <w:spacing w:line="207" w:lineRule="exact" w:before="0"/>
                      <w:ind w:left="329" w:right="32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*Low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trust</w:t>
                    </w:r>
                  </w:p>
                  <w:p>
                    <w:pPr>
                      <w:spacing w:line="207" w:lineRule="exact" w:before="0"/>
                      <w:ind w:left="329" w:right="32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*Kidnapping</w:t>
                    </w:r>
                  </w:p>
                  <w:p>
                    <w:pPr>
                      <w:spacing w:before="2"/>
                      <w:ind w:left="329" w:right="32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*Insecurity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3"/>
        </w:rPr>
        <w:t> </w:t>
      </w:r>
      <w:r>
        <w:rPr/>
        <w:t>CONCEPTUAL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rPr>
          <w:b/>
          <w:sz w:val="19"/>
        </w:rPr>
      </w:pPr>
      <w:r>
        <w:rPr/>
        <w:pict>
          <v:group style="position:absolute;margin-left:434.76001pt;margin-top:12.927197pt;width:229.8pt;height:58.35pt;mso-position-horizontal-relative:page;mso-position-vertical-relative:paragraph;z-index:-15692800;mso-wrap-distance-left:0;mso-wrap-distance-right:0" coordorigin="8695,259" coordsize="4596,1167">
            <v:shape style="position:absolute;left:12885;top:846;width:405;height:163" coordorigin="12886,847" coordsize="405,163" path="m13251,928l13141,992,13139,998,13145,1008,13151,1010,13273,938,13271,938,13271,937,13266,937,13251,928xm13234,918l12886,918,12886,938,13234,938,13251,928,13234,918xm13273,918l13271,918,13271,938,13273,938,13291,928,13273,918xm13266,920l13251,928,13266,937,13266,920xm13271,920l13266,920,13266,937,13271,937,13271,920xm13151,847l13145,848,13139,858,13141,864,13251,928,13266,920,13271,920,13271,918,13273,918,13151,847xe" filled="true" fillcolor="#000000" stroked="false">
              <v:path arrowok="t"/>
              <v:fill type="solid"/>
            </v:shape>
            <v:rect style="position:absolute;left:11145;top:628;width:1829;height:600" filled="true" fillcolor="#ffffff" stroked="false">
              <v:fill type="solid"/>
            </v:rect>
            <v:shape style="position:absolute;left:10740;top:829;width:405;height:163" coordorigin="10740,830" coordsize="405,163" path="m11105,911l10995,976,10994,982,10999,991,11005,993,11128,921,11125,921,11125,920,11120,920,11105,911xm11088,901l10740,901,10740,921,11088,921,11105,911,11088,901xm11128,901l11125,901,11125,921,11128,921,11145,911,11128,901xm11120,903l11105,911,11120,920,11120,903xm11125,903l11120,903,11120,920,11125,920,11125,903xm11005,830l10999,832,10994,841,10995,847,11105,911,11120,903,11125,903,11125,901,11128,901,11005,830xe" filled="true" fillcolor="#000000" stroked="false">
              <v:path arrowok="t"/>
              <v:fill type="solid"/>
            </v:shape>
            <v:shape style="position:absolute;left:11145;top:628;width:1829;height:600" type="#_x0000_t202" filled="false" stroked="true" strokeweight=".48pt" strokecolor="#000000">
              <v:textbox inset="0,0,0,0">
                <w:txbxContent>
                  <w:p>
                    <w:pPr>
                      <w:spacing w:before="67"/>
                      <w:ind w:left="527" w:right="168" w:hanging="354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Low Immunological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Resistance</w:t>
                    </w:r>
                  </w:p>
                </w:txbxContent>
              </v:textbox>
              <v:stroke dashstyle="solid"/>
              <w10:wrap type="none"/>
            </v:shape>
            <v:shape style="position:absolute;left:8700;top:263;width:2040;height:1157" type="#_x0000_t202" filled="false" stroked="true" strokeweight=".48pt" strokecolor="#000000">
              <v:textbox inset="0,0,0,0">
                <w:txbxContent>
                  <w:p>
                    <w:pPr>
                      <w:spacing w:before="67"/>
                      <w:ind w:left="194" w:right="195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*Long-Working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Hours,</w:t>
                    </w:r>
                  </w:p>
                  <w:p>
                    <w:pPr>
                      <w:spacing w:line="195" w:lineRule="exact" w:before="1"/>
                      <w:ind w:left="194" w:right="194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*Debt</w:t>
                    </w:r>
                    <w:r>
                      <w:rPr>
                        <w:spacing w:val="-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Burden</w:t>
                    </w:r>
                  </w:p>
                  <w:p>
                    <w:pPr>
                      <w:spacing w:line="195" w:lineRule="exact" w:before="0"/>
                      <w:ind w:left="194" w:right="192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*Depression</w:t>
                    </w:r>
                  </w:p>
                  <w:p>
                    <w:pPr>
                      <w:spacing w:before="2"/>
                      <w:ind w:left="194" w:right="191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*Frustration</w:t>
                    </w:r>
                  </w:p>
                  <w:p>
                    <w:pPr>
                      <w:spacing w:before="6"/>
                      <w:ind w:left="194" w:right="194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*Stress</w:t>
                    </w:r>
                    <w:r>
                      <w:rPr>
                        <w:spacing w:val="-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and</w:t>
                    </w:r>
                    <w:r>
                      <w:rPr>
                        <w:spacing w:val="-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Anxiety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before="90"/>
        <w:ind w:left="618"/>
      </w:pPr>
      <w:r>
        <w:rPr/>
        <w:pict>
          <v:group style="position:absolute;margin-left:325.559998pt;margin-top:-280.792877pt;width:339pt;height:282.5pt;mso-position-horizontal-relative:page;mso-position-vertical-relative:paragraph;z-index:-43072000" coordorigin="6511,-5616" coordsize="6780,5650">
            <v:shape style="position:absolute;left:7860;top:-5287;width:1080;height:163" coordorigin="7860,-5287" coordsize="1080,163" path="m8900,-5205l8790,-5141,8789,-5135,8794,-5126,8800,-5124,8923,-5195,8920,-5195,8920,-5197,8915,-5197,8900,-5205xm8883,-5215l7860,-5215,7860,-5195,8883,-5195,8900,-5205,8883,-5215xm8923,-5215l8920,-5215,8920,-5195,8923,-5195,8940,-5205,8923,-5215xm8915,-5214l8900,-5205,8915,-5197,8915,-5214xm8920,-5214l8915,-5214,8915,-5197,8920,-5197,8920,-5214xm8800,-5287l8794,-5285,8789,-5276,8790,-5270,8900,-5205,8915,-5214,8920,-5214,8920,-5215,8923,-5215,8800,-5287xe" filled="true" fillcolor="#000000" stroked="false">
              <v:path arrowok="t"/>
              <v:fill type="solid"/>
            </v:shape>
            <v:rect style="position:absolute;left:7020;top:-5612;width:1652;height:840" filled="true" fillcolor="#ffffff" stroked="false">
              <v:fill type="solid"/>
            </v:rect>
            <v:shape style="position:absolute;left:12211;top:-5242;width:1080;height:163" coordorigin="12211,-5241" coordsize="1080,163" path="m13252,-5160l13142,-5096,13140,-5090,13146,-5080,13152,-5078,13274,-5150,13271,-5150,13271,-5151,13266,-5151,13252,-5160xm13235,-5170l12211,-5170,12211,-5150,13235,-5150,13252,-5160,13235,-5170xm13274,-5170l13271,-5170,13271,-5150,13274,-5150,13291,-5160,13274,-5170xm13266,-5168l13252,-5160,13266,-5151,13266,-5168xm13271,-5168l13266,-5168,13266,-5151,13271,-5151,13271,-5168xm13152,-5241l13146,-5240,13140,-5230,13142,-5224,13252,-5160,13266,-5168,13271,-5168,13271,-5170,13274,-5170,13152,-5241xe" filled="true" fillcolor="#000000" stroked="false">
              <v:path arrowok="t"/>
              <v:fill type="solid"/>
            </v:shape>
            <v:rect style="position:absolute;left:8925;top:-5612;width:4155;height:840" filled="true" fillcolor="#ffffff" stroked="false">
              <v:fill type="solid"/>
            </v:rect>
            <v:line style="position:absolute" from="6629,-5297" to="6614,-737" stroked="true" strokeweight=".48pt" strokecolor="#000000">
              <v:stroke dashstyle="solid"/>
            </v:line>
            <v:shape style="position:absolute;left:6631;top:-5376;width:2280;height:1406" coordorigin="6631,-5376" coordsize="2280,1406" path="m7036,-5294l7019,-5304,6897,-5376,6891,-5374,6885,-5364,6887,-5358,6979,-5304,6631,-5304,6631,-5284,6980,-5284,6997,-5294,6887,-5230,6885,-5224,6891,-5214,6897,-5213,7019,-5284,7036,-5294xm8911,-4051l8893,-4061,8771,-4132,8765,-4131,8759,-4121,8761,-4115,8854,-4061,8506,-4061,8506,-4041,8854,-4041,8761,-3987,8759,-3981,8765,-3971,8771,-3970,8893,-4041,8911,-4051xe" filled="true" fillcolor="#000000" stroked="false">
              <v:path arrowok="t"/>
              <v:fill type="solid"/>
            </v:shape>
            <v:rect style="position:absolute;left:7051;top:-4443;width:1680;height:826" filled="true" fillcolor="#ffffff" stroked="false">
              <v:fill type="solid"/>
            </v:rect>
            <v:shape style="position:absolute;left:10740;top:-4162;width:405;height:163" coordorigin="10740,-4161" coordsize="405,163" path="m11105,-4080l10995,-4016,10994,-4010,10999,-4000,11005,-3998,11128,-4070,11125,-4070,11125,-4071,11120,-4071,11105,-4080xm11088,-4090l10740,-4090,10740,-4070,11088,-4070,11105,-4080,11088,-4090xm11128,-4090l11125,-4090,11125,-4070,11128,-4070,11145,-4080,11128,-4090xm11120,-4088l11105,-4080,11120,-4071,11120,-4088xm11125,-4088l11120,-4088,11120,-4071,11125,-4071,11125,-4088xm11005,-4161l10999,-4160,10994,-4150,10995,-4144,11105,-4080,11120,-4088,11125,-4088,11125,-4090,11128,-4090,11005,-4161xe" filled="true" fillcolor="#000000" stroked="false">
              <v:path arrowok="t"/>
              <v:fill type="solid"/>
            </v:shape>
            <v:rect style="position:absolute;left:8925;top:-4412;width:1966;height:780" filled="true" fillcolor="#ffffff" stroked="false">
              <v:fill type="solid"/>
            </v:rect>
            <v:shape style="position:absolute;left:12211;top:-4133;width:1080;height:163" coordorigin="12211,-4132" coordsize="1080,163" path="m13252,-4051l13142,-3987,13140,-3981,13146,-3971,13152,-3970,13274,-4041,13271,-4041,13271,-4042,13266,-4042,13252,-4051xm13235,-4061l12211,-4061,12211,-4041,13235,-4041,13252,-4051,13235,-4061xm13274,-4061l13271,-4061,13271,-4041,13274,-4041,13291,-4051,13274,-4061xm13266,-4060l13252,-4051,13266,-4042,13266,-4060xm13271,-4060l13266,-4060,13266,-4042,13271,-4042,13271,-4060xm13152,-4132l13146,-4131,13140,-4121,13142,-4115,13252,-4051,13266,-4060,13271,-4060,13271,-4061,13274,-4061,13152,-4132xe" filled="true" fillcolor="#000000" stroked="false">
              <v:path arrowok="t"/>
              <v:fill type="solid"/>
            </v:shape>
            <v:rect style="position:absolute;left:11100;top:-4412;width:1920;height:646" filled="true" fillcolor="#ffffff" stroked="false">
              <v:fill type="solid"/>
            </v:rect>
            <v:shape style="position:absolute;left:6645;top:-4164;width:405;height:163" coordorigin="6646,-4164" coordsize="405,163" path="m7011,-4082l6901,-4018,6899,-4012,6905,-4002,6911,-4001,7033,-4072,7031,-4072,7031,-4074,7026,-4074,7011,-4082xm6994,-4092l6646,-4092,6646,-4072,6994,-4072,7011,-4082,6994,-4092xm7033,-4092l7031,-4092,7031,-4072,7033,-4072,7051,-4082,7033,-4092xm7026,-4091l7011,-4082,7026,-4074,7026,-4091xm7031,-4091l7026,-4091,7026,-4074,7031,-4074,7031,-4091xm6911,-4164l6905,-4162,6899,-4152,6901,-4146,7011,-4082,7026,-4091,7031,-4091,7031,-4092,7033,-4092,6911,-4164xe" filled="true" fillcolor="#000000" stroked="false">
              <v:path arrowok="t"/>
              <v:fill type="solid"/>
            </v:shape>
            <v:shape style="position:absolute;left:6914;top:-3452;width:2040;height:1680" coordorigin="6914,-3451" coordsize="2040,1680" path="m6914,-2417l8431,-2417,8431,-3451,6914,-3451,6914,-2417xm7051,-1771l8954,-1771,8954,-2371,7051,-2371,7051,-1771xe" filled="false" stroked="true" strokeweight=".48pt" strokecolor="#000000">
              <v:path arrowok="t"/>
              <v:stroke dashstyle="solid"/>
            </v:shape>
            <v:shape style="position:absolute;left:12211;top:-3007;width:1080;height:163" coordorigin="12211,-3007" coordsize="1080,163" path="m13252,-2925l13142,-2861,13140,-2855,13146,-2846,13152,-2844,13274,-2915,13271,-2915,13271,-2917,13266,-2917,13252,-2925xm13235,-2935l12211,-2935,12211,-2915,13235,-2915,13252,-2925,13235,-2935xm13274,-2935l13271,-2935,13271,-2915,13274,-2915,13291,-2925,13274,-2935xm13266,-2934l13252,-2925,13266,-2917,13266,-2934xm13271,-2934l13266,-2934,13266,-2917,13271,-2917,13271,-2934xm13152,-3007l13146,-3005,13140,-2996,13142,-2990,13252,-2925,13266,-2934,13271,-2934,13271,-2935,13274,-2935,13152,-3007xe" filled="true" fillcolor="#000000" stroked="false">
              <v:path arrowok="t"/>
              <v:fill type="solid"/>
            </v:shape>
            <v:rect style="position:absolute;left:8774;top:-3243;width:4306;height:646" filled="true" fillcolor="#ffffff" stroked="false">
              <v:fill type="solid"/>
            </v:rect>
            <v:shape style="position:absolute;left:12211;top:-2287;width:1080;height:163" coordorigin="12211,-2287" coordsize="1080,163" path="m13252,-2205l13142,-2141,13140,-2135,13146,-2126,13152,-2124,13274,-2195,13271,-2195,13271,-2197,13266,-2197,13252,-2205xm13235,-2215l12211,-2215,12211,-2195,13235,-2195,13252,-2205,13235,-2215xm13274,-2215l13271,-2215,13271,-2195,13274,-2195,13291,-2205,13274,-2215xm13266,-2214l13252,-2205,13266,-2197,13266,-2214xm13271,-2214l13266,-2214,13266,-2197,13271,-2197,13271,-2214xm13152,-2287l13146,-2285,13140,-2276,13142,-2270,13252,-2205,13266,-2214,13271,-2214,13271,-2215,13274,-2215,13152,-2287xe" filled="true" fillcolor="#000000" stroked="false">
              <v:path arrowok="t"/>
              <v:fill type="solid"/>
            </v:shape>
            <v:rect style="position:absolute;left:9360;top:-2417;width:3332;height:646" filled="true" fillcolor="#ffffff" stroked="false">
              <v:fill type="solid"/>
            </v:rect>
            <v:shape style="position:absolute;left:6511;top:-3022;width:6780;height:2758" coordorigin="6511,-3021" coordsize="6780,2758" path="m6916,-2940l6899,-2950,6777,-3021,6771,-3020,6765,-3010,6767,-3004,6859,-2950,6511,-2950,6511,-2930,6859,-2930,6767,-2876,6765,-2870,6771,-2860,6777,-2858,6899,-2930,6916,-2940xm7051,-2102l7033,-2112,6911,-2184,6905,-2182,6899,-2172,6901,-2166,6994,-2112,6646,-2112,6646,-2092,6994,-2092,6901,-2038,6899,-2032,6905,-2022,6911,-2021,7033,-2092,7051,-2102xm8519,-1125l8502,-1135,8380,-1207,8374,-1205,8368,-1196,8370,-1190,8463,-1135,8114,-1135,8114,-1115,8463,-1115,8370,-1061,8368,-1055,8374,-1046,8380,-1044,8502,-1115,8519,-1125xm8536,-345l8519,-355,8397,-427,8391,-425,8385,-416,8387,-410,8479,-355,8131,-355,8131,-335,8479,-335,8387,-281,8385,-275,8391,-266,8397,-264,8519,-335,8536,-345xm9751,-345l9733,-355,9611,-427,9605,-425,9599,-416,9601,-410,9694,-355,9346,-355,9346,-335,9694,-335,9601,-281,9599,-275,9605,-266,9611,-264,9733,-335,9751,-345xm13291,-991l13273,-1001,13151,-1072,13145,-1071,13139,-1061,13141,-1055,13234,-1001,12886,-1001,12886,-981,13234,-981,13141,-927,13139,-921,13145,-911,13151,-910,13273,-981,13291,-991xe" filled="true" fillcolor="#000000" stroked="false">
              <v:path arrowok="t"/>
              <v:fill type="solid"/>
            </v:shape>
            <v:rect style="position:absolute;left:7020;top:-1352;width:1352;height:1126" filled="true" fillcolor="#ffffff" stroked="false">
              <v:fill type="solid"/>
            </v:rect>
            <v:shape style="position:absolute;left:9285;top:-1239;width:405;height:163" coordorigin="9286,-1238" coordsize="405,163" path="m9651,-1157l9541,-1092,9539,-1086,9545,-1077,9551,-1075,9673,-1147,9671,-1147,9671,-1148,9666,-1148,9651,-1157xm9634,-1167l9286,-1167,9286,-1147,9634,-1147,9651,-1157,9634,-1167xm9673,-1167l9671,-1167,9671,-1147,9673,-1147,9691,-1157,9673,-1167xm9666,-1165l9651,-1157,9666,-1148,9666,-1165xm9671,-1165l9666,-1165,9666,-1148,9671,-1148,9671,-1165xm9551,-1238l9545,-1236,9539,-1227,9541,-1221,9651,-1157,9666,-1165,9671,-1165,9671,-1167,9673,-1167,9551,-1238xe" filled="true" fillcolor="#000000" stroked="false">
              <v:path arrowok="t"/>
              <v:fill type="solid"/>
            </v:shape>
            <v:shape style="position:absolute;left:8520;top:-1412;width:946;height:1440" coordorigin="8520,-1411" coordsize="946,1440" path="m9451,-617l8520,-617,8520,29,9451,29,9451,-617xm9466,-1411l8520,-1411,8520,-825,9466,-825,9466,-1411xe" filled="true" fillcolor="#ffffff" stroked="false">
              <v:path arrowok="t"/>
              <v:fill type="solid"/>
            </v:shape>
            <v:shape style="position:absolute;left:11325;top:-667;width:405;height:163" coordorigin="11326,-667" coordsize="405,163" path="m11691,-585l11581,-521,11579,-515,11585,-506,11591,-504,11713,-575,11711,-575,11711,-577,11706,-577,11691,-585xm11674,-595l11326,-595,11326,-575,11674,-575,11691,-585,11674,-595xm11713,-595l11711,-595,11711,-575,11713,-575,11731,-585,11713,-595xm11706,-594l11691,-585,11706,-577,11706,-594xm11711,-594l11706,-594,11706,-577,11711,-577,11711,-594xm11591,-667l11585,-665,11579,-656,11581,-650,11691,-585,11706,-594,11711,-594,11711,-595,11713,-595,11591,-667xe" filled="true" fillcolor="#000000" stroked="false">
              <v:path arrowok="t"/>
              <v:fill type="solid"/>
            </v:shape>
            <v:rect style="position:absolute;left:9751;top:-752;width:1800;height:780" filled="true" fillcolor="#ffffff" stroked="false">
              <v:fill type="solid"/>
            </v:rect>
            <v:shape style="position:absolute;left:11340;top:-1299;width:405;height:163" coordorigin="11340,-1298" coordsize="405,163" path="m11705,-1217l11595,-1152,11594,-1146,11599,-1137,11605,-1135,11728,-1207,11725,-1207,11725,-1208,11720,-1208,11705,-1217xm11688,-1227l11340,-1227,11340,-1207,11688,-1207,11705,-1217,11688,-1227xm11728,-1227l11725,-1227,11725,-1207,11728,-1207,11745,-1217,11728,-1227xm11720,-1225l11705,-1217,11720,-1208,11720,-1225xm11725,-1225l11720,-1225,11720,-1208,11725,-1208,11725,-1225xm11605,-1298l11599,-1296,11594,-1287,11595,-1281,11705,-1217,11720,-1225,11725,-1225,11725,-1227,11728,-1227,11605,-1298xe" filled="true" fillcolor="#000000" stroked="false">
              <v:path arrowok="t"/>
              <v:fill type="solid"/>
            </v:shape>
            <v:shape style="position:absolute;left:9691;top:-1606;width:3404;height:1260" coordorigin="9691,-1605" coordsize="3404,1260" path="m11551,-1605l9691,-1605,9691,-825,11551,-825,11551,-1605xm13094,-1442l11700,-1442,11700,-345,13094,-345,13094,-1442xe" filled="true" fillcolor="#ffffff" stroked="false">
              <v:path arrowok="t"/>
              <v:fill type="solid"/>
            </v:shape>
            <v:shape style="position:absolute;left:6614;top:-2182;width:2745;height:1524" coordorigin="6614,-2181" coordsize="2745,1524" path="m7019,-739l7002,-749,6880,-820,6874,-819,6868,-809,6870,-803,6963,-749,6614,-749,6614,-729,6963,-729,6870,-675,6868,-669,6874,-659,6880,-658,7002,-729,7019,-739xm9359,-2100l9342,-2110,9220,-2181,9214,-2180,9208,-2170,9210,-2164,9303,-2110,8954,-2110,8954,-2090,9303,-2090,9210,-2036,9208,-2030,9214,-2020,9220,-2018,9342,-2090,9359,-2100xe" filled="true" fillcolor="#000000" stroked="false">
              <v:path arrowok="t"/>
              <v:fill type="solid"/>
            </v:shape>
            <v:shape style="position:absolute;left:8431;top:-3027;width:345;height:163" type="#_x0000_t75" stroked="false">
              <v:imagedata r:id="rId151" o:title=""/>
            </v:shape>
            <v:shape style="position:absolute;left:7282;top:-2291;width:1463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6" w:right="0" w:hanging="36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BEHAVIOURAL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LIFESTYLE</w:t>
                    </w:r>
                  </w:p>
                </w:txbxContent>
              </v:textbox>
              <w10:wrap type="none"/>
            </v:shape>
            <v:shape style="position:absolute;left:6919;top:-3447;width:1508;height:1048" type="#_x0000_t202" filled="false" stroked="false">
              <v:textbox inset="0,0,0,0">
                <w:txbxContent>
                  <w:p>
                    <w:pPr>
                      <w:spacing w:line="244" w:lineRule="auto" w:before="66"/>
                      <w:ind w:left="168" w:right="171" w:firstLine="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MATERIAL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EDUCATION</w:t>
                    </w:r>
                  </w:p>
                </w:txbxContent>
              </v:textbox>
              <w10:wrap type="none"/>
            </v:shape>
            <v:shape style="position:absolute;left:8520;top:-617;width:932;height:646" type="#_x0000_t202" filled="false" stroked="true" strokeweight=".48pt" strokecolor="#000000">
              <v:textbox inset="0,0,0,0">
                <w:txbxContent>
                  <w:p>
                    <w:pPr>
                      <w:spacing w:before="69"/>
                      <w:ind w:left="241" w:right="159" w:hanging="68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Supply-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Issues</w:t>
                    </w:r>
                  </w:p>
                </w:txbxContent>
              </v:textbox>
              <v:stroke dashstyle="solid"/>
              <w10:wrap type="none"/>
            </v:shape>
            <v:shape style="position:absolute;left:9751;top:-752;width:1800;height:780" type="#_x0000_t202" filled="false" stroked="true" strokeweight=".48pt" strokecolor="#000000">
              <v:textbox inset="0,0,0,0">
                <w:txbxContent>
                  <w:p>
                    <w:pPr>
                      <w:spacing w:line="242" w:lineRule="auto" w:before="69"/>
                      <w:ind w:left="238" w:right="23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Treat to inclusive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political 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economic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systems</w:t>
                    </w:r>
                  </w:p>
                </w:txbxContent>
              </v:textbox>
              <v:stroke dashstyle="solid"/>
              <w10:wrap type="none"/>
            </v:shape>
            <v:shape style="position:absolute;left:7020;top:-1352;width:1352;height:1126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2" w:lineRule="auto" w:before="0"/>
                      <w:ind w:left="164" w:right="164" w:hanging="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HEALTH-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CARE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UTILIZATION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8520;top:-1412;width:946;height:586" type="#_x0000_t202" filled="false" stroked="true" strokeweight=".48pt" strokecolor="#000000">
              <v:textbox inset="0,0,0,0">
                <w:txbxContent>
                  <w:p>
                    <w:pPr>
                      <w:spacing w:before="69"/>
                      <w:ind w:left="1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Demand</w:t>
                    </w:r>
                  </w:p>
                  <w:p>
                    <w:pPr>
                      <w:spacing w:before="2"/>
                      <w:ind w:left="2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-Issues</w:t>
                    </w:r>
                  </w:p>
                </w:txbxContent>
              </v:textbox>
              <v:stroke dashstyle="solid"/>
              <w10:wrap type="none"/>
            </v:shape>
            <v:shape style="position:absolute;left:11700;top:-1443;width:1395;height:1097" type="#_x0000_t202" filled="false" stroked="true" strokeweight=".48pt" strokecolor="#000000">
              <v:textbox inset="0,0,0,0">
                <w:txbxContent>
                  <w:p>
                    <w:pPr>
                      <w:spacing w:line="242" w:lineRule="auto" w:before="69"/>
                      <w:ind w:left="208" w:right="204" w:firstLine="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Low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Appropriate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Healthcare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Consumption</w:t>
                    </w:r>
                  </w:p>
                </w:txbxContent>
              </v:textbox>
              <v:stroke dashstyle="solid"/>
              <w10:wrap type="none"/>
            </v:shape>
            <v:shape style="position:absolute;left:9691;top:-1606;width:1860;height:780" type="#_x0000_t202" filled="false" stroked="true" strokeweight=".48pt" strokecolor="#000000">
              <v:textbox inset="0,0,0,0">
                <w:txbxContent>
                  <w:p>
                    <w:pPr>
                      <w:spacing w:before="69"/>
                      <w:ind w:left="145" w:right="12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Reduce Purchasing-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power of household’s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resources</w:t>
                    </w:r>
                  </w:p>
                </w:txbxContent>
              </v:textbox>
              <v:stroke dashstyle="solid"/>
              <w10:wrap type="none"/>
            </v:shape>
            <v:shape style="position:absolute;left:9360;top:-2417;width:3332;height:646" type="#_x0000_t202" filled="false" stroked="true" strokeweight=".48pt" strokecolor="#000000">
              <v:textbox inset="0,0,0,0">
                <w:txbxContent>
                  <w:p>
                    <w:pPr>
                      <w:spacing w:line="247" w:lineRule="auto" w:before="68"/>
                      <w:ind w:left="522" w:right="431" w:hanging="75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Enforce households to anti-health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behavior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(depression,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smoking)</w:t>
                    </w:r>
                  </w:p>
                </w:txbxContent>
              </v:textbox>
              <v:stroke dashstyle="solid"/>
              <w10:wrap type="none"/>
            </v:shape>
            <v:shape style="position:absolute;left:8774;top:-3243;width:4306;height:646" type="#_x0000_t202" filled="false" stroked="true" strokeweight=".48pt" strokecolor="#000000">
              <v:textbox inset="0,0,0,0">
                <w:txbxContent>
                  <w:p>
                    <w:pPr>
                      <w:spacing w:before="68"/>
                      <w:ind w:left="145" w:right="13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Households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pay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largest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percentages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their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incomes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on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house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rents,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health-promoting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goods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services</w:t>
                    </w:r>
                  </w:p>
                </w:txbxContent>
              </v:textbox>
              <v:stroke dashstyle="solid"/>
              <w10:wrap type="none"/>
            </v:shape>
            <v:shape style="position:absolute;left:11100;top:-4412;width:1920;height:646" type="#_x0000_t202" filled="false" stroked="true" strokeweight=".48pt" strokecolor="#000000">
              <v:textbox inset="0,0,0,0">
                <w:txbxContent>
                  <w:p>
                    <w:pPr>
                      <w:spacing w:before="70"/>
                      <w:ind w:left="1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Nutritional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deficiency</w:t>
                    </w:r>
                  </w:p>
                </w:txbxContent>
              </v:textbox>
              <v:stroke dashstyle="solid"/>
              <w10:wrap type="none"/>
            </v:shape>
            <v:shape style="position:absolute;left:8925;top:-4412;width:1966;height:780" type="#_x0000_t202" filled="false" stroked="true" strokeweight=".48pt" strokecolor="#000000">
              <v:textbox inset="0,0,0,0">
                <w:txbxContent>
                  <w:p>
                    <w:pPr>
                      <w:spacing w:line="244" w:lineRule="auto" w:before="68"/>
                      <w:ind w:left="186" w:right="184" w:firstLine="69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Reduce Purchasing-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Power of households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obtain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healthy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food</w:t>
                    </w:r>
                  </w:p>
                </w:txbxContent>
              </v:textbox>
              <v:stroke dashstyle="solid"/>
              <w10:wrap type="none"/>
            </v:shape>
            <v:shape style="position:absolute;left:7051;top:-4443;width:1680;height:826" type="#_x0000_t202" filled="false" stroked="true" strokeweight=".48pt" strokecolor="#000000">
              <v:textbox inset="0,0,0,0">
                <w:txbxContent>
                  <w:p>
                    <w:pPr>
                      <w:spacing w:line="244" w:lineRule="auto" w:before="70"/>
                      <w:ind w:left="178" w:right="168" w:firstLine="9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HUNGER, DIET,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AND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CALORIES</w:t>
                    </w:r>
                  </w:p>
                </w:txbxContent>
              </v:textbox>
              <v:stroke dashstyle="solid"/>
              <w10:wrap type="none"/>
            </v:shape>
            <v:shape style="position:absolute;left:8925;top:-5612;width:4155;height:840" type="#_x0000_t202" filled="false" stroked="true" strokeweight=".48pt" strokecolor="#000000">
              <v:textbox inset="0,0,0,0">
                <w:txbxContent>
                  <w:p>
                    <w:pPr>
                      <w:spacing w:before="66"/>
                      <w:ind w:left="145" w:right="142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Income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inequality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drags-down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ability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budget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line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households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convert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their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wealth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incomes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meet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basic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needs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members</w:t>
                    </w:r>
                  </w:p>
                </w:txbxContent>
              </v:textbox>
              <v:stroke dashstyle="solid"/>
              <w10:wrap type="none"/>
            </v:shape>
            <v:shape style="position:absolute;left:7020;top:-5612;width:1652;height:840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6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FAMILY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SIZE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51.48pt;margin-top:-346.792877pt;width:209.8pt;height:341.8pt;mso-position-horizontal-relative:page;mso-position-vertical-relative:paragraph;z-index:15769088" coordorigin="1030,-6936" coordsize="4196,6836">
            <v:shape style="position:absolute;left:2633;top:-3917;width:1289;height:1991" coordorigin="2633,-3917" coordsize="1289,1991" path="m2796,-2556l2794,-2562,2785,-2568,2779,-2566,2724,-2473,2714,-2456,2724,-2473,2724,-3917,2704,-3917,2704,-2473,2650,-2566,2644,-2568,2635,-2562,2633,-2556,2714,-2417,2726,-2436,2796,-2556xm3921,-2066l3920,-2072,3910,-2078,3904,-2076,3850,-1983,3850,-2721,3830,-2721,3830,-1983,3776,-2076,3770,-2078,3760,-2072,3759,-2066,3840,-1926,3852,-1946,3921,-2066xe" filled="true" fillcolor="#000000" stroked="false">
              <v:path arrowok="t"/>
              <v:fill type="solid"/>
            </v:shape>
            <v:shape style="position:absolute;left:1874;top:-2736;width:1966;height:15" coordorigin="1874,-2736" coordsize="1966,15" path="m3134,-2736l3840,-2736m1874,-2721l2266,-2721e" filled="false" stroked="true" strokeweight=".48pt" strokecolor="#000000">
              <v:path arrowok="t"/>
              <v:stroke dashstyle="solid"/>
            </v:shape>
            <v:shape style="position:absolute;left:1792;top:-2708;width:163;height:2183" coordorigin="1793,-2707" coordsize="163,2183" path="m1956,-664l1954,-670,1945,-676,1939,-674,1884,-582,1884,-1320,1864,-1320,1864,-582,1810,-674,1804,-676,1795,-670,1793,-664,1874,-525,1886,-545,1956,-664xm1956,-2052l1954,-2058,1945,-2063,1939,-2062,1884,-1969,1884,-2707,1864,-2707,1864,-1969,1810,-2062,1804,-2063,1795,-2058,1793,-2052,1874,-1912,1886,-1932,1956,-2052xe" filled="true" fillcolor="#000000" stroked="false">
              <v:path arrowok="t"/>
              <v:fill type="solid"/>
            </v:shape>
            <v:rect style="position:absolute;left:1034;top:-1906;width:1937;height:1155" filled="true" fillcolor="#ffffff" stroked="false">
              <v:fill type="solid"/>
            </v:rect>
            <v:rect style="position:absolute;left:2265;top:-2928;width:869;height:555" filled="true" fillcolor="#ffffff" stroked="false">
              <v:fill type="solid"/>
            </v:rect>
            <v:rect style="position:absolute;left:2265;top:-2928;width:869;height:555" filled="false" stroked="true" strokeweight=".48pt" strokecolor="#000000">
              <v:stroke dashstyle="solid"/>
            </v:rect>
            <v:shape style="position:absolute;left:3773;top:-1316;width:163;height:795" coordorigin="3773,-1315" coordsize="163,795" path="m3784,-671l3775,-666,3773,-660,3854,-520,3866,-540,3844,-540,3844,-577,3790,-670,3784,-671xm3844,-577l3844,-540,3864,-540,3864,-545,3846,-545,3854,-560,3844,-577xm3925,-671l3919,-670,3864,-577,3864,-540,3866,-540,3936,-660,3934,-666,3925,-671xm3854,-560l3846,-545,3863,-545,3854,-560xm3864,-577l3854,-560,3863,-545,3864,-545,3864,-577xm3864,-1315l3844,-1315,3844,-577,3854,-560,3864,-577,3864,-1315xe" filled="true" fillcolor="#000000" stroked="false">
              <v:path arrowok="t"/>
              <v:fill type="solid"/>
            </v:shape>
            <v:rect style="position:absolute;left:3045;top:-1913;width:1769;height:932" filled="true" fillcolor="#ffffff" stroked="false">
              <v:fill type="solid"/>
            </v:rect>
            <v:shape style="position:absolute;left:2265;top:-2928;width:869;height:555" type="#_x0000_t202" filled="false" stroked="true" strokeweight=".48pt" strokecolor="#000000">
              <v:textbox inset="0,0,0,0">
                <w:txbxContent>
                  <w:p>
                    <w:pPr>
                      <w:spacing w:line="244" w:lineRule="auto" w:before="70"/>
                      <w:ind w:left="377" w:right="141" w:hanging="221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PANEL</w:t>
                    </w:r>
                    <w:r>
                      <w:rPr>
                        <w:b/>
                        <w:spacing w:val="-37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B</w:t>
                    </w:r>
                  </w:p>
                </w:txbxContent>
              </v:textbox>
              <v:stroke dashstyle="solid"/>
              <w10:wrap type="none"/>
            </v:shape>
            <v:shape style="position:absolute;left:1471;top:-6932;width:2235;height:3015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384" w:lineRule="auto" w:before="245"/>
                      <w:ind w:left="209" w:right="191" w:firstLine="312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INCOME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INEQUALITY</w:t>
                    </w:r>
                  </w:p>
                </w:txbxContent>
              </v:textbox>
              <v:stroke dashstyle="solid"/>
              <w10:wrap type="none"/>
            </v:shape>
            <v:shape style="position:absolute;left:1125;top:-526;width:4095;height:420" type="#_x0000_t202" filled="false" stroked="true" strokeweight=".48pt" strokecolor="#000000">
              <v:textbox inset="0,0,0,0">
                <w:txbxContent>
                  <w:p>
                    <w:pPr>
                      <w:spacing w:before="70"/>
                      <w:ind w:left="17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HEALTH-SEEKING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BEHAVIOUR</w:t>
                    </w:r>
                  </w:p>
                </w:txbxContent>
              </v:textbox>
              <v:stroke dashstyle="solid"/>
              <w10:wrap type="none"/>
            </v:shape>
            <v:shape style="position:absolute;left:3045;top:-1913;width:1769;height:932" type="#_x0000_t202" filled="false" stroked="true" strokeweight=".48pt" strokecolor="#000000">
              <v:textbox inset="0,0,0,0">
                <w:txbxContent>
                  <w:p>
                    <w:pPr>
                      <w:spacing w:line="242" w:lineRule="auto" w:before="68"/>
                      <w:ind w:left="197" w:right="19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POLITICAL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OPPORTUNITY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CAPTURE</w:t>
                    </w:r>
                  </w:p>
                </w:txbxContent>
              </v:textbox>
              <v:stroke dashstyle="solid"/>
              <w10:wrap type="none"/>
            </v:shape>
            <v:shape style="position:absolute;left:1034;top:-1906;width:1937;height:1155" type="#_x0000_t202" filled="false" stroked="true" strokeweight=".48pt" strokecolor="#000000">
              <v:textbox inset="0,0,0,0">
                <w:txbxContent>
                  <w:p>
                    <w:pPr>
                      <w:spacing w:before="68"/>
                      <w:ind w:left="167" w:right="168" w:hanging="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FAMILY SIZE,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LITERACY LEVEL,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GENDER,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MARITAL </w:t>
                    </w:r>
                    <w:r>
                      <w:rPr>
                        <w:sz w:val="18"/>
                      </w:rPr>
                      <w:t>STATUS,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INCOMES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</w:rPr>
        <w:t>Source</w:t>
      </w:r>
      <w:r>
        <w:rPr/>
        <w:t>:</w:t>
      </w:r>
      <w:r>
        <w:rPr>
          <w:spacing w:val="-3"/>
        </w:rPr>
        <w:t> </w:t>
      </w:r>
      <w:r>
        <w:rPr/>
        <w:t>Researcher’s</w:t>
      </w:r>
      <w:r>
        <w:rPr>
          <w:spacing w:val="-1"/>
        </w:rPr>
        <w:t> </w:t>
      </w:r>
      <w:r>
        <w:rPr/>
        <w:t>Initiative,</w:t>
      </w:r>
      <w:r>
        <w:rPr>
          <w:spacing w:val="-2"/>
        </w:rPr>
        <w:t> </w:t>
      </w:r>
      <w:r>
        <w:rPr/>
        <w:t>2018</w:t>
      </w:r>
    </w:p>
    <w:p>
      <w:pPr>
        <w:spacing w:after="0"/>
        <w:sectPr>
          <w:footerReference w:type="default" r:id="rId149"/>
          <w:pgSz w:w="15840" w:h="12240" w:orient="landscape"/>
          <w:pgMar w:footer="1015" w:header="0" w:top="1140" w:bottom="1200" w:left="920" w:right="880"/>
        </w:sectPr>
      </w:pPr>
    </w:p>
    <w:p>
      <w:pPr>
        <w:spacing w:before="74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Panel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Inequality-HSB</w:t>
      </w:r>
    </w:p>
    <w:p>
      <w:pPr>
        <w:pStyle w:val="BodyText"/>
        <w:spacing w:line="360" w:lineRule="auto" w:before="137"/>
        <w:ind w:left="100" w:right="117"/>
        <w:jc w:val="both"/>
      </w:pP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2"/>
        </w:rPr>
        <w:t> </w:t>
      </w:r>
      <w:r>
        <w:rPr/>
        <w:t>subsequently</w:t>
      </w:r>
      <w:r>
        <w:rPr>
          <w:spacing w:val="-11"/>
        </w:rPr>
        <w:t> </w:t>
      </w:r>
      <w:r>
        <w:rPr/>
        <w:t>considered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12"/>
        </w:rPr>
        <w:t> </w:t>
      </w:r>
      <w:r>
        <w:rPr/>
        <w:t>on</w:t>
      </w:r>
      <w:r>
        <w:rPr>
          <w:spacing w:val="-8"/>
        </w:rPr>
        <w:t> </w:t>
      </w:r>
      <w:r>
        <w:rPr/>
        <w:t>HSB</w:t>
      </w:r>
      <w:r>
        <w:rPr>
          <w:spacing w:val="-5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times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illness,</w:t>
      </w:r>
      <w:r>
        <w:rPr>
          <w:spacing w:val="-57"/>
        </w:rPr>
        <w:t> </w:t>
      </w:r>
      <w:r>
        <w:rPr/>
        <w:t>as depicted in Figure 4.1 (panel B). According to neoclassical thought, rising income inequality</w:t>
      </w:r>
      <w:r>
        <w:rPr>
          <w:spacing w:val="1"/>
        </w:rPr>
        <w:t> </w:t>
      </w:r>
      <w:r>
        <w:rPr/>
        <w:t>often generates savings. Therefore, if the few income concentrations generate savings, given the</w:t>
      </w:r>
      <w:r>
        <w:rPr>
          <w:spacing w:val="1"/>
        </w:rPr>
        <w:t> </w:t>
      </w:r>
      <w:r>
        <w:rPr/>
        <w:t>difference in propensity to save between the rich and the poor, unequal distribution of income</w:t>
      </w:r>
      <w:r>
        <w:rPr>
          <w:spacing w:val="1"/>
        </w:rPr>
        <w:t> </w:t>
      </w:r>
      <w:r>
        <w:rPr/>
        <w:t>might bode well through the investment channel (see Kosta and Novica, 2018:319). As such, this</w:t>
      </w:r>
      <w:r>
        <w:rPr>
          <w:spacing w:val="-57"/>
        </w:rPr>
        <w:t> </w:t>
      </w:r>
      <w:r>
        <w:rPr/>
        <w:t>increase access to appropriate HSB during the time of ill-health. This possibly conclude that, a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income</w:t>
      </w:r>
      <w:r>
        <w:rPr>
          <w:spacing w:val="-1"/>
        </w:rPr>
        <w:t> </w:t>
      </w:r>
      <w:r>
        <w:rPr/>
        <w:t>inequality</w:t>
      </w:r>
      <w:r>
        <w:rPr>
          <w:spacing w:val="-4"/>
        </w:rPr>
        <w:t> </w:t>
      </w:r>
      <w:r>
        <w:rPr/>
        <w:t>can be good</w:t>
      </w:r>
      <w:r>
        <w:rPr>
          <w:spacing w:val="1"/>
        </w:rPr>
        <w:t> </w:t>
      </w:r>
      <w:r>
        <w:rPr/>
        <w:t>for seeking</w:t>
      </w:r>
      <w:r>
        <w:rPr>
          <w:spacing w:val="-1"/>
        </w:rPr>
        <w:t> </w:t>
      </w:r>
      <w:r>
        <w:rPr/>
        <w:t>appropriate healthcare</w:t>
      </w:r>
      <w:r>
        <w:rPr>
          <w:spacing w:val="-3"/>
        </w:rPr>
        <w:t> </w:t>
      </w:r>
      <w:r>
        <w:rPr/>
        <w:t>services.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00" w:right="115"/>
        <w:jc w:val="both"/>
      </w:pP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contrary</w:t>
      </w:r>
      <w:r>
        <w:rPr>
          <w:spacing w:val="-20"/>
        </w:rPr>
        <w:t> </w:t>
      </w:r>
      <w:r>
        <w:rPr/>
        <w:t>context,</w:t>
      </w:r>
      <w:r>
        <w:rPr>
          <w:spacing w:val="-14"/>
        </w:rPr>
        <w:t> </w:t>
      </w:r>
      <w:r>
        <w:rPr/>
        <w:t>Bartels</w:t>
      </w:r>
      <w:r>
        <w:rPr>
          <w:spacing w:val="-15"/>
        </w:rPr>
        <w:t> </w:t>
      </w:r>
      <w:r>
        <w:rPr/>
        <w:t>(2008),</w:t>
      </w:r>
      <w:r>
        <w:rPr>
          <w:spacing w:val="-16"/>
        </w:rPr>
        <w:t> </w:t>
      </w:r>
      <w:r>
        <w:rPr/>
        <w:t>Gilens</w:t>
      </w:r>
      <w:r>
        <w:rPr>
          <w:spacing w:val="-15"/>
        </w:rPr>
        <w:t> </w:t>
      </w:r>
      <w:r>
        <w:rPr/>
        <w:t>(2012),</w:t>
      </w:r>
      <w:r>
        <w:rPr>
          <w:spacing w:val="-14"/>
        </w:rPr>
        <w:t> </w:t>
      </w:r>
      <w:r>
        <w:rPr/>
        <w:t>Stockman</w:t>
      </w:r>
      <w:r>
        <w:rPr>
          <w:spacing w:val="-15"/>
        </w:rPr>
        <w:t> </w:t>
      </w:r>
      <w:r>
        <w:rPr/>
        <w:t>(2013),</w:t>
      </w:r>
      <w:r>
        <w:rPr>
          <w:spacing w:val="-13"/>
        </w:rPr>
        <w:t> </w:t>
      </w:r>
      <w:r>
        <w:rPr/>
        <w:t>Lawson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Mariotti</w:t>
      </w:r>
      <w:r>
        <w:rPr>
          <w:spacing w:val="-14"/>
        </w:rPr>
        <w:t> </w:t>
      </w:r>
      <w:r>
        <w:rPr/>
        <w:t>(2018)</w:t>
      </w:r>
      <w:r>
        <w:rPr>
          <w:spacing w:val="-57"/>
        </w:rPr>
        <w:t> </w:t>
      </w:r>
      <w:r>
        <w:rPr/>
        <w:t>argue that income inequality is detrimental to seeking appropriate healthcare services. Largely</w:t>
      </w:r>
      <w:r>
        <w:rPr>
          <w:spacing w:val="1"/>
        </w:rPr>
        <w:t> </w:t>
      </w:r>
      <w:r>
        <w:rPr/>
        <w:t>through the issues from </w:t>
      </w:r>
      <w:r>
        <w:rPr>
          <w:i/>
        </w:rPr>
        <w:t>political and opportunity captures </w:t>
      </w:r>
      <w:r>
        <w:rPr/>
        <w:t>– to use the terms by Fuentes-Nieva</w:t>
      </w:r>
      <w:r>
        <w:rPr>
          <w:spacing w:val="1"/>
        </w:rPr>
        <w:t> </w:t>
      </w:r>
      <w:r>
        <w:rPr/>
        <w:t>and Galasso (2014). As Lawson and Mariotti (2018) agued, the most important effect of rising</w:t>
      </w:r>
      <w:r>
        <w:rPr>
          <w:spacing w:val="1"/>
        </w:rPr>
        <w:t> </w:t>
      </w:r>
      <w:r>
        <w:rPr/>
        <w:t>income disparity is from political sphere. This not only produces ill-gotten wealth through rent-</w:t>
      </w:r>
      <w:r>
        <w:rPr>
          <w:spacing w:val="1"/>
        </w:rPr>
        <w:t> </w:t>
      </w:r>
      <w:r>
        <w:rPr/>
        <w:t>seeking</w:t>
      </w:r>
      <w:r>
        <w:rPr>
          <w:spacing w:val="-9"/>
        </w:rPr>
        <w:t> </w:t>
      </w:r>
      <w:r>
        <w:rPr/>
        <w:t>that</w:t>
      </w:r>
      <w:r>
        <w:rPr>
          <w:spacing w:val="-6"/>
        </w:rPr>
        <w:t> </w:t>
      </w:r>
      <w:r>
        <w:rPr/>
        <w:t>perpetuates</w:t>
      </w:r>
      <w:r>
        <w:rPr>
          <w:spacing w:val="-7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inequality,</w:t>
      </w:r>
      <w:r>
        <w:rPr>
          <w:spacing w:val="-6"/>
        </w:rPr>
        <w:t> </w:t>
      </w:r>
      <w:r>
        <w:rPr/>
        <w:t>but</w:t>
      </w:r>
      <w:r>
        <w:rPr>
          <w:spacing w:val="-7"/>
        </w:rPr>
        <w:t> </w:t>
      </w:r>
      <w:r>
        <w:rPr/>
        <w:t>also,</w:t>
      </w:r>
      <w:r>
        <w:rPr>
          <w:spacing w:val="-6"/>
        </w:rPr>
        <w:t> </w:t>
      </w:r>
      <w:r>
        <w:rPr/>
        <w:t>favour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few</w:t>
      </w:r>
      <w:r>
        <w:rPr>
          <w:spacing w:val="-7"/>
        </w:rPr>
        <w:t> </w:t>
      </w:r>
      <w:r>
        <w:rPr/>
        <w:t>over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masses.</w:t>
      </w:r>
      <w:r>
        <w:rPr>
          <w:spacing w:val="-6"/>
        </w:rPr>
        <w:t> </w:t>
      </w:r>
      <w:r>
        <w:rPr/>
        <w:t>According</w:t>
      </w:r>
      <w:r>
        <w:rPr>
          <w:spacing w:val="-9"/>
        </w:rPr>
        <w:t> </w:t>
      </w:r>
      <w:r>
        <w:rPr/>
        <w:t>to</w:t>
      </w:r>
      <w:r>
        <w:rPr>
          <w:spacing w:val="-58"/>
        </w:rPr>
        <w:t> </w:t>
      </w:r>
      <w:r>
        <w:rPr/>
        <w:t>Acemoglu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Robinson</w:t>
      </w:r>
      <w:r>
        <w:rPr>
          <w:spacing w:val="-4"/>
        </w:rPr>
        <w:t> </w:t>
      </w:r>
      <w:r>
        <w:rPr/>
        <w:t>(2012),</w:t>
      </w:r>
      <w:r>
        <w:rPr>
          <w:spacing w:val="-6"/>
        </w:rPr>
        <w:t> </w:t>
      </w:r>
      <w:r>
        <w:rPr/>
        <w:t>income</w:t>
      </w:r>
      <w:r>
        <w:rPr>
          <w:spacing w:val="-7"/>
        </w:rPr>
        <w:t> </w:t>
      </w:r>
      <w:r>
        <w:rPr/>
        <w:t>disparity</w:t>
      </w:r>
      <w:r>
        <w:rPr>
          <w:spacing w:val="-8"/>
        </w:rPr>
        <w:t> </w:t>
      </w:r>
      <w:r>
        <w:rPr/>
        <w:t>often</w:t>
      </w:r>
      <w:r>
        <w:rPr>
          <w:spacing w:val="-6"/>
        </w:rPr>
        <w:t> </w:t>
      </w:r>
      <w:r>
        <w:rPr/>
        <w:t>imposes</w:t>
      </w:r>
      <w:r>
        <w:rPr>
          <w:spacing w:val="-6"/>
        </w:rPr>
        <w:t> </w:t>
      </w:r>
      <w:r>
        <w:rPr/>
        <w:t>tremendous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economic</w:t>
      </w:r>
      <w:r>
        <w:rPr>
          <w:spacing w:val="-58"/>
        </w:rPr>
        <w:t> </w:t>
      </w:r>
      <w:r>
        <w:rPr/>
        <w:t>costs on society – creating conditions that not only weaken appropriate healthcare-seeking, but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contribute to exclusion through high-cost from private</w:t>
      </w:r>
      <w:r>
        <w:rPr>
          <w:spacing w:val="-2"/>
        </w:rPr>
        <w:t> </w:t>
      </w:r>
      <w:r>
        <w:rPr/>
        <w:t>facilities.</w:t>
      </w:r>
    </w:p>
    <w:p>
      <w:pPr>
        <w:pStyle w:val="BodyText"/>
        <w:spacing w:line="360" w:lineRule="auto" w:before="230"/>
        <w:ind w:left="100" w:right="115"/>
        <w:jc w:val="both"/>
      </w:pPr>
      <w:r>
        <w:rPr/>
        <w:t>Kefale</w:t>
      </w:r>
      <w:r>
        <w:rPr>
          <w:spacing w:val="-2"/>
        </w:rPr>
        <w:t> </w:t>
      </w:r>
      <w:r>
        <w:rPr/>
        <w:t>(2016)</w:t>
      </w:r>
      <w:r>
        <w:rPr>
          <w:spacing w:val="-5"/>
        </w:rPr>
        <w:t> </w:t>
      </w:r>
      <w:r>
        <w:rPr/>
        <w:t>state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resorting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spiritualists,</w:t>
      </w:r>
      <w:r>
        <w:rPr>
          <w:spacing w:val="-4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healers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self-treatment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product</w:t>
      </w:r>
      <w:r>
        <w:rPr>
          <w:spacing w:val="-58"/>
        </w:rPr>
        <w:t> </w:t>
      </w:r>
      <w:r>
        <w:rPr/>
        <w:t>of widening income inequalities. According to this theory, people will grow frustrated when they</w:t>
      </w:r>
      <w:r>
        <w:rPr>
          <w:spacing w:val="-57"/>
        </w:rPr>
        <w:t> </w:t>
      </w:r>
      <w:r>
        <w:rPr/>
        <w:t>perceive that health facilities to improve their health are not efficient and inaccessible, while the</w:t>
      </w:r>
      <w:r>
        <w:rPr>
          <w:spacing w:val="1"/>
        </w:rPr>
        <w:t> </w:t>
      </w:r>
      <w:r>
        <w:rPr/>
        <w:t>available</w:t>
      </w:r>
      <w:r>
        <w:rPr>
          <w:spacing w:val="-9"/>
        </w:rPr>
        <w:t> </w:t>
      </w:r>
      <w:r>
        <w:rPr/>
        <w:t>ones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very</w:t>
      </w:r>
      <w:r>
        <w:rPr>
          <w:spacing w:val="-13"/>
        </w:rPr>
        <w:t> </w:t>
      </w:r>
      <w:r>
        <w:rPr/>
        <w:t>expensive</w:t>
      </w:r>
      <w:r>
        <w:rPr>
          <w:spacing w:val="-9"/>
        </w:rPr>
        <w:t> </w:t>
      </w:r>
      <w:r>
        <w:rPr/>
        <w:t>(Musyoka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</w:t>
      </w:r>
      <w:r>
        <w:rPr>
          <w:i/>
          <w:spacing w:val="-10"/>
        </w:rPr>
        <w:t> </w:t>
      </w:r>
      <w:r>
        <w:rPr/>
        <w:t>2018).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Figure</w:t>
      </w:r>
      <w:r>
        <w:rPr>
          <w:spacing w:val="-10"/>
        </w:rPr>
        <w:t> </w:t>
      </w:r>
      <w:r>
        <w:rPr/>
        <w:t>4.1</w:t>
      </w:r>
      <w:r>
        <w:rPr>
          <w:spacing w:val="-9"/>
        </w:rPr>
        <w:t> </w:t>
      </w:r>
      <w:r>
        <w:rPr/>
        <w:t>(panel</w:t>
      </w:r>
      <w:r>
        <w:rPr>
          <w:spacing w:val="-8"/>
        </w:rPr>
        <w:t> </w:t>
      </w:r>
      <w:r>
        <w:rPr/>
        <w:t>B)</w:t>
      </w:r>
      <w:r>
        <w:rPr>
          <w:spacing w:val="-9"/>
        </w:rPr>
        <w:t> </w:t>
      </w:r>
      <w:r>
        <w:rPr/>
        <w:t>shows,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often</w:t>
      </w:r>
      <w:r>
        <w:rPr>
          <w:spacing w:val="-57"/>
        </w:rPr>
        <w:t> </w:t>
      </w:r>
      <w:r>
        <w:rPr/>
        <w:t>lead to inappropriate HSB. Thus, the study also estimated the effect of income inequality on HSB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times of illness among households</w:t>
      </w:r>
      <w:r>
        <w:rPr>
          <w:spacing w:val="2"/>
        </w:rPr>
        <w:t> </w:t>
      </w:r>
      <w:r>
        <w:rPr/>
        <w:t>in Nigeria.</w:t>
      </w:r>
    </w:p>
    <w:p>
      <w:pPr>
        <w:pStyle w:val="BodyText"/>
        <w:spacing w:before="6"/>
      </w:pPr>
    </w:p>
    <w:p>
      <w:pPr>
        <w:pStyle w:val="Heading4"/>
        <w:numPr>
          <w:ilvl w:val="1"/>
          <w:numId w:val="12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42" w:id="35"/>
      <w:r>
        <w:rPr/>
        <w:t>The</w:t>
      </w:r>
      <w:r>
        <w:rPr>
          <w:spacing w:val="-2"/>
        </w:rPr>
        <w:t> </w:t>
      </w:r>
      <w:bookmarkEnd w:id="35"/>
      <w:r>
        <w:rPr/>
        <w:t>Model</w:t>
      </w:r>
    </w:p>
    <w:p>
      <w:pPr>
        <w:pStyle w:val="BodyText"/>
        <w:spacing w:line="360" w:lineRule="auto" w:before="132"/>
        <w:ind w:left="100" w:right="118"/>
        <w:jc w:val="both"/>
      </w:pPr>
      <w:r>
        <w:rPr/>
        <w:t>The model adopted for this study draws strongly from income inequality-health hypothesis as</w:t>
      </w:r>
      <w:r>
        <w:rPr>
          <w:spacing w:val="1"/>
        </w:rPr>
        <w:t> </w:t>
      </w:r>
      <w:r>
        <w:rPr>
          <w:spacing w:val="-1"/>
        </w:rPr>
        <w:t>proposed</w:t>
      </w:r>
      <w:r>
        <w:rPr>
          <w:spacing w:val="-15"/>
        </w:rPr>
        <w:t> </w:t>
      </w:r>
      <w:r>
        <w:rPr/>
        <w:t>by</w:t>
      </w:r>
      <w:r>
        <w:rPr>
          <w:spacing w:val="-22"/>
        </w:rPr>
        <w:t> </w:t>
      </w:r>
      <w:r>
        <w:rPr/>
        <w:t>Wilkinson</w:t>
      </w:r>
      <w:r>
        <w:rPr>
          <w:spacing w:val="-14"/>
        </w:rPr>
        <w:t> </w:t>
      </w:r>
      <w:r>
        <w:rPr/>
        <w:t>(1992,</w:t>
      </w:r>
      <w:r>
        <w:rPr>
          <w:spacing w:val="-15"/>
        </w:rPr>
        <w:t> </w:t>
      </w:r>
      <w:r>
        <w:rPr/>
        <w:t>1994)</w:t>
      </w:r>
      <w:r>
        <w:rPr>
          <w:spacing w:val="-16"/>
        </w:rPr>
        <w:t> </w:t>
      </w:r>
      <w:r>
        <w:rPr/>
        <w:t>and</w:t>
      </w:r>
      <w:r>
        <w:rPr>
          <w:spacing w:val="-14"/>
        </w:rPr>
        <w:t> </w:t>
      </w:r>
      <w:r>
        <w:rPr/>
        <w:t>extended</w:t>
      </w:r>
      <w:r>
        <w:rPr>
          <w:spacing w:val="-15"/>
        </w:rPr>
        <w:t> </w:t>
      </w:r>
      <w:r>
        <w:rPr/>
        <w:t>by</w:t>
      </w:r>
      <w:r>
        <w:rPr>
          <w:spacing w:val="-20"/>
        </w:rPr>
        <w:t> </w:t>
      </w:r>
      <w:r>
        <w:rPr/>
        <w:t>Pickett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Wilkinson</w:t>
      </w:r>
      <w:r>
        <w:rPr>
          <w:spacing w:val="-16"/>
        </w:rPr>
        <w:t> </w:t>
      </w:r>
      <w:r>
        <w:rPr/>
        <w:t>(2015).</w:t>
      </w:r>
      <w:r>
        <w:rPr>
          <w:spacing w:val="-16"/>
        </w:rPr>
        <w:t> </w:t>
      </w:r>
      <w:r>
        <w:rPr/>
        <w:t>This</w:t>
      </w:r>
      <w:r>
        <w:rPr>
          <w:spacing w:val="-14"/>
        </w:rPr>
        <w:t> </w:t>
      </w:r>
      <w:r>
        <w:rPr/>
        <w:t>approach</w:t>
      </w:r>
      <w:r>
        <w:rPr>
          <w:spacing w:val="-57"/>
        </w:rPr>
        <w:t> </w:t>
      </w:r>
      <w:r>
        <w:rPr/>
        <w:t>observes that the direct effect of income inequality on health is through comparison, competition,</w:t>
      </w:r>
      <w:r>
        <w:rPr>
          <w:spacing w:val="-57"/>
        </w:rPr>
        <w:t> </w:t>
      </w:r>
      <w:r>
        <w:rPr/>
        <w:t>cohesion,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social</w:t>
      </w:r>
      <w:r>
        <w:rPr>
          <w:spacing w:val="-2"/>
        </w:rPr>
        <w:t> </w:t>
      </w:r>
      <w:r>
        <w:rPr/>
        <w:t>dysfunctions.</w:t>
      </w:r>
      <w:r>
        <w:rPr>
          <w:spacing w:val="-3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thesis</w:t>
      </w:r>
      <w:r>
        <w:rPr>
          <w:spacing w:val="-2"/>
        </w:rPr>
        <w:t> </w:t>
      </w:r>
      <w:r>
        <w:rPr/>
        <w:t>account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key</w:t>
      </w:r>
      <w:r>
        <w:rPr>
          <w:spacing w:val="-9"/>
        </w:rPr>
        <w:t> </w:t>
      </w:r>
      <w:r>
        <w:rPr/>
        <w:t>factors</w:t>
      </w:r>
      <w:r>
        <w:rPr>
          <w:spacing w:val="-57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determines</w:t>
      </w:r>
      <w:r>
        <w:rPr>
          <w:spacing w:val="-15"/>
        </w:rPr>
        <w:t> </w:t>
      </w:r>
      <w:r>
        <w:rPr/>
        <w:t>health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spirit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Grossman</w:t>
      </w:r>
      <w:r>
        <w:rPr>
          <w:spacing w:val="-14"/>
        </w:rPr>
        <w:t> </w:t>
      </w:r>
      <w:r>
        <w:rPr/>
        <w:t>(2017).</w:t>
      </w:r>
      <w:r>
        <w:rPr>
          <w:spacing w:val="-16"/>
        </w:rPr>
        <w:t> </w:t>
      </w:r>
      <w:r>
        <w:rPr/>
        <w:t>These</w:t>
      </w:r>
      <w:r>
        <w:rPr>
          <w:spacing w:val="-13"/>
        </w:rPr>
        <w:t> </w:t>
      </w:r>
      <w:r>
        <w:rPr/>
        <w:t>factors</w:t>
      </w:r>
      <w:r>
        <w:rPr>
          <w:spacing w:val="-11"/>
        </w:rPr>
        <w:t> </w:t>
      </w:r>
      <w:r>
        <w:rPr/>
        <w:t>are:</w:t>
      </w:r>
      <w:r>
        <w:rPr>
          <w:spacing w:val="-8"/>
        </w:rPr>
        <w:t> </w:t>
      </w:r>
      <w:r>
        <w:rPr/>
        <w:t>family</w:t>
      </w:r>
      <w:r>
        <w:rPr>
          <w:spacing w:val="-19"/>
        </w:rPr>
        <w:t> </w:t>
      </w:r>
      <w:r>
        <w:rPr/>
        <w:t>size,</w:t>
      </w:r>
      <w:r>
        <w:rPr>
          <w:spacing w:val="-15"/>
        </w:rPr>
        <w:t> </w:t>
      </w:r>
      <w:r>
        <w:rPr/>
        <w:t>food/calorie,</w:t>
      </w:r>
    </w:p>
    <w:p>
      <w:pPr>
        <w:spacing w:after="0" w:line="360" w:lineRule="auto"/>
        <w:jc w:val="both"/>
        <w:sectPr>
          <w:footerReference w:type="default" r:id="rId152"/>
          <w:pgSz w:w="12240" w:h="15840"/>
          <w:pgMar w:footer="1015" w:header="0" w:top="1360" w:bottom="1200" w:left="1340" w:right="1320"/>
          <w:pgNumType w:start="71"/>
        </w:sectPr>
      </w:pPr>
    </w:p>
    <w:p>
      <w:pPr>
        <w:pStyle w:val="BodyText"/>
        <w:spacing w:line="357" w:lineRule="auto" w:before="74"/>
        <w:ind w:left="100" w:right="121"/>
        <w:jc w:val="both"/>
      </w:pPr>
      <w:r>
        <w:rPr/>
        <w:t>housing conditions, education, and other health-promoting goods and services, peoples’ lifestyle,</w:t>
      </w:r>
      <w:r>
        <w:rPr>
          <w:spacing w:val="-57"/>
        </w:rPr>
        <w:t> </w:t>
      </w:r>
      <w:r>
        <w:rPr/>
        <w:t>and demand for medical</w:t>
      </w:r>
      <w:r>
        <w:rPr>
          <w:spacing w:val="2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referred to as</w:t>
      </w:r>
      <w:r>
        <w:rPr>
          <w:spacing w:val="1"/>
        </w:rPr>
        <w:t> </w:t>
      </w:r>
      <w:r>
        <w:rPr/>
        <w:t>household characteristics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vertAlign w:val="subscript"/>
        </w:rPr>
        <w:t>ℎ</w:t>
      </w:r>
      <w:r>
        <w:rPr>
          <w:vertAlign w:val="baseline"/>
        </w:rPr>
        <w:t>.</w:t>
      </w:r>
    </w:p>
    <w:p>
      <w:pPr>
        <w:pStyle w:val="BodyText"/>
        <w:spacing w:before="5"/>
      </w:pPr>
    </w:p>
    <w:p>
      <w:pPr>
        <w:pStyle w:val="BodyText"/>
        <w:ind w:left="100"/>
      </w:pPr>
      <w:r>
        <w:rPr/>
        <w:t>Thus,</w:t>
      </w:r>
      <w:r>
        <w:rPr>
          <w:spacing w:val="-1"/>
        </w:rPr>
        <w:t> </w:t>
      </w:r>
      <w:r>
        <w:rPr/>
        <w:t>from equation (4.6), the</w:t>
      </w:r>
      <w:r>
        <w:rPr>
          <w:spacing w:val="-3"/>
        </w:rPr>
        <w:t> </w:t>
      </w:r>
      <w:r>
        <w:rPr/>
        <w:t>general specification for</w:t>
      </w:r>
      <w:r>
        <w:rPr>
          <w:spacing w:val="-2"/>
        </w:rPr>
        <w:t> </w:t>
      </w:r>
      <w:r>
        <w:rPr/>
        <w:t>the study</w:t>
      </w:r>
      <w:r>
        <w:rPr>
          <w:spacing w:val="-6"/>
        </w:rPr>
        <w:t> </w:t>
      </w:r>
      <w:r>
        <w:rPr/>
        <w:t>is:</w:t>
      </w:r>
    </w:p>
    <w:p>
      <w:pPr>
        <w:pStyle w:val="BodyText"/>
        <w:tabs>
          <w:tab w:pos="5861" w:val="left" w:leader="none"/>
          <w:tab w:pos="8741" w:val="left" w:leader="none"/>
        </w:tabs>
        <w:spacing w:line="362" w:lineRule="auto" w:before="143"/>
        <w:ind w:left="100" w:right="119" w:firstLine="719"/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𝛼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𝛽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𝛿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𝑍𝛾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𝜀</w:t>
        <w:tab/>
        <w:t>𝜀|𝑋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𝑍~𝑁{0,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}</w:t>
        <w:tab/>
      </w:r>
      <w:r>
        <w:rPr>
          <w:vertAlign w:val="baseline"/>
        </w:rPr>
        <w:t>(4.7)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health</w:t>
      </w:r>
      <w:r>
        <w:rPr>
          <w:spacing w:val="3"/>
          <w:vertAlign w:val="baseline"/>
        </w:rPr>
        <w:t> </w:t>
      </w:r>
      <w:r>
        <w:rPr>
          <w:vertAlign w:val="baseline"/>
        </w:rPr>
        <w:t>outcomes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ℎ</w:t>
      </w:r>
      <w:r>
        <w:rPr>
          <w:rFonts w:ascii="Cambria Math" w:hAnsi="Cambria Math" w:eastAsia="Cambria Math"/>
          <w:vertAlign w:val="superscript"/>
        </w:rPr>
        <w:t>𝑡ℎ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vertAlign w:val="baseline"/>
        </w:rPr>
        <w:t>household,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vertAlign w:val="baseline"/>
        </w:rPr>
        <w:t>denotes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time</w:t>
      </w:r>
      <w:r>
        <w:rPr>
          <w:spacing w:val="2"/>
          <w:vertAlign w:val="baseline"/>
        </w:rPr>
        <w:t> </w:t>
      </w:r>
      <w:r>
        <w:rPr>
          <w:vertAlign w:val="baseline"/>
        </w:rPr>
        <w:t>frame.</w:t>
      </w:r>
      <w:r>
        <w:rPr>
          <w:spacing w:val="2"/>
          <w:vertAlign w:val="baseline"/>
        </w:rPr>
        <w:t> </w:t>
      </w:r>
      <w:r>
        <w:rPr>
          <w:vertAlign w:val="baseline"/>
        </w:rPr>
        <w:t>β,</w:t>
      </w:r>
      <w:r>
        <w:rPr>
          <w:spacing w:val="3"/>
          <w:vertAlign w:val="baseline"/>
        </w:rPr>
        <w:t> </w:t>
      </w:r>
      <w:r>
        <w:rPr>
          <w:vertAlign w:val="baseline"/>
        </w:rPr>
        <w:t>δ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γ</w:t>
      </w:r>
      <w:r>
        <w:rPr>
          <w:spacing w:val="5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be</w:t>
      </w:r>
      <w:r>
        <w:rPr>
          <w:spacing w:val="2"/>
          <w:vertAlign w:val="baseline"/>
        </w:rPr>
        <w:t> </w:t>
      </w:r>
      <w:r>
        <w:rPr>
          <w:vertAlign w:val="baseline"/>
        </w:rPr>
        <w:t>estimated,</w:t>
      </w:r>
      <w:r>
        <w:rPr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𝜀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3"/>
          <w:vertAlign w:val="baseline"/>
        </w:rPr>
        <w:t> </w:t>
      </w:r>
      <w:r>
        <w:rPr>
          <w:vertAlign w:val="baseline"/>
        </w:rPr>
        <w:t>a</w:t>
      </w:r>
      <w:r>
        <w:rPr>
          <w:spacing w:val="4"/>
          <w:vertAlign w:val="baseline"/>
        </w:rPr>
        <w:t> </w:t>
      </w:r>
      <w:r>
        <w:rPr>
          <w:vertAlign w:val="baseline"/>
        </w:rPr>
        <w:t>random</w:t>
      </w:r>
      <w:r>
        <w:rPr>
          <w:spacing w:val="2"/>
          <w:vertAlign w:val="baseline"/>
        </w:rPr>
        <w:t> </w:t>
      </w:r>
      <w:r>
        <w:rPr>
          <w:vertAlign w:val="baseline"/>
        </w:rPr>
        <w:t>error</w:t>
      </w:r>
      <w:r>
        <w:rPr>
          <w:spacing w:val="2"/>
          <w:vertAlign w:val="baseline"/>
        </w:rPr>
        <w:t> </w:t>
      </w:r>
      <w:r>
        <w:rPr>
          <w:vertAlign w:val="baseline"/>
        </w:rPr>
        <w:t>that</w:t>
      </w:r>
      <w:r>
        <w:rPr>
          <w:spacing w:val="4"/>
          <w:vertAlign w:val="baseline"/>
        </w:rPr>
        <w:t> </w:t>
      </w:r>
      <w:r>
        <w:rPr>
          <w:vertAlign w:val="baseline"/>
        </w:rPr>
        <w:t>follows</w:t>
      </w:r>
      <w:r>
        <w:rPr>
          <w:spacing w:val="3"/>
          <w:vertAlign w:val="baseline"/>
        </w:rPr>
        <w:t> </w:t>
      </w:r>
      <w:r>
        <w:rPr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vertAlign w:val="baseline"/>
        </w:rPr>
        <w:t>normal</w:t>
      </w:r>
      <w:r>
        <w:rPr>
          <w:spacing w:val="3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3"/>
          <w:vertAlign w:val="baseline"/>
        </w:rPr>
        <w:t> </w:t>
      </w:r>
      <w:r>
        <w:rPr>
          <w:vertAlign w:val="baseline"/>
        </w:rPr>
        <w:t>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non-constant variance.</w:t>
      </w:r>
    </w:p>
    <w:p>
      <w:pPr>
        <w:pStyle w:val="BodyText"/>
        <w:spacing w:before="9"/>
        <w:rPr>
          <w:sz w:val="35"/>
        </w:rPr>
      </w:pPr>
    </w:p>
    <w:p>
      <w:pPr>
        <w:pStyle w:val="Heading4"/>
        <w:ind w:left="100"/>
        <w:jc w:val="left"/>
      </w:pPr>
      <w:r>
        <w:rPr/>
        <w:t>Hypothesis</w:t>
      </w:r>
      <w:r>
        <w:rPr>
          <w:spacing w:val="-1"/>
        </w:rPr>
        <w:t> </w:t>
      </w:r>
      <w:r>
        <w:rPr/>
        <w:t>1 (</w:t>
      </w:r>
      <w:r>
        <w:rPr>
          <w:rFonts w:ascii="Cambria Math" w:eastAsia="Cambria Math"/>
          <w:b w:val="0"/>
        </w:rPr>
        <w:t>𝐇</w:t>
      </w:r>
      <w:r>
        <w:rPr>
          <w:rFonts w:ascii="Cambria Math" w:eastAsia="Cambria Math"/>
          <w:b w:val="0"/>
          <w:vertAlign w:val="subscript"/>
        </w:rPr>
        <w:t>𝐨</w:t>
      </w:r>
      <w:r>
        <w:rPr>
          <w:rFonts w:ascii="Cambria Math" w:eastAsia="Cambria Math"/>
          <w:b w:val="0"/>
          <w:vertAlign w:val="baseline"/>
        </w:rPr>
        <w:t>)</w:t>
      </w:r>
      <w:r>
        <w:rPr>
          <w:vertAlign w:val="baseline"/>
        </w:rPr>
        <w:t>: Rising income</w:t>
      </w:r>
      <w:r>
        <w:rPr>
          <w:spacing w:val="-1"/>
          <w:vertAlign w:val="baseline"/>
        </w:rPr>
        <w:t> </w:t>
      </w:r>
      <w:r>
        <w:rPr>
          <w:vertAlign w:val="baseline"/>
        </w:rPr>
        <w:t>inequality</w:t>
      </w:r>
      <w:r>
        <w:rPr>
          <w:spacing w:val="-1"/>
          <w:vertAlign w:val="baseline"/>
        </w:rPr>
        <w:t> </w:t>
      </w:r>
      <w:r>
        <w:rPr>
          <w:vertAlign w:val="baseline"/>
        </w:rPr>
        <w:t>is not</w:t>
      </w:r>
      <w:r>
        <w:rPr>
          <w:spacing w:val="-4"/>
          <w:vertAlign w:val="baseline"/>
        </w:rPr>
        <w:t> </w:t>
      </w:r>
      <w:r>
        <w:rPr>
          <w:vertAlign w:val="baseline"/>
        </w:rPr>
        <w:t>detrimental to health</w:t>
      </w:r>
      <w:r>
        <w:rPr>
          <w:spacing w:val="-1"/>
          <w:vertAlign w:val="baseline"/>
        </w:rPr>
        <w:t> </w:t>
      </w:r>
      <w:r>
        <w:rPr>
          <w:vertAlign w:val="baseline"/>
        </w:rPr>
        <w:t>outcomes</w:t>
      </w:r>
    </w:p>
    <w:p>
      <w:pPr>
        <w:pStyle w:val="BodyText"/>
        <w:spacing w:before="6"/>
        <w:rPr>
          <w:b/>
        </w:rPr>
      </w:pPr>
    </w:p>
    <w:p>
      <w:pPr>
        <w:pStyle w:val="Heading5"/>
        <w:ind w:left="100" w:firstLine="0"/>
      </w:pPr>
      <w:r>
        <w:rPr/>
        <w:t>Dependent</w:t>
      </w:r>
      <w:r>
        <w:rPr>
          <w:spacing w:val="-2"/>
        </w:rPr>
        <w:t> </w:t>
      </w:r>
      <w:r>
        <w:rPr/>
        <w:t>Variable</w:t>
      </w:r>
    </w:p>
    <w:p>
      <w:pPr>
        <w:pStyle w:val="BodyText"/>
        <w:spacing w:line="360" w:lineRule="auto" w:before="134"/>
        <w:ind w:left="100" w:right="116"/>
        <w:jc w:val="both"/>
      </w:pPr>
      <w:r>
        <w:rPr/>
        <w:t>To investigate the direct and indirect effects of income inequality on health outcomes in Nigeria.</w:t>
      </w:r>
      <w:r>
        <w:rPr>
          <w:spacing w:val="1"/>
        </w:rPr>
        <w:t> </w:t>
      </w:r>
      <w:r>
        <w:rPr/>
        <w:t>The thesis relies on illness – the main poor health outcomes that limits people’s ability to live a</w:t>
      </w:r>
      <w:r>
        <w:rPr>
          <w:spacing w:val="1"/>
        </w:rPr>
        <w:t> </w:t>
      </w:r>
      <w:r>
        <w:rPr/>
        <w:t>normal and healthy life. The use of illness has been guided by the previous health economics</w:t>
      </w:r>
      <w:r>
        <w:rPr>
          <w:spacing w:val="1"/>
        </w:rPr>
        <w:t> </w:t>
      </w:r>
      <w:r>
        <w:rPr/>
        <w:t>literature</w:t>
      </w:r>
      <w:r>
        <w:rPr>
          <w:spacing w:val="-11"/>
        </w:rPr>
        <w:t> </w:t>
      </w:r>
      <w:r>
        <w:rPr/>
        <w:t>(e.g.,</w:t>
      </w:r>
      <w:r>
        <w:rPr>
          <w:spacing w:val="-10"/>
        </w:rPr>
        <w:t> </w:t>
      </w:r>
      <w:r>
        <w:rPr/>
        <w:t>Johansen,</w:t>
      </w:r>
      <w:r>
        <w:rPr>
          <w:spacing w:val="-9"/>
        </w:rPr>
        <w:t> </w:t>
      </w:r>
      <w:r>
        <w:rPr/>
        <w:t>2015;</w:t>
      </w:r>
      <w:r>
        <w:rPr>
          <w:spacing w:val="-9"/>
        </w:rPr>
        <w:t> </w:t>
      </w:r>
      <w:r>
        <w:rPr/>
        <w:t>Novignon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</w:t>
      </w:r>
      <w:r>
        <w:rPr>
          <w:i/>
          <w:spacing w:val="-9"/>
        </w:rPr>
        <w:t> </w:t>
      </w:r>
      <w:r>
        <w:rPr/>
        <w:t>2017;</w:t>
      </w:r>
      <w:r>
        <w:rPr>
          <w:spacing w:val="-9"/>
        </w:rPr>
        <w:t> </w:t>
      </w:r>
      <w:r>
        <w:rPr/>
        <w:t>Seidlein</w:t>
      </w:r>
      <w:r>
        <w:rPr>
          <w:spacing w:val="-8"/>
        </w:rPr>
        <w:t> </w:t>
      </w:r>
      <w:r>
        <w:rPr/>
        <w:t>and</w:t>
      </w:r>
      <w:r>
        <w:rPr>
          <w:spacing w:val="-12"/>
        </w:rPr>
        <w:t> </w:t>
      </w:r>
      <w:r>
        <w:rPr/>
        <w:t>Salloch,</w:t>
      </w:r>
      <w:r>
        <w:rPr>
          <w:spacing w:val="-12"/>
        </w:rPr>
        <w:t> </w:t>
      </w:r>
      <w:r>
        <w:rPr/>
        <w:t>2019);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from</w:t>
      </w:r>
      <w:r>
        <w:rPr>
          <w:spacing w:val="-58"/>
        </w:rPr>
        <w:t> </w:t>
      </w:r>
      <w:r>
        <w:rPr/>
        <w:t>available data in NGHPS waves on the question: ‘during the past four weeks have you suffered</w:t>
      </w:r>
      <w:r>
        <w:rPr>
          <w:spacing w:val="1"/>
        </w:rPr>
        <w:t> </w:t>
      </w:r>
      <w:r>
        <w:rPr/>
        <w:t>from an illness/sickness?’ (see NBS, 2019). The variable is presumed to be good and objective</w:t>
      </w:r>
      <w:r>
        <w:rPr>
          <w:spacing w:val="1"/>
        </w:rPr>
        <w:t> </w:t>
      </w:r>
      <w:r>
        <w:rPr/>
        <w:t>indicator of self-rated health outcomes of households (Yiengprugsawan, 2010; and Novignon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2017).</w:t>
      </w:r>
    </w:p>
    <w:p>
      <w:pPr>
        <w:pStyle w:val="BodyText"/>
        <w:rPr>
          <w:sz w:val="28"/>
        </w:rPr>
      </w:pPr>
    </w:p>
    <w:p>
      <w:pPr>
        <w:pStyle w:val="Heading5"/>
        <w:ind w:left="100" w:firstLine="0"/>
      </w:pPr>
      <w:r>
        <w:rPr/>
        <w:t>Independent</w:t>
      </w:r>
      <w:r>
        <w:rPr>
          <w:spacing w:val="-4"/>
        </w:rPr>
        <w:t> </w:t>
      </w:r>
      <w:r>
        <w:rPr/>
        <w:t>Variables</w:t>
      </w:r>
    </w:p>
    <w:p>
      <w:pPr>
        <w:pStyle w:val="BodyText"/>
        <w:spacing w:line="360" w:lineRule="auto" w:before="131"/>
        <w:ind w:left="100" w:right="117"/>
        <w:jc w:val="both"/>
      </w:pPr>
      <w:r>
        <w:rPr/>
        <w:t>The</w:t>
      </w:r>
      <w:r>
        <w:rPr>
          <w:spacing w:val="-8"/>
        </w:rPr>
        <w:t> </w:t>
      </w:r>
      <w:r>
        <w:rPr/>
        <w:t>explanatory</w:t>
      </w:r>
      <w:r>
        <w:rPr>
          <w:spacing w:val="-11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grouped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three</w:t>
      </w:r>
      <w:r>
        <w:rPr>
          <w:spacing w:val="-4"/>
        </w:rPr>
        <w:t> </w:t>
      </w:r>
      <w:r>
        <w:rPr/>
        <w:t>components:</w:t>
      </w:r>
      <w:r>
        <w:rPr>
          <w:spacing w:val="-6"/>
        </w:rPr>
        <w:t> </w:t>
      </w:r>
      <w:r>
        <w:rPr/>
        <w:t>households’</w:t>
      </w:r>
      <w:r>
        <w:rPr>
          <w:spacing w:val="-6"/>
        </w:rPr>
        <w:t> </w:t>
      </w:r>
      <w:r>
        <w:rPr/>
        <w:t>characteristics </w:t>
      </w:r>
      <w:r>
        <w:rPr>
          <w:rFonts w:ascii="Cambria Math" w:hAnsi="Cambria Math" w:eastAsia="Cambria Math"/>
        </w:rPr>
        <w:t>(𝑋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-57"/>
          <w:vertAlign w:val="baseline"/>
        </w:rPr>
        <w:t> </w:t>
      </w:r>
      <w:r>
        <w:rPr>
          <w:vertAlign w:val="baseline"/>
        </w:rPr>
        <w:t>household’s aggregated income</w:t>
      </w:r>
      <w:r>
        <w:rPr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)</w:t>
      </w:r>
      <w:r>
        <w:rPr>
          <w:vertAlign w:val="baseline"/>
        </w:rPr>
        <w:t>, and income</w:t>
      </w:r>
      <w:r>
        <w:rPr>
          <w:spacing w:val="-1"/>
          <w:vertAlign w:val="baseline"/>
        </w:rPr>
        <w:t> </w:t>
      </w:r>
      <w:r>
        <w:rPr>
          <w:vertAlign w:val="baseline"/>
        </w:rPr>
        <w:t>inequality</w:t>
      </w:r>
      <w:r>
        <w:rPr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(𝑍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)</w:t>
      </w:r>
      <w:r>
        <w:rPr>
          <w:vertAlign w:val="baseline"/>
        </w:rPr>
        <w:t>.</w:t>
      </w:r>
    </w:p>
    <w:p>
      <w:pPr>
        <w:spacing w:before="187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Households’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Characteristics:</w:t>
      </w:r>
    </w:p>
    <w:p>
      <w:pPr>
        <w:pStyle w:val="BodyText"/>
        <w:spacing w:line="360" w:lineRule="auto" w:before="136"/>
        <w:ind w:left="100" w:right="116"/>
        <w:jc w:val="both"/>
      </w:pPr>
      <w:r>
        <w:rPr/>
        <w:t>The first component concerns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vertAlign w:val="baseline"/>
        </w:rPr>
        <w:t>. Surprisingly, rising income inequality implies higher poverty</w:t>
      </w:r>
      <w:r>
        <w:rPr>
          <w:spacing w:val="1"/>
          <w:vertAlign w:val="baseline"/>
        </w:rPr>
        <w:t> </w:t>
      </w:r>
      <w:r>
        <w:rPr>
          <w:vertAlign w:val="baseline"/>
        </w:rPr>
        <w:t>where a smaller share of income is received by those at the bottom of the income distribution.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Furthermore,</w:t>
      </w:r>
      <w:r>
        <w:rPr>
          <w:spacing w:val="-3"/>
          <w:vertAlign w:val="baseline"/>
        </w:rPr>
        <w:t> </w:t>
      </w:r>
      <w:r>
        <w:rPr>
          <w:vertAlign w:val="baseline"/>
        </w:rPr>
        <w:t>since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quality</w:t>
      </w:r>
      <w:r>
        <w:rPr>
          <w:spacing w:val="-7"/>
          <w:vertAlign w:val="baseline"/>
        </w:rPr>
        <w:t> </w:t>
      </w:r>
      <w:r>
        <w:rPr>
          <w:vertAlign w:val="baseline"/>
        </w:rPr>
        <w:t>of early</w:t>
      </w:r>
      <w:r>
        <w:rPr>
          <w:spacing w:val="-8"/>
          <w:vertAlign w:val="baseline"/>
        </w:rPr>
        <w:t> </w:t>
      </w:r>
      <w:r>
        <w:rPr>
          <w:vertAlign w:val="baseline"/>
        </w:rPr>
        <w:t>childhood, food</w:t>
      </w:r>
      <w:r>
        <w:rPr>
          <w:spacing w:val="-3"/>
          <w:vertAlign w:val="baseline"/>
        </w:rPr>
        <w:t> </w:t>
      </w:r>
      <w:r>
        <w:rPr>
          <w:vertAlign w:val="baseline"/>
        </w:rPr>
        <w:t>security,</w:t>
      </w:r>
      <w:r>
        <w:rPr>
          <w:spacing w:val="-3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housing</w:t>
      </w:r>
      <w:r>
        <w:rPr>
          <w:spacing w:val="-5"/>
          <w:vertAlign w:val="baseline"/>
        </w:rPr>
        <w:t> </w:t>
      </w:r>
      <w:r>
        <w:rPr>
          <w:vertAlign w:val="baseline"/>
        </w:rPr>
        <w:t>conditions</w:t>
      </w:r>
      <w:r>
        <w:rPr>
          <w:spacing w:val="-57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all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part</w:t>
      </w:r>
      <w:r>
        <w:rPr>
          <w:spacing w:val="-3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2"/>
          <w:vertAlign w:val="baseline"/>
        </w:rPr>
        <w:t> </w:t>
      </w:r>
      <w:r>
        <w:rPr>
          <w:vertAlign w:val="baseline"/>
        </w:rPr>
        <w:t>inequality</w:t>
      </w:r>
      <w:r>
        <w:rPr>
          <w:spacing w:val="-5"/>
          <w:vertAlign w:val="baseline"/>
        </w:rPr>
        <w:t> </w:t>
      </w:r>
      <w:r>
        <w:rPr>
          <w:vertAlign w:val="baseline"/>
        </w:rPr>
        <w:t>(Benzeval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2014).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thesis</w:t>
      </w:r>
      <w:r>
        <w:rPr>
          <w:spacing w:val="-2"/>
          <w:vertAlign w:val="baseline"/>
        </w:rPr>
        <w:t> </w:t>
      </w:r>
      <w:r>
        <w:rPr>
          <w:vertAlign w:val="baseline"/>
        </w:rPr>
        <w:t>accounts for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role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family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size,</w:t>
      </w:r>
      <w:r>
        <w:rPr>
          <w:spacing w:val="-12"/>
          <w:vertAlign w:val="baseline"/>
        </w:rPr>
        <w:t> </w:t>
      </w:r>
      <w:r>
        <w:rPr>
          <w:vertAlign w:val="baseline"/>
        </w:rPr>
        <w:t>hunger,</w:t>
      </w:r>
      <w:r>
        <w:rPr>
          <w:spacing w:val="-13"/>
          <w:vertAlign w:val="baseline"/>
        </w:rPr>
        <w:t> </w:t>
      </w:r>
      <w:r>
        <w:rPr>
          <w:vertAlign w:val="baseline"/>
        </w:rPr>
        <w:t>food</w:t>
      </w:r>
      <w:r>
        <w:rPr>
          <w:spacing w:val="-12"/>
          <w:vertAlign w:val="baseline"/>
        </w:rPr>
        <w:t> </w:t>
      </w:r>
      <w:r>
        <w:rPr>
          <w:vertAlign w:val="baseline"/>
        </w:rPr>
        <w:t>or</w:t>
      </w:r>
      <w:r>
        <w:rPr>
          <w:spacing w:val="-13"/>
          <w:vertAlign w:val="baseline"/>
        </w:rPr>
        <w:t> </w:t>
      </w:r>
      <w:r>
        <w:rPr>
          <w:vertAlign w:val="baseline"/>
        </w:rPr>
        <w:t>diets,</w:t>
      </w:r>
      <w:r>
        <w:rPr>
          <w:spacing w:val="-12"/>
          <w:vertAlign w:val="baseline"/>
        </w:rPr>
        <w:t> </w:t>
      </w:r>
      <w:r>
        <w:rPr>
          <w:vertAlign w:val="baseline"/>
        </w:rPr>
        <w:t>material</w:t>
      </w:r>
      <w:r>
        <w:rPr>
          <w:spacing w:val="-11"/>
          <w:vertAlign w:val="baseline"/>
        </w:rPr>
        <w:t> </w:t>
      </w:r>
      <w:r>
        <w:rPr>
          <w:vertAlign w:val="baseline"/>
        </w:rPr>
        <w:t>(health-promoting</w:t>
      </w:r>
      <w:r>
        <w:rPr>
          <w:spacing w:val="-12"/>
          <w:vertAlign w:val="baseline"/>
        </w:rPr>
        <w:t> </w:t>
      </w:r>
      <w:r>
        <w:rPr>
          <w:vertAlign w:val="baseline"/>
        </w:rPr>
        <w:t>goods</w:t>
      </w:r>
      <w:r>
        <w:rPr>
          <w:spacing w:val="-12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services),</w:t>
      </w:r>
      <w:r>
        <w:rPr>
          <w:spacing w:val="-13"/>
          <w:vertAlign w:val="baseline"/>
        </w:rPr>
        <w:t> </w:t>
      </w:r>
      <w:r>
        <w:rPr>
          <w:vertAlign w:val="baseline"/>
        </w:rPr>
        <w:t>lifestyles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behavior,</w:t>
      </w:r>
      <w:r>
        <w:rPr>
          <w:spacing w:val="1"/>
          <w:vertAlign w:val="baseline"/>
        </w:rPr>
        <w:t> </w:t>
      </w:r>
      <w:r>
        <w:rPr>
          <w:vertAlign w:val="baseline"/>
        </w:rPr>
        <w:t>and health-seeking</w:t>
      </w:r>
      <w:r>
        <w:rPr>
          <w:spacing w:val="-1"/>
          <w:vertAlign w:val="baseline"/>
        </w:rPr>
        <w:t> </w:t>
      </w:r>
      <w:r>
        <w:rPr>
          <w:vertAlign w:val="baseline"/>
        </w:rPr>
        <w:t>behavior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vertAlign w:val="baseline"/>
        </w:rPr>
        <w:t>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spacing w:before="74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Family’s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Size</w:t>
      </w:r>
    </w:p>
    <w:p>
      <w:pPr>
        <w:pStyle w:val="BodyText"/>
        <w:spacing w:line="360" w:lineRule="auto" w:before="137"/>
        <w:ind w:left="100" w:right="116"/>
        <w:jc w:val="both"/>
      </w:pPr>
      <w:r>
        <w:rPr/>
        <w:t>Surprisingly, </w:t>
      </w:r>
      <w:r>
        <w:rPr>
          <w:i/>
        </w:rPr>
        <w:t>family size </w:t>
      </w:r>
      <w:r>
        <w:rPr/>
        <w:t>affects family needs. Each addition to a family requires adjustments and</w:t>
      </w:r>
      <w:r>
        <w:rPr>
          <w:spacing w:val="-57"/>
        </w:rPr>
        <w:t> </w:t>
      </w:r>
      <w:r>
        <w:rPr>
          <w:spacing w:val="-1"/>
        </w:rPr>
        <w:t>at</w:t>
      </w:r>
      <w:r>
        <w:rPr>
          <w:spacing w:val="-12"/>
        </w:rPr>
        <w:t> </w:t>
      </w:r>
      <w:r>
        <w:rPr>
          <w:spacing w:val="-1"/>
        </w:rPr>
        <w:t>time</w:t>
      </w:r>
      <w:r>
        <w:rPr>
          <w:spacing w:val="-13"/>
        </w:rPr>
        <w:t> </w:t>
      </w:r>
      <w:r>
        <w:rPr>
          <w:spacing w:val="-1"/>
        </w:rPr>
        <w:t>sacrifices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older</w:t>
      </w:r>
      <w:r>
        <w:rPr>
          <w:spacing w:val="-14"/>
        </w:rPr>
        <w:t> </w:t>
      </w:r>
      <w:r>
        <w:rPr/>
        <w:t>members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family</w:t>
      </w:r>
      <w:r>
        <w:rPr>
          <w:spacing w:val="-14"/>
        </w:rPr>
        <w:t> </w:t>
      </w:r>
      <w:r>
        <w:rPr/>
        <w:t>(Dasgupta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Solomon,</w:t>
      </w:r>
      <w:r>
        <w:rPr>
          <w:spacing w:val="-12"/>
        </w:rPr>
        <w:t> </w:t>
      </w:r>
      <w:r>
        <w:rPr/>
        <w:t>2017).</w:t>
      </w:r>
      <w:r>
        <w:rPr>
          <w:spacing w:val="-12"/>
        </w:rPr>
        <w:t> </w:t>
      </w:r>
      <w:r>
        <w:rPr/>
        <w:t>Thus,</w:t>
      </w:r>
      <w:r>
        <w:rPr>
          <w:spacing w:val="-12"/>
        </w:rPr>
        <w:t> </w:t>
      </w:r>
      <w:r>
        <w:rPr/>
        <w:t>income</w:t>
      </w:r>
      <w:r>
        <w:rPr>
          <w:spacing w:val="-57"/>
        </w:rPr>
        <w:t> </w:t>
      </w:r>
      <w:r>
        <w:rPr/>
        <w:t>inequality lead to shifts in priorities as family size rises. It also inhibits the ability of households</w:t>
      </w:r>
      <w:r>
        <w:rPr>
          <w:spacing w:val="1"/>
        </w:rPr>
        <w:t> </w:t>
      </w:r>
      <w:r>
        <w:rPr/>
        <w:t>to convert their incomes and wealth to well-being or to meet their basic needs – foods, clothing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shelter</w:t>
      </w:r>
      <w:r>
        <w:rPr>
          <w:spacing w:val="-1"/>
        </w:rPr>
        <w:t> </w:t>
      </w:r>
      <w:r>
        <w:rPr/>
        <w:t>– resulting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poor</w:t>
      </w:r>
      <w:r>
        <w:rPr>
          <w:spacing w:val="-1"/>
        </w:rPr>
        <w:t> </w:t>
      </w:r>
      <w:r>
        <w:rPr/>
        <w:t>health outcomes (illness).</w:t>
      </w:r>
    </w:p>
    <w:p>
      <w:pPr>
        <w:pStyle w:val="BodyText"/>
        <w:spacing w:line="360" w:lineRule="auto" w:before="186"/>
        <w:ind w:left="100" w:right="116"/>
        <w:jc w:val="both"/>
      </w:pPr>
      <w:r>
        <w:rPr/>
        <w:t>The size of the household could also have a negative influence on diet and nutritional levels. This</w:t>
      </w:r>
      <w:r>
        <w:rPr>
          <w:spacing w:val="-58"/>
        </w:rPr>
        <w:t> </w:t>
      </w:r>
      <w:r>
        <w:rPr/>
        <w:t>suggest that, in small households, there is a greater likelihood that resources (income, food,</w:t>
      </w:r>
      <w:r>
        <w:rPr>
          <w:spacing w:val="1"/>
        </w:rPr>
        <w:t> </w:t>
      </w:r>
      <w:r>
        <w:rPr/>
        <w:t>housing, and clothing) per each member would be more. Thus, the effect of household’s size on</w:t>
      </w:r>
      <w:r>
        <w:rPr>
          <w:spacing w:val="1"/>
        </w:rPr>
        <w:t> </w:t>
      </w:r>
      <w:r>
        <w:rPr/>
        <w:t>health likely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bearing</w:t>
      </w:r>
      <w:r>
        <w:rPr>
          <w:spacing w:val="-3"/>
        </w:rPr>
        <w:t> </w:t>
      </w:r>
      <w:r>
        <w:rPr/>
        <w:t>from income</w:t>
      </w:r>
      <w:r>
        <w:rPr>
          <w:spacing w:val="-2"/>
        </w:rPr>
        <w:t> </w:t>
      </w:r>
      <w:r>
        <w:rPr/>
        <w:t>inequality. Simply</w:t>
      </w:r>
      <w:r>
        <w:rPr>
          <w:spacing w:val="-8"/>
        </w:rPr>
        <w:t> </w:t>
      </w:r>
      <w:r>
        <w:rPr/>
        <w:t>put,</w:t>
      </w:r>
    </w:p>
    <w:p>
      <w:pPr>
        <w:pStyle w:val="BodyText"/>
        <w:spacing w:line="362" w:lineRule="auto" w:before="228"/>
        <w:ind w:left="100" w:right="119"/>
        <w:jc w:val="both"/>
      </w:pPr>
      <w:r>
        <w:rPr>
          <w:rFonts w:ascii="Cambria Math" w:hAnsi="Cambria Math" w:eastAsia="Cambria Math"/>
        </w:rPr>
        <w:t>𝗍</w:t>
      </w:r>
      <w:r>
        <w:rPr/>
        <w:t>Income Inequality</w:t>
      </w:r>
      <w:r>
        <w:rPr>
          <w:rFonts w:ascii="Cambria Math" w:hAnsi="Cambria Math" w:eastAsia="Cambria Math"/>
        </w:rPr>
        <w:t>→</w:t>
      </w:r>
      <w:r>
        <w:rPr/>
        <w:t>↑Purchasing power Disparities among households →↓Resource (to meet the</w:t>
      </w:r>
      <w:r>
        <w:rPr>
          <w:spacing w:val="-57"/>
        </w:rPr>
        <w:t> </w:t>
      </w:r>
      <w:r>
        <w:rPr/>
        <w:t>basic</w:t>
      </w:r>
      <w:r>
        <w:rPr>
          <w:spacing w:val="-2"/>
        </w:rPr>
        <w:t> </w:t>
      </w:r>
      <w:r>
        <w:rPr/>
        <w:t>needs)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households’</w:t>
      </w:r>
      <w:r>
        <w:rPr>
          <w:spacing w:val="-1"/>
        </w:rPr>
        <w:t> </w:t>
      </w:r>
      <w:r>
        <w:rPr/>
        <w:t>member</w:t>
      </w:r>
      <w:r>
        <w:rPr>
          <w:spacing w:val="-2"/>
        </w:rPr>
        <w:t> </w:t>
      </w:r>
      <w:r>
        <w:rPr/>
        <w:t>→↑Poor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(frequent</w:t>
      </w:r>
      <w:r>
        <w:rPr>
          <w:spacing w:val="-1"/>
        </w:rPr>
        <w:t> </w:t>
      </w:r>
      <w:r>
        <w:rPr/>
        <w:t>illness)</w:t>
      </w:r>
    </w:p>
    <w:p>
      <w:pPr>
        <w:pStyle w:val="BodyText"/>
        <w:spacing w:line="360" w:lineRule="auto" w:before="228"/>
        <w:ind w:left="100" w:right="117"/>
        <w:jc w:val="both"/>
      </w:pPr>
      <w:r>
        <w:rPr/>
        <w:t>This</w:t>
      </w:r>
      <w:r>
        <w:rPr>
          <w:spacing w:val="-7"/>
        </w:rPr>
        <w:t> </w:t>
      </w:r>
      <w:r>
        <w:rPr/>
        <w:t>implies,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rising,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purchasing-power</w:t>
      </w:r>
      <w:r>
        <w:rPr>
          <w:spacing w:val="-7"/>
        </w:rPr>
        <w:t> </w:t>
      </w:r>
      <w:r>
        <w:rPr/>
        <w:t>disparities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rich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poor households in a group, society or nations increases (Kakwani and Hyun, 2015). This in turn,</w:t>
      </w:r>
      <w:r>
        <w:rPr>
          <w:spacing w:val="-57"/>
        </w:rPr>
        <w:t> </w:t>
      </w:r>
      <w:r>
        <w:rPr/>
        <w:t>drag down the ability of households’ incomes for healthy living. Apriorily, the thesis expects a</w:t>
      </w:r>
      <w:r>
        <w:rPr>
          <w:spacing w:val="1"/>
        </w:rPr>
        <w:t> </w:t>
      </w:r>
      <w:r>
        <w:rPr/>
        <w:t>positive indirect effect of income inequality on health outcomes (illness) through larger family</w:t>
      </w:r>
      <w:r>
        <w:rPr>
          <w:spacing w:val="1"/>
        </w:rPr>
        <w:t> </w:t>
      </w:r>
      <w:r>
        <w:rPr/>
        <w:t>size.</w:t>
      </w:r>
    </w:p>
    <w:p>
      <w:pPr>
        <w:spacing w:before="136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Hunger,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Calories</w:t>
      </w:r>
    </w:p>
    <w:p>
      <w:pPr>
        <w:pStyle w:val="BodyText"/>
        <w:spacing w:line="360" w:lineRule="auto" w:before="139"/>
        <w:ind w:left="100" w:right="114"/>
        <w:jc w:val="both"/>
      </w:pPr>
      <w:r>
        <w:rPr/>
        <w:t>Typically, households with the least economic power suffer hunger or mal-nutrition. This is</w:t>
      </w:r>
      <w:r>
        <w:rPr>
          <w:spacing w:val="1"/>
        </w:rPr>
        <w:t> </w:t>
      </w:r>
      <w:r>
        <w:rPr/>
        <w:t>because hunger, and general well-being in all its forms are rooted in income inequality (Brian</w:t>
      </w:r>
      <w:r>
        <w:rPr>
          <w:spacing w:val="1"/>
        </w:rPr>
        <w:t> </w:t>
      </w:r>
      <w:r>
        <w:rPr/>
        <w:t>2015:74). Though less healthy food might be relatively cheap; however, healthy diets is often</w:t>
      </w:r>
      <w:r>
        <w:rPr>
          <w:spacing w:val="1"/>
        </w:rPr>
        <w:t> </w:t>
      </w:r>
      <w:r>
        <w:rPr/>
        <w:t>prohibitively expensive in developing nations, probably because of the climate change issues and</w:t>
      </w:r>
      <w:r>
        <w:rPr>
          <w:spacing w:val="-57"/>
        </w:rPr>
        <w:t> </w:t>
      </w:r>
      <w:r>
        <w:rPr/>
        <w:t>weather</w:t>
      </w:r>
      <w:r>
        <w:rPr>
          <w:spacing w:val="-3"/>
        </w:rPr>
        <w:t> </w:t>
      </w:r>
      <w:r>
        <w:rPr/>
        <w:t>patterns (Eckstein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2018:9).</w:t>
      </w:r>
    </w:p>
    <w:p>
      <w:pPr>
        <w:pStyle w:val="BodyText"/>
        <w:spacing w:before="115"/>
        <w:ind w:left="100"/>
        <w:jc w:val="both"/>
      </w:pPr>
      <w:r>
        <w:rPr/>
        <w:t>The</w:t>
      </w:r>
      <w:r>
        <w:rPr>
          <w:spacing w:val="-3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income inequality</w:t>
      </w:r>
      <w:r>
        <w:rPr>
          <w:spacing w:val="-6"/>
        </w:rPr>
        <w:t> </w:t>
      </w:r>
      <w:r>
        <w:rPr/>
        <w:t>through hunger/diet</w:t>
      </w:r>
      <w:r>
        <w:rPr>
          <w:spacing w:val="-1"/>
        </w:rPr>
        <w:t> </w:t>
      </w:r>
      <w:r>
        <w:rPr/>
        <w:t>on health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expressed as:</w:t>
      </w:r>
    </w:p>
    <w:p>
      <w:pPr>
        <w:pStyle w:val="BodyText"/>
        <w:tabs>
          <w:tab w:pos="8741" w:val="left" w:leader="none"/>
        </w:tabs>
        <w:spacing w:before="127"/>
        <w:ind w:left="2260"/>
      </w:pPr>
      <w:r>
        <w:rPr>
          <w:rFonts w:ascii="Cambria Math" w:hAnsi="Cambria Math" w:eastAsia="Cambria Math"/>
        </w:rPr>
        <w:t>𝐷𝑖𝑒𝑡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𝑓(𝑍)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vertAlign w:val="baseline"/>
        </w:rPr>
        <w:t>=</w:t>
      </w:r>
      <w:r>
        <w:rPr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𝑓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𝑁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𝑃</w:t>
      </w:r>
      <w:r>
        <w:rPr>
          <w:rFonts w:ascii="Cambria Math" w:hAnsi="Cambria Math" w:eastAsia="Cambria Math"/>
          <w:position w:val="1"/>
          <w:vertAlign w:val="baseline"/>
        </w:rPr>
        <w:t>)</w:t>
        <w:tab/>
      </w:r>
      <w:r>
        <w:rPr>
          <w:vertAlign w:val="baseline"/>
        </w:rPr>
        <w:t>(4.8)</w:t>
      </w:r>
    </w:p>
    <w:p>
      <w:pPr>
        <w:pStyle w:val="BodyText"/>
        <w:spacing w:line="350" w:lineRule="auto" w:before="141"/>
        <w:ind w:left="100" w:right="114"/>
        <w:jc w:val="both"/>
      </w:pPr>
      <w:r>
        <w:rPr/>
        <w:t>where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vertAlign w:val="subscript"/>
        </w:rPr>
        <w:t>𝑁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is the average income to meet basic needs in a given area or group,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𝑃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is the aggregate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household’s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incomes,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and</w:t>
      </w:r>
      <w:r>
        <w:rPr>
          <w:spacing w:val="-13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𝑍 </w:t>
      </w:r>
      <w:r>
        <w:rPr>
          <w:spacing w:val="-1"/>
          <w:vertAlign w:val="baseline"/>
        </w:rPr>
        <w:t>denotes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level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of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income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inequality.</w:t>
      </w:r>
      <w:r>
        <w:rPr>
          <w:spacing w:val="-15"/>
          <w:vertAlign w:val="baseline"/>
        </w:rPr>
        <w:t> </w:t>
      </w:r>
      <w:r>
        <w:rPr>
          <w:vertAlign w:val="baseline"/>
        </w:rPr>
        <w:t>Anytime</w:t>
      </w:r>
      <w:r>
        <w:rPr>
          <w:spacing w:val="-1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𝑁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𝑃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9"/>
          <w:position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13"/>
          <w:vertAlign w:val="baseline"/>
        </w:rPr>
        <w:t> </w:t>
      </w:r>
      <w:r>
        <w:rPr>
          <w:vertAlign w:val="baseline"/>
        </w:rPr>
        <w:t>positive,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that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is,</w:t>
      </w:r>
      <w:r>
        <w:rPr>
          <w:spacing w:val="-12"/>
          <w:vertAlign w:val="baseline"/>
        </w:rPr>
        <w:t> </w:t>
      </w:r>
      <w:r>
        <w:rPr>
          <w:rFonts w:ascii="Cambria Math" w:hAnsi="Cambria Math" w:eastAsia="Cambria Math"/>
          <w:spacing w:val="-1"/>
          <w:position w:val="1"/>
          <w:vertAlign w:val="baseline"/>
        </w:rPr>
        <w:t>(</w:t>
      </w:r>
      <w:r>
        <w:rPr>
          <w:rFonts w:ascii="Cambria Math" w:hAnsi="Cambria Math" w:eastAsia="Cambria Math"/>
          <w:spacing w:val="-1"/>
          <w:vertAlign w:val="baseline"/>
        </w:rPr>
        <w:t>𝑌</w:t>
      </w:r>
      <w:r>
        <w:rPr>
          <w:rFonts w:ascii="Cambria Math" w:hAnsi="Cambria Math" w:eastAsia="Cambria Math"/>
          <w:spacing w:val="-1"/>
          <w:vertAlign w:val="subscript"/>
        </w:rPr>
        <w:t>𝑁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&gt;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𝑌</w:t>
      </w:r>
      <w:r>
        <w:rPr>
          <w:rFonts w:ascii="Cambria Math" w:hAnsi="Cambria Math" w:eastAsia="Cambria Math"/>
          <w:spacing w:val="-1"/>
          <w:vertAlign w:val="subscript"/>
        </w:rPr>
        <w:t>𝑃</w:t>
      </w:r>
      <w:r>
        <w:rPr>
          <w:rFonts w:ascii="Cambria Math" w:hAnsi="Cambria Math" w:eastAsia="Cambria Math"/>
          <w:spacing w:val="-1"/>
          <w:position w:val="1"/>
          <w:vertAlign w:val="baseline"/>
        </w:rPr>
        <w:t>)</w:t>
      </w:r>
      <w:r>
        <w:rPr>
          <w:spacing w:val="-1"/>
          <w:vertAlign w:val="baseline"/>
        </w:rPr>
        <w:t>,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quality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quantity</w:t>
      </w:r>
      <w:r>
        <w:rPr>
          <w:spacing w:val="-16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healthy</w:t>
      </w:r>
      <w:r>
        <w:rPr>
          <w:spacing w:val="-15"/>
          <w:vertAlign w:val="baseline"/>
        </w:rPr>
        <w:t> </w:t>
      </w:r>
      <w:r>
        <w:rPr>
          <w:vertAlign w:val="baseline"/>
        </w:rPr>
        <w:t>diet</w:t>
      </w:r>
      <w:r>
        <w:rPr>
          <w:spacing w:val="-12"/>
          <w:vertAlign w:val="baseline"/>
        </w:rPr>
        <w:t> </w:t>
      </w:r>
      <w:r>
        <w:rPr>
          <w:vertAlign w:val="baseline"/>
        </w:rPr>
        <w:t>will</w:t>
      </w:r>
      <w:r>
        <w:rPr>
          <w:spacing w:val="-11"/>
          <w:vertAlign w:val="baseline"/>
        </w:rPr>
        <w:t> </w:t>
      </w:r>
      <w:r>
        <w:rPr>
          <w:vertAlign w:val="baseline"/>
        </w:rPr>
        <w:t>reduce</w:t>
      </w:r>
      <w:r>
        <w:rPr>
          <w:spacing w:val="-13"/>
          <w:vertAlign w:val="baseline"/>
        </w:rPr>
        <w:t> </w:t>
      </w:r>
      <w:r>
        <w:rPr>
          <w:vertAlign w:val="baseline"/>
        </w:rPr>
        <w:t>(and</w:t>
      </w:r>
      <w:r>
        <w:rPr>
          <w:spacing w:val="-12"/>
          <w:vertAlign w:val="baseline"/>
        </w:rPr>
        <w:t> </w:t>
      </w:r>
      <w:r>
        <w:rPr>
          <w:vertAlign w:val="baseline"/>
        </w:rPr>
        <w:t>vice-visa,</w:t>
      </w:r>
      <w:r>
        <w:rPr>
          <w:spacing w:val="-13"/>
          <w:vertAlign w:val="baseline"/>
        </w:rPr>
        <w:t> </w:t>
      </w:r>
      <w:r>
        <w:rPr>
          <w:vertAlign w:val="baseline"/>
        </w:rPr>
        <w:t>if</w:t>
      </w:r>
      <w:r>
        <w:rPr>
          <w:spacing w:val="-10"/>
          <w:vertAlign w:val="baseline"/>
        </w:rPr>
        <w:t> </w:t>
      </w:r>
      <w:r>
        <w:rPr>
          <w:vertAlign w:val="baseline"/>
        </w:rPr>
        <w:t>otherwise).</w:t>
      </w:r>
      <w:r>
        <w:rPr>
          <w:spacing w:val="-58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this</w:t>
      </w:r>
      <w:r>
        <w:rPr>
          <w:spacing w:val="19"/>
          <w:vertAlign w:val="baseline"/>
        </w:rPr>
        <w:t> </w:t>
      </w:r>
      <w:r>
        <w:rPr>
          <w:vertAlign w:val="baseline"/>
        </w:rPr>
        <w:t>situation,</w:t>
      </w:r>
      <w:r>
        <w:rPr>
          <w:spacing w:val="20"/>
          <w:vertAlign w:val="baseline"/>
        </w:rPr>
        <w:t> </w:t>
      </w:r>
      <w:r>
        <w:rPr>
          <w:vertAlign w:val="baseline"/>
        </w:rPr>
        <w:t>low</w:t>
      </w:r>
      <w:r>
        <w:rPr>
          <w:spacing w:val="17"/>
          <w:vertAlign w:val="baseline"/>
        </w:rPr>
        <w:t> </w:t>
      </w:r>
      <w:r>
        <w:rPr>
          <w:vertAlign w:val="baseline"/>
        </w:rPr>
        <w:t>income</w:t>
      </w:r>
      <w:r>
        <w:rPr>
          <w:spacing w:val="18"/>
          <w:vertAlign w:val="baseline"/>
        </w:rPr>
        <w:t> </w:t>
      </w:r>
      <w:r>
        <w:rPr>
          <w:vertAlign w:val="baseline"/>
        </w:rPr>
        <w:t>households</w:t>
      </w:r>
      <w:r>
        <w:rPr>
          <w:spacing w:val="19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𝑃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25"/>
          <w:position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20"/>
          <w:vertAlign w:val="baseline"/>
        </w:rPr>
        <w:t> </w:t>
      </w:r>
      <w:r>
        <w:rPr>
          <w:vertAlign w:val="baseline"/>
        </w:rPr>
        <w:t>purchase</w:t>
      </w:r>
      <w:r>
        <w:rPr>
          <w:spacing w:val="18"/>
          <w:vertAlign w:val="baseline"/>
        </w:rPr>
        <w:t> </w:t>
      </w:r>
      <w:r>
        <w:rPr>
          <w:vertAlign w:val="baseline"/>
        </w:rPr>
        <w:t>cheap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energy-dense</w:t>
      </w:r>
      <w:r>
        <w:rPr>
          <w:spacing w:val="18"/>
          <w:vertAlign w:val="baseline"/>
        </w:rPr>
        <w:t> </w:t>
      </w:r>
      <w:r>
        <w:rPr>
          <w:vertAlign w:val="baseline"/>
        </w:rPr>
        <w:t>foods</w:t>
      </w:r>
      <w:r>
        <w:rPr>
          <w:spacing w:val="18"/>
          <w:vertAlign w:val="baseline"/>
        </w:rPr>
        <w:t> </w:t>
      </w:r>
      <w:r>
        <w:rPr>
          <w:vertAlign w:val="baseline"/>
        </w:rPr>
        <w:t>that</w:t>
      </w:r>
    </w:p>
    <w:p>
      <w:pPr>
        <w:spacing w:after="0" w:line="350" w:lineRule="auto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pStyle w:val="BodyText"/>
        <w:spacing w:line="360" w:lineRule="auto" w:before="74"/>
        <w:ind w:left="100" w:right="120"/>
        <w:jc w:val="both"/>
      </w:pPr>
      <w:r>
        <w:rPr/>
        <w:t>maximize</w:t>
      </w:r>
      <w:r>
        <w:rPr>
          <w:spacing w:val="-11"/>
        </w:rPr>
        <w:t> </w:t>
      </w:r>
      <w:r>
        <w:rPr/>
        <w:t>their</w:t>
      </w:r>
      <w:r>
        <w:rPr>
          <w:spacing w:val="-9"/>
        </w:rPr>
        <w:t> </w:t>
      </w:r>
      <w:r>
        <w:rPr/>
        <w:t>calories</w:t>
      </w:r>
      <w:r>
        <w:rPr>
          <w:spacing w:val="-8"/>
        </w:rPr>
        <w:t> </w:t>
      </w:r>
      <w:r>
        <w:rPr/>
        <w:t>per</w:t>
      </w:r>
      <w:r>
        <w:rPr>
          <w:spacing w:val="-9"/>
        </w:rPr>
        <w:t> </w:t>
      </w:r>
      <w:r>
        <w:rPr/>
        <w:t>naira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stave</w:t>
      </w:r>
      <w:r>
        <w:rPr>
          <w:spacing w:val="-10"/>
        </w:rPr>
        <w:t> </w:t>
      </w:r>
      <w:r>
        <w:rPr/>
        <w:t>off</w:t>
      </w:r>
      <w:r>
        <w:rPr>
          <w:spacing w:val="-10"/>
        </w:rPr>
        <w:t> </w:t>
      </w:r>
      <w:r>
        <w:rPr/>
        <w:t>hunger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nutritional</w:t>
      </w:r>
      <w:r>
        <w:rPr>
          <w:spacing w:val="-8"/>
        </w:rPr>
        <w:t> </w:t>
      </w:r>
      <w:r>
        <w:rPr/>
        <w:t>deficiency</w:t>
      </w:r>
      <w:r>
        <w:rPr>
          <w:spacing w:val="-13"/>
        </w:rPr>
        <w:t> </w:t>
      </w:r>
      <w:r>
        <w:rPr/>
        <w:t>(Benzeval</w:t>
      </w:r>
      <w:r>
        <w:rPr>
          <w:spacing w:val="-58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>
          <w:i/>
          <w:spacing w:val="-2"/>
        </w:rPr>
        <w:t> </w:t>
      </w:r>
      <w:r>
        <w:rPr/>
        <w:t>2014).</w:t>
      </w:r>
      <w:r>
        <w:rPr>
          <w:spacing w:val="-1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WHO</w:t>
      </w:r>
      <w:r>
        <w:rPr>
          <w:spacing w:val="-4"/>
        </w:rPr>
        <w:t> </w:t>
      </w:r>
      <w:r>
        <w:rPr/>
        <w:t>(2017c),</w:t>
      </w:r>
      <w:r>
        <w:rPr>
          <w:spacing w:val="-4"/>
        </w:rPr>
        <w:t> </w:t>
      </w:r>
      <w:r>
        <w:rPr/>
        <w:t>nutritional</w:t>
      </w:r>
      <w:r>
        <w:rPr>
          <w:spacing w:val="-2"/>
        </w:rPr>
        <w:t> </w:t>
      </w:r>
      <w:r>
        <w:rPr/>
        <w:t>deficiency</w:t>
      </w:r>
      <w:r>
        <w:rPr>
          <w:spacing w:val="-5"/>
        </w:rPr>
        <w:t> </w:t>
      </w:r>
      <w:r>
        <w:rPr/>
        <w:t>occurs</w:t>
      </w:r>
      <w:r>
        <w:rPr>
          <w:spacing w:val="-2"/>
        </w:rPr>
        <w:t> </w:t>
      </w:r>
      <w:r>
        <w:rPr/>
        <w:t>when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body</w:t>
      </w:r>
      <w:r>
        <w:rPr>
          <w:spacing w:val="-8"/>
        </w:rPr>
        <w:t> </w:t>
      </w:r>
      <w:r>
        <w:rPr/>
        <w:t>doesn’t get</w:t>
      </w:r>
      <w:r>
        <w:rPr>
          <w:spacing w:val="-57"/>
        </w:rPr>
        <w:t> </w:t>
      </w:r>
      <w:r>
        <w:rPr/>
        <w:t>or absorb the</w:t>
      </w:r>
      <w:r>
        <w:rPr>
          <w:spacing w:val="-1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amount of a</w:t>
      </w:r>
      <w:r>
        <w:rPr>
          <w:spacing w:val="-2"/>
        </w:rPr>
        <w:t> </w:t>
      </w:r>
      <w:r>
        <w:rPr/>
        <w:t>nutrient from</w:t>
      </w:r>
      <w:r>
        <w:rPr>
          <w:spacing w:val="1"/>
        </w:rPr>
        <w:t> </w:t>
      </w:r>
      <w:r>
        <w:rPr/>
        <w:t>food.</w:t>
      </w:r>
    </w:p>
    <w:p>
      <w:pPr>
        <w:pStyle w:val="BodyText"/>
        <w:spacing w:line="360" w:lineRule="auto" w:before="230"/>
        <w:ind w:left="100" w:right="117"/>
        <w:jc w:val="both"/>
      </w:pPr>
      <w:r>
        <w:rPr/>
        <w:t>Deficiencies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lead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variety</w:t>
      </w:r>
      <w:r>
        <w:rPr>
          <w:spacing w:val="-9"/>
        </w:rPr>
        <w:t> </w:t>
      </w:r>
      <w:r>
        <w:rPr/>
        <w:t>of</w:t>
      </w:r>
      <w:r>
        <w:rPr>
          <w:spacing w:val="-2"/>
        </w:rPr>
        <w:t> </w:t>
      </w:r>
      <w:r>
        <w:rPr/>
        <w:t>health</w:t>
      </w:r>
      <w:r>
        <w:rPr>
          <w:spacing w:val="-4"/>
        </w:rPr>
        <w:t> </w:t>
      </w:r>
      <w:r>
        <w:rPr/>
        <w:t>problems.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include,</w:t>
      </w:r>
      <w:r>
        <w:rPr>
          <w:spacing w:val="-1"/>
        </w:rPr>
        <w:t> </w:t>
      </w:r>
      <w:r>
        <w:rPr/>
        <w:t>digestion</w:t>
      </w:r>
      <w:r>
        <w:rPr>
          <w:spacing w:val="-4"/>
        </w:rPr>
        <w:t> </w:t>
      </w:r>
      <w:r>
        <w:rPr/>
        <w:t>problems,</w:t>
      </w:r>
      <w:r>
        <w:rPr>
          <w:spacing w:val="-3"/>
        </w:rPr>
        <w:t> </w:t>
      </w:r>
      <w:r>
        <w:rPr/>
        <w:t>skin</w:t>
      </w:r>
      <w:r>
        <w:rPr>
          <w:spacing w:val="-58"/>
        </w:rPr>
        <w:t> </w:t>
      </w:r>
      <w:r>
        <w:rPr/>
        <w:t>disorders,</w:t>
      </w:r>
      <w:r>
        <w:rPr>
          <w:spacing w:val="-9"/>
        </w:rPr>
        <w:t> </w:t>
      </w:r>
      <w:r>
        <w:rPr/>
        <w:t>stunted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defective</w:t>
      </w:r>
      <w:r>
        <w:rPr>
          <w:spacing w:val="-10"/>
        </w:rPr>
        <w:t> </w:t>
      </w:r>
      <w:r>
        <w:rPr/>
        <w:t>bone</w:t>
      </w:r>
      <w:r>
        <w:rPr>
          <w:spacing w:val="-10"/>
        </w:rPr>
        <w:t> </w:t>
      </w:r>
      <w:r>
        <w:rPr/>
        <w:t>growth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dementia</w:t>
      </w:r>
      <w:r>
        <w:rPr>
          <w:spacing w:val="-7"/>
        </w:rPr>
        <w:t> </w:t>
      </w:r>
      <w:r>
        <w:rPr/>
        <w:t>–</w:t>
      </w:r>
      <w:r>
        <w:rPr>
          <w:spacing w:val="-9"/>
        </w:rPr>
        <w:t> </w:t>
      </w:r>
      <w:r>
        <w:rPr/>
        <w:t>loss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memory</w:t>
      </w:r>
      <w:r>
        <w:rPr>
          <w:spacing w:val="-13"/>
        </w:rPr>
        <w:t> </w:t>
      </w:r>
      <w:r>
        <w:rPr/>
        <w:t>(WHO,</w:t>
      </w:r>
      <w:r>
        <w:rPr>
          <w:spacing w:val="-9"/>
        </w:rPr>
        <w:t> </w:t>
      </w:r>
      <w:r>
        <w:rPr/>
        <w:t>2017c).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then</w:t>
      </w:r>
      <w:r>
        <w:rPr>
          <w:spacing w:val="-58"/>
        </w:rPr>
        <w:t> </w:t>
      </w:r>
      <w:r>
        <w:rPr/>
        <w:t>implies,</w:t>
      </w:r>
      <w:r>
        <w:rPr>
          <w:spacing w:val="-4"/>
        </w:rPr>
        <w:t> </w:t>
      </w:r>
      <w:r>
        <w:rPr/>
        <w:t>unhealthy</w:t>
      </w:r>
      <w:r>
        <w:rPr>
          <w:spacing w:val="-6"/>
        </w:rPr>
        <w:t> </w:t>
      </w:r>
      <w:r>
        <w:rPr/>
        <w:t>diets/hunger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detrimental to</w:t>
      </w:r>
      <w:r>
        <w:rPr>
          <w:spacing w:val="-3"/>
        </w:rPr>
        <w:t> </w:t>
      </w:r>
      <w:r>
        <w:rPr/>
        <w:t>poor</w:t>
      </w:r>
      <w:r>
        <w:rPr>
          <w:spacing w:val="-5"/>
        </w:rPr>
        <w:t> </w:t>
      </w:r>
      <w:r>
        <w:rPr/>
        <w:t>health</w:t>
      </w:r>
      <w:r>
        <w:rPr>
          <w:spacing w:val="-4"/>
        </w:rPr>
        <w:t> </w:t>
      </w:r>
      <w:r>
        <w:rPr/>
        <w:t>issues,</w:t>
      </w:r>
      <w:r>
        <w:rPr>
          <w:spacing w:val="-1"/>
        </w:rPr>
        <w:t> </w:t>
      </w:r>
      <w:r>
        <w:rPr/>
        <w:t>such as,</w:t>
      </w:r>
      <w:r>
        <w:rPr>
          <w:spacing w:val="-4"/>
        </w:rPr>
        <w:t> </w:t>
      </w:r>
      <w:r>
        <w:rPr/>
        <w:t>type II</w:t>
      </w:r>
      <w:r>
        <w:rPr>
          <w:spacing w:val="-5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cancers</w:t>
      </w:r>
      <w:r>
        <w:rPr>
          <w:spacing w:val="-1"/>
        </w:rPr>
        <w:t> </w:t>
      </w:r>
      <w:r>
        <w:rPr/>
        <w:t>(Wight</w:t>
      </w:r>
      <w:r>
        <w:rPr>
          <w:spacing w:val="1"/>
        </w:rPr>
        <w:t> </w:t>
      </w:r>
      <w:r>
        <w:rPr>
          <w:i/>
        </w:rPr>
        <w:t>et al. </w:t>
      </w:r>
      <w:r>
        <w:rPr/>
        <w:t>2017). Thus,</w:t>
      </w:r>
    </w:p>
    <w:p>
      <w:pPr>
        <w:pStyle w:val="BodyText"/>
        <w:tabs>
          <w:tab w:pos="8741" w:val="left" w:leader="none"/>
        </w:tabs>
        <w:spacing w:line="280" w:lineRule="exact"/>
        <w:ind w:left="2320"/>
      </w:pP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ℎ</w:t>
      </w:r>
      <w:r>
        <w:rPr>
          <w:rFonts w:ascii="Cambria Math" w:hAnsi="Cambria Math" w:eastAsia="Cambria Math"/>
          <w:spacing w:val="1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𝑔(𝐷𝑖𝑒𝑡</w:t>
      </w:r>
      <w:r>
        <w:rPr>
          <w:rFonts w:ascii="Cambria Math" w:hAnsi="Cambria Math" w:eastAsia="Cambria Math"/>
          <w:w w:val="105"/>
          <w:vertAlign w:val="subscript"/>
        </w:rPr>
        <w:t>ℎ</w:t>
      </w:r>
      <w:r>
        <w:rPr>
          <w:rFonts w:ascii="Cambria Math" w:hAnsi="Cambria Math" w:eastAsia="Cambria Math"/>
          <w:w w:val="105"/>
          <w:vertAlign w:val="baseline"/>
        </w:rPr>
        <w:t>)</w:t>
        <w:tab/>
      </w:r>
      <w:r>
        <w:rPr>
          <w:w w:val="105"/>
          <w:vertAlign w:val="baseline"/>
        </w:rPr>
        <w:t>(4.9)</w:t>
      </w:r>
    </w:p>
    <w:p>
      <w:pPr>
        <w:pStyle w:val="BodyText"/>
        <w:spacing w:line="360" w:lineRule="auto" w:before="143"/>
        <w:ind w:left="100" w:right="122"/>
        <w:jc w:val="both"/>
      </w:pPr>
      <w:r>
        <w:rPr/>
        <w:t>where there is positive nexus between health outcomes and diet. Thus, by combining equations</w:t>
      </w:r>
      <w:r>
        <w:rPr>
          <w:spacing w:val="1"/>
        </w:rPr>
        <w:t> </w:t>
      </w:r>
      <w:r>
        <w:rPr/>
        <w:t>(4.8)</w:t>
      </w:r>
      <w:r>
        <w:rPr>
          <w:spacing w:val="-3"/>
        </w:rPr>
        <w:t> </w:t>
      </w:r>
      <w:r>
        <w:rPr/>
        <w:t>and (4.9) together, the</w:t>
      </w:r>
      <w:r>
        <w:rPr>
          <w:spacing w:val="-2"/>
        </w:rPr>
        <w:t> </w:t>
      </w:r>
      <w:r>
        <w:rPr/>
        <w:t>effect of income</w:t>
      </w:r>
      <w:r>
        <w:rPr>
          <w:spacing w:val="-1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health through hunger/diet is:</w:t>
      </w:r>
    </w:p>
    <w:p>
      <w:pPr>
        <w:pStyle w:val="BodyText"/>
        <w:tabs>
          <w:tab w:pos="8741" w:val="left" w:leader="none"/>
        </w:tabs>
        <w:spacing w:before="1"/>
        <w:ind w:left="2320"/>
      </w:pP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ℎ</w:t>
      </w:r>
      <w:r>
        <w:rPr>
          <w:rFonts w:ascii="Cambria Math" w:hAnsi="Cambria Math" w:eastAsia="Cambria Math"/>
          <w:spacing w:val="2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𝑔</w:t>
      </w:r>
      <w:r>
        <w:rPr>
          <w:rFonts w:ascii="Cambria Math" w:hAnsi="Cambria Math" w:eastAsia="Cambria Math"/>
          <w:w w:val="105"/>
          <w:vertAlign w:val="subscript"/>
        </w:rPr>
        <w:t>𝑑𝑖𝑒𝑡</w:t>
      </w:r>
      <w:r>
        <w:rPr>
          <w:rFonts w:ascii="Cambria Math" w:hAnsi="Cambria Math" w:eastAsia="Cambria Math"/>
          <w:w w:val="105"/>
          <w:vertAlign w:val="baseline"/>
        </w:rPr>
        <w:t>{𝑓(𝑍)}</w:t>
        <w:tab/>
      </w:r>
      <w:r>
        <w:rPr>
          <w:w w:val="105"/>
          <w:vertAlign w:val="baseline"/>
        </w:rPr>
        <w:t>(4.10)</w:t>
      </w:r>
    </w:p>
    <w:p>
      <w:pPr>
        <w:pStyle w:val="BodyText"/>
        <w:spacing w:line="360" w:lineRule="auto" w:before="140"/>
        <w:ind w:left="100" w:right="122"/>
        <w:jc w:val="both"/>
      </w:pPr>
      <w:r>
        <w:rPr>
          <w:spacing w:val="-1"/>
        </w:rPr>
        <w:t>Clearly,</w:t>
      </w:r>
      <w:r>
        <w:rPr>
          <w:spacing w:val="-12"/>
        </w:rPr>
        <w:t> </w:t>
      </w:r>
      <w:r>
        <w:rPr/>
        <w:t>income</w:t>
      </w:r>
      <w:r>
        <w:rPr>
          <w:spacing w:val="-12"/>
        </w:rPr>
        <w:t> </w:t>
      </w:r>
      <w:r>
        <w:rPr/>
        <w:t>inequality</w:t>
      </w:r>
      <w:r>
        <w:rPr>
          <w:spacing w:val="-14"/>
        </w:rPr>
        <w:t> </w:t>
      </w:r>
      <w:r>
        <w:rPr/>
        <w:t>is</w:t>
      </w:r>
      <w:r>
        <w:rPr>
          <w:spacing w:val="-11"/>
        </w:rPr>
        <w:t> </w:t>
      </w:r>
      <w:r>
        <w:rPr/>
        <w:t>likely</w:t>
      </w:r>
      <w:r>
        <w:rPr>
          <w:spacing w:val="-17"/>
        </w:rPr>
        <w:t> </w:t>
      </w:r>
      <w:r>
        <w:rPr/>
        <w:t>to</w:t>
      </w:r>
      <w:r>
        <w:rPr>
          <w:spacing w:val="-11"/>
        </w:rPr>
        <w:t> </w:t>
      </w:r>
      <w:r>
        <w:rPr/>
        <w:t>influence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quantity</w:t>
      </w:r>
      <w:r>
        <w:rPr>
          <w:spacing w:val="-17"/>
        </w:rPr>
        <w:t> </w:t>
      </w:r>
      <w:r>
        <w:rPr/>
        <w:t>and</w:t>
      </w:r>
      <w:r>
        <w:rPr>
          <w:spacing w:val="-11"/>
        </w:rPr>
        <w:t> </w:t>
      </w:r>
      <w:r>
        <w:rPr/>
        <w:t>quality</w:t>
      </w:r>
      <w:r>
        <w:rPr>
          <w:spacing w:val="-20"/>
        </w:rPr>
        <w:t> </w:t>
      </w:r>
      <w:r>
        <w:rPr/>
        <w:t>of</w:t>
      </w:r>
      <w:r>
        <w:rPr>
          <w:spacing w:val="-12"/>
        </w:rPr>
        <w:t> </w:t>
      </w:r>
      <w:r>
        <w:rPr/>
        <w:t>food</w:t>
      </w:r>
      <w:r>
        <w:rPr>
          <w:spacing w:val="-12"/>
        </w:rPr>
        <w:t> </w:t>
      </w:r>
      <w:r>
        <w:rPr/>
        <w:t>people</w:t>
      </w:r>
      <w:r>
        <w:rPr>
          <w:spacing w:val="-12"/>
        </w:rPr>
        <w:t> </w:t>
      </w:r>
      <w:r>
        <w:rPr/>
        <w:t>buy</w:t>
      </w:r>
      <w:r>
        <w:rPr>
          <w:spacing w:val="-15"/>
        </w:rPr>
        <w:t> </w:t>
      </w:r>
      <w:r>
        <w:rPr/>
        <w:t>(Lynch</w:t>
      </w:r>
      <w:r>
        <w:rPr>
          <w:spacing w:val="-57"/>
        </w:rPr>
        <w:t> </w:t>
      </w:r>
      <w:r>
        <w:rPr>
          <w:i/>
        </w:rPr>
        <w:t>et al. </w:t>
      </w:r>
      <w:r>
        <w:rPr/>
        <w:t>2000:299). It can also result to unequal access to healthy diets. Thus, this study expects a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and negative</w:t>
      </w:r>
      <w:r>
        <w:rPr>
          <w:spacing w:val="-2"/>
        </w:rPr>
        <w:t> </w:t>
      </w:r>
      <w:r>
        <w:rPr/>
        <w:t>of income inequality</w:t>
      </w:r>
      <w:r>
        <w:rPr>
          <w:spacing w:val="-6"/>
        </w:rPr>
        <w:t> </w:t>
      </w:r>
      <w:r>
        <w:rPr/>
        <w:t>on illness</w:t>
      </w:r>
      <w:r>
        <w:rPr>
          <w:spacing w:val="-1"/>
        </w:rPr>
        <w:t> </w:t>
      </w:r>
      <w:r>
        <w:rPr/>
        <w:t>via hunger and</w:t>
      </w:r>
      <w:r>
        <w:rPr>
          <w:spacing w:val="-1"/>
        </w:rPr>
        <w:t> </w:t>
      </w:r>
      <w:r>
        <w:rPr/>
        <w:t>healthy</w:t>
      </w:r>
      <w:r>
        <w:rPr>
          <w:spacing w:val="-3"/>
        </w:rPr>
        <w:t> </w:t>
      </w:r>
      <w:r>
        <w:rPr/>
        <w:t>diet,</w:t>
      </w:r>
      <w:r>
        <w:rPr>
          <w:spacing w:val="-1"/>
        </w:rPr>
        <w:t> </w:t>
      </w:r>
      <w:r>
        <w:rPr/>
        <w:t>respectively.</w:t>
      </w:r>
    </w:p>
    <w:p>
      <w:pPr>
        <w:spacing w:before="229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Materials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(Health-Promoting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Goods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Services)</w:t>
      </w:r>
    </w:p>
    <w:p>
      <w:pPr>
        <w:pStyle w:val="BodyText"/>
        <w:spacing w:line="360" w:lineRule="auto" w:before="140"/>
        <w:ind w:left="100" w:right="112"/>
        <w:jc w:val="both"/>
      </w:pPr>
      <w:r>
        <w:rPr/>
        <w:t>Furthermore, income inequality is likely to increase inequality in health-promoting goods and</w:t>
      </w:r>
      <w:r>
        <w:rPr>
          <w:spacing w:val="1"/>
        </w:rPr>
        <w:t> </w:t>
      </w:r>
      <w:r>
        <w:rPr>
          <w:spacing w:val="-1"/>
        </w:rPr>
        <w:t>services</w:t>
      </w:r>
      <w:r>
        <w:rPr>
          <w:spacing w:val="-15"/>
        </w:rPr>
        <w:t> </w:t>
      </w:r>
      <w:r>
        <w:rPr/>
        <w:t>(Lundberg</w:t>
      </w:r>
      <w:r>
        <w:rPr>
          <w:spacing w:val="-14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al.,</w:t>
      </w:r>
      <w:r>
        <w:rPr>
          <w:i/>
          <w:spacing w:val="-13"/>
        </w:rPr>
        <w:t> </w:t>
      </w:r>
      <w:r>
        <w:rPr/>
        <w:t>2010).</w:t>
      </w:r>
      <w:r>
        <w:rPr>
          <w:spacing w:val="-12"/>
        </w:rPr>
        <w:t> </w:t>
      </w:r>
      <w:r>
        <w:rPr/>
        <w:t>Income</w:t>
      </w:r>
      <w:r>
        <w:rPr>
          <w:spacing w:val="-15"/>
        </w:rPr>
        <w:t> </w:t>
      </w:r>
      <w:r>
        <w:rPr/>
        <w:t>disparity</w:t>
      </w:r>
      <w:r>
        <w:rPr>
          <w:spacing w:val="-19"/>
        </w:rPr>
        <w:t> </w:t>
      </w:r>
      <w:r>
        <w:rPr/>
        <w:t>is</w:t>
      </w:r>
      <w:r>
        <w:rPr>
          <w:spacing w:val="-15"/>
        </w:rPr>
        <w:t> </w:t>
      </w:r>
      <w:r>
        <w:rPr/>
        <w:t>also</w:t>
      </w:r>
      <w:r>
        <w:rPr>
          <w:spacing w:val="-14"/>
        </w:rPr>
        <w:t> </w:t>
      </w:r>
      <w:r>
        <w:rPr/>
        <w:t>likely</w:t>
      </w:r>
      <w:r>
        <w:rPr>
          <w:spacing w:val="-19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drag</w:t>
      </w:r>
      <w:r>
        <w:rPr>
          <w:spacing w:val="-17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ability</w:t>
      </w:r>
      <w:r>
        <w:rPr>
          <w:spacing w:val="-20"/>
        </w:rPr>
        <w:t> </w:t>
      </w:r>
      <w:r>
        <w:rPr/>
        <w:t>to</w:t>
      </w:r>
      <w:r>
        <w:rPr>
          <w:spacing w:val="-14"/>
        </w:rPr>
        <w:t> </w:t>
      </w:r>
      <w:r>
        <w:rPr/>
        <w:t>convert</w:t>
      </w:r>
      <w:r>
        <w:rPr>
          <w:spacing w:val="-57"/>
        </w:rPr>
        <w:t> </w:t>
      </w:r>
      <w:r>
        <w:rPr>
          <w:spacing w:val="-1"/>
        </w:rPr>
        <w:t>household’s</w:t>
      </w:r>
      <w:r>
        <w:rPr>
          <w:spacing w:val="-13"/>
        </w:rPr>
        <w:t> </w:t>
      </w:r>
      <w:r>
        <w:rPr/>
        <w:t>income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wealth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well-being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its</w:t>
      </w:r>
      <w:r>
        <w:rPr>
          <w:spacing w:val="-12"/>
        </w:rPr>
        <w:t> </w:t>
      </w:r>
      <w:r>
        <w:rPr/>
        <w:t>members</w:t>
      </w:r>
      <w:r>
        <w:rPr>
          <w:spacing w:val="-14"/>
        </w:rPr>
        <w:t> </w:t>
      </w:r>
      <w:r>
        <w:rPr/>
        <w:t>(Hill</w:t>
      </w:r>
      <w:r>
        <w:rPr>
          <w:spacing w:val="-12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</w:t>
      </w:r>
      <w:r>
        <w:rPr>
          <w:i/>
          <w:spacing w:val="-13"/>
        </w:rPr>
        <w:t> </w:t>
      </w:r>
      <w:r>
        <w:rPr/>
        <w:t>2019).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instance,</w:t>
      </w:r>
      <w:r>
        <w:rPr>
          <w:spacing w:val="-12"/>
        </w:rPr>
        <w:t> </w:t>
      </w:r>
      <w:r>
        <w:rPr/>
        <w:t>every</w:t>
      </w:r>
      <w:r>
        <w:rPr>
          <w:spacing w:val="-58"/>
        </w:rPr>
        <w:t> </w:t>
      </w:r>
      <w:r>
        <w:rPr/>
        <w:t>family has certain basic needs which are indispensable for decent family living. These are called</w:t>
      </w:r>
      <w:r>
        <w:rPr>
          <w:spacing w:val="1"/>
        </w:rPr>
        <w:t> </w:t>
      </w:r>
      <w:r>
        <w:rPr/>
        <w:t>neo-material, including, mosquito net possession, access to electricity supply, drinkable water,</w:t>
      </w:r>
      <w:r>
        <w:rPr>
          <w:spacing w:val="1"/>
        </w:rPr>
        <w:t> </w:t>
      </w:r>
      <w:r>
        <w:rPr/>
        <w:t>education,</w:t>
      </w:r>
      <w:r>
        <w:rPr>
          <w:spacing w:val="-4"/>
        </w:rPr>
        <w:t> </w:t>
      </w:r>
      <w:r>
        <w:rPr/>
        <w:t>sanitation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toilet</w:t>
      </w:r>
      <w:r>
        <w:rPr>
          <w:spacing w:val="-3"/>
        </w:rPr>
        <w:t> </w:t>
      </w:r>
      <w:r>
        <w:rPr/>
        <w:t>facility</w:t>
      </w:r>
      <w:r>
        <w:rPr>
          <w:spacing w:val="-9"/>
        </w:rPr>
        <w:t> </w:t>
      </w:r>
      <w:r>
        <w:rPr/>
        <w:t>(Mulley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2004).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3"/>
        </w:rPr>
        <w:t> </w:t>
      </w:r>
      <w:r>
        <w:rPr/>
        <w:t>goods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household’s</w:t>
      </w:r>
      <w:r>
        <w:rPr>
          <w:spacing w:val="-1"/>
        </w:rPr>
        <w:t> </w:t>
      </w:r>
      <w:r>
        <w:rPr/>
        <w:t>level are</w:t>
      </w:r>
      <w:r>
        <w:rPr>
          <w:spacing w:val="-2"/>
        </w:rPr>
        <w:t> </w:t>
      </w:r>
      <w:r>
        <w:rPr/>
        <w:t>expected to contribute</w:t>
      </w:r>
      <w:r>
        <w:rPr>
          <w:spacing w:val="-2"/>
        </w:rPr>
        <w:t> </w:t>
      </w:r>
      <w:r>
        <w:rPr/>
        <w:t>to positive health</w:t>
      </w:r>
      <w:r>
        <w:rPr>
          <w:spacing w:val="-1"/>
        </w:rPr>
        <w:t> </w:t>
      </w:r>
      <w:r>
        <w:rPr/>
        <w:t>outcomes and</w:t>
      </w:r>
      <w:r>
        <w:rPr>
          <w:spacing w:val="-1"/>
        </w:rPr>
        <w:t> </w:t>
      </w:r>
      <w:r>
        <w:rPr/>
        <w:t>reduce</w:t>
      </w:r>
      <w:r>
        <w:rPr>
          <w:spacing w:val="-1"/>
        </w:rPr>
        <w:t> </w:t>
      </w:r>
      <w:r>
        <w:rPr/>
        <w:t>illness.</w:t>
      </w:r>
    </w:p>
    <w:p>
      <w:pPr>
        <w:spacing w:before="229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Unhealthy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Behavior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Lifestyle</w:t>
      </w:r>
    </w:p>
    <w:p>
      <w:pPr>
        <w:pStyle w:val="BodyText"/>
        <w:spacing w:line="360" w:lineRule="auto" w:before="140"/>
        <w:ind w:left="100" w:right="118"/>
        <w:jc w:val="both"/>
      </w:pPr>
      <w:r>
        <w:rPr/>
        <w:t>Unhealthy behaviors are also related to income inequality, because individuals with low incomes</w:t>
      </w:r>
      <w:r>
        <w:rPr>
          <w:spacing w:val="-57"/>
        </w:rPr>
        <w:t> </w:t>
      </w:r>
      <w:r>
        <w:rPr/>
        <w:t>are</w:t>
      </w:r>
      <w:r>
        <w:rPr>
          <w:spacing w:val="-9"/>
        </w:rPr>
        <w:t> </w:t>
      </w:r>
      <w:r>
        <w:rPr/>
        <w:t>prone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behaviors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negative</w:t>
      </w:r>
      <w:r>
        <w:rPr>
          <w:spacing w:val="-9"/>
        </w:rPr>
        <w:t> </w:t>
      </w:r>
      <w:r>
        <w:rPr/>
        <w:t>impact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outcomes</w:t>
      </w:r>
      <w:r>
        <w:rPr>
          <w:spacing w:val="-7"/>
        </w:rPr>
        <w:t> </w:t>
      </w:r>
      <w:r>
        <w:rPr/>
        <w:t>(Stewart,</w:t>
      </w:r>
      <w:r>
        <w:rPr>
          <w:spacing w:val="-8"/>
        </w:rPr>
        <w:t> </w:t>
      </w:r>
      <w:r>
        <w:rPr/>
        <w:t>2010;</w:t>
      </w:r>
      <w:r>
        <w:rPr>
          <w:spacing w:val="-7"/>
        </w:rPr>
        <w:t> </w:t>
      </w:r>
      <w:r>
        <w:rPr/>
        <w:t>Cerda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</w:t>
      </w:r>
      <w:r>
        <w:rPr>
          <w:i/>
          <w:spacing w:val="-57"/>
        </w:rPr>
        <w:t> </w:t>
      </w:r>
      <w:r>
        <w:rPr/>
        <w:t>2011).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instance,</w:t>
      </w:r>
      <w:r>
        <w:rPr>
          <w:spacing w:val="-3"/>
        </w:rPr>
        <w:t> </w:t>
      </w:r>
      <w:r>
        <w:rPr/>
        <w:t>frustration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competition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rising</w:t>
      </w:r>
      <w:r>
        <w:rPr>
          <w:spacing w:val="-5"/>
        </w:rPr>
        <w:t> </w:t>
      </w:r>
      <w:r>
        <w:rPr/>
        <w:t>income</w:t>
      </w:r>
      <w:r>
        <w:rPr>
          <w:spacing w:val="-4"/>
        </w:rPr>
        <w:t> </w:t>
      </w:r>
      <w:r>
        <w:rPr/>
        <w:t>inequality</w:t>
      </w:r>
      <w:r>
        <w:rPr>
          <w:spacing w:val="-8"/>
        </w:rPr>
        <w:t> </w:t>
      </w:r>
      <w:r>
        <w:rPr/>
        <w:t>may</w:t>
      </w:r>
      <w:r>
        <w:rPr>
          <w:spacing w:val="-8"/>
        </w:rPr>
        <w:t> </w:t>
      </w:r>
      <w:r>
        <w:rPr/>
        <w:t>lead</w:t>
      </w:r>
      <w:r>
        <w:rPr>
          <w:spacing w:val="-3"/>
        </w:rPr>
        <w:t> </w:t>
      </w:r>
      <w:r>
        <w:rPr/>
        <w:t>people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smoking, depression, consumption of excess alcohol, use of hard drugs and inadequate relief of</w:t>
      </w:r>
      <w:r>
        <w:rPr>
          <w:spacing w:val="1"/>
        </w:rPr>
        <w:t> </w:t>
      </w:r>
      <w:r>
        <w:rPr/>
        <w:t>chronic</w:t>
      </w:r>
      <w:r>
        <w:rPr>
          <w:spacing w:val="-3"/>
        </w:rPr>
        <w:t> </w:t>
      </w:r>
      <w:r>
        <w:rPr/>
        <w:t>stress.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key</w:t>
      </w:r>
      <w:r>
        <w:rPr>
          <w:spacing w:val="-6"/>
        </w:rPr>
        <w:t> </w:t>
      </w:r>
      <w:r>
        <w:rPr/>
        <w:t>contributor to</w:t>
      </w:r>
      <w:r>
        <w:rPr>
          <w:spacing w:val="-1"/>
        </w:rPr>
        <w:t> </w:t>
      </w:r>
      <w:r>
        <w:rPr/>
        <w:t>chronic</w:t>
      </w:r>
      <w:r>
        <w:rPr>
          <w:spacing w:val="-1"/>
        </w:rPr>
        <w:t> </w:t>
      </w:r>
      <w:r>
        <w:rPr/>
        <w:t>illnesses,</w:t>
      </w:r>
      <w:r>
        <w:rPr>
          <w:spacing w:val="-1"/>
        </w:rPr>
        <w:t> </w:t>
      </w:r>
      <w:r>
        <w:rPr/>
        <w:t>including,</w:t>
      </w:r>
      <w:r>
        <w:rPr>
          <w:spacing w:val="-1"/>
        </w:rPr>
        <w:t> </w:t>
      </w:r>
      <w:r>
        <w:rPr/>
        <w:t>type II</w:t>
      </w:r>
      <w:r>
        <w:rPr>
          <w:spacing w:val="-5"/>
        </w:rPr>
        <w:t> </w:t>
      </w:r>
      <w:r>
        <w:rPr/>
        <w:t>diabetes,</w:t>
      </w:r>
      <w:r>
        <w:rPr>
          <w:spacing w:val="-1"/>
        </w:rPr>
        <w:t> </w:t>
      </w:r>
      <w:r>
        <w:rPr/>
        <w:t>heart</w:t>
      </w:r>
      <w:r>
        <w:rPr>
          <w:spacing w:val="-57"/>
        </w:rPr>
        <w:t> </w:t>
      </w:r>
      <w:r>
        <w:rPr/>
        <w:t>diseases,</w:t>
      </w:r>
      <w:r>
        <w:rPr>
          <w:spacing w:val="-1"/>
        </w:rPr>
        <w:t> </w:t>
      </w:r>
      <w:r>
        <w:rPr/>
        <w:t>and hypertension (Harper</w:t>
      </w:r>
      <w:r>
        <w:rPr>
          <w:spacing w:val="1"/>
        </w:rPr>
        <w:t> </w:t>
      </w:r>
      <w:r>
        <w:rPr>
          <w:i/>
        </w:rPr>
        <w:t>et al. </w:t>
      </w:r>
      <w:r>
        <w:rPr/>
        <w:t>2011; WHO,</w:t>
      </w:r>
      <w:r>
        <w:rPr>
          <w:spacing w:val="-1"/>
        </w:rPr>
        <w:t> </w:t>
      </w:r>
      <w:r>
        <w:rPr/>
        <w:t>2017c).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pStyle w:val="BodyText"/>
        <w:spacing w:line="360" w:lineRule="auto" w:before="74"/>
        <w:ind w:left="100" w:right="113"/>
        <w:jc w:val="both"/>
      </w:pPr>
      <w:r>
        <w:rPr/>
        <w:t>Furthermore, several anti-health behaviors are usually linked to poverty and thus to bottom-end</w:t>
      </w:r>
      <w:r>
        <w:rPr>
          <w:spacing w:val="1"/>
        </w:rPr>
        <w:t> </w:t>
      </w:r>
      <w:r>
        <w:rPr/>
        <w:t>inequality. These behaviors include exposures and risk factors (e.g., exposure to pollutants and</w:t>
      </w:r>
      <w:r>
        <w:rPr>
          <w:spacing w:val="1"/>
        </w:rPr>
        <w:t> </w:t>
      </w:r>
      <w:r>
        <w:rPr/>
        <w:t>external</w:t>
      </w:r>
      <w:r>
        <w:rPr>
          <w:spacing w:val="-8"/>
        </w:rPr>
        <w:t> </w:t>
      </w:r>
      <w:r>
        <w:rPr/>
        <w:t>causes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injuries,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unhealthy</w:t>
      </w:r>
      <w:r>
        <w:rPr>
          <w:spacing w:val="-10"/>
        </w:rPr>
        <w:t> </w:t>
      </w:r>
      <w:r>
        <w:rPr/>
        <w:t>behavior</w:t>
      </w:r>
      <w:r>
        <w:rPr>
          <w:spacing w:val="-7"/>
        </w:rPr>
        <w:t> </w:t>
      </w:r>
      <w:r>
        <w:rPr/>
        <w:t>such</w:t>
      </w:r>
      <w:r>
        <w:rPr>
          <w:spacing w:val="-9"/>
        </w:rPr>
        <w:t> </w:t>
      </w:r>
      <w:r>
        <w:rPr/>
        <w:t>as,</w:t>
      </w:r>
      <w:r>
        <w:rPr>
          <w:spacing w:val="-5"/>
        </w:rPr>
        <w:t> </w:t>
      </w:r>
      <w:r>
        <w:rPr/>
        <w:t>drinking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smoking</w:t>
      </w:r>
      <w:r>
        <w:rPr>
          <w:spacing w:val="-10"/>
        </w:rPr>
        <w:t> </w:t>
      </w:r>
      <w:r>
        <w:rPr/>
        <w:t>(Macinko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57"/>
        </w:rPr>
        <w:t> </w:t>
      </w:r>
      <w:r>
        <w:rPr/>
        <w:t>2003:410).</w:t>
      </w:r>
      <w:r>
        <w:rPr>
          <w:spacing w:val="-10"/>
        </w:rPr>
        <w:t> </w:t>
      </w:r>
      <w:r>
        <w:rPr/>
        <w:t>Apriorily,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thesis</w:t>
      </w:r>
      <w:r>
        <w:rPr>
          <w:spacing w:val="-8"/>
        </w:rPr>
        <w:t> </w:t>
      </w:r>
      <w:r>
        <w:rPr/>
        <w:t>expects</w:t>
      </w:r>
      <w:r>
        <w:rPr>
          <w:spacing w:val="-8"/>
        </w:rPr>
        <w:t> </w:t>
      </w:r>
      <w:r>
        <w:rPr/>
        <w:t>positive</w:t>
      </w:r>
      <w:r>
        <w:rPr>
          <w:spacing w:val="-10"/>
        </w:rPr>
        <w:t> </w:t>
      </w:r>
      <w:r>
        <w:rPr/>
        <w:t>effect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unhealthy</w:t>
      </w:r>
      <w:r>
        <w:rPr>
          <w:spacing w:val="-13"/>
        </w:rPr>
        <w:t> </w:t>
      </w:r>
      <w:r>
        <w:rPr/>
        <w:t>behavior</w:t>
      </w:r>
      <w:r>
        <w:rPr>
          <w:spacing w:val="-7"/>
        </w:rPr>
        <w:t> </w:t>
      </w:r>
      <w:r>
        <w:rPr/>
        <w:t>or</w:t>
      </w:r>
      <w:r>
        <w:rPr>
          <w:spacing w:val="-9"/>
        </w:rPr>
        <w:t> </w:t>
      </w:r>
      <w:r>
        <w:rPr/>
        <w:t>lifestyle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illness</w:t>
      </w:r>
      <w:r>
        <w:rPr>
          <w:spacing w:val="-58"/>
        </w:rPr>
        <w:t> </w:t>
      </w:r>
      <w:r>
        <w:rPr/>
        <w:t>(see Stewart, 2010; Cerda </w:t>
      </w:r>
      <w:r>
        <w:rPr>
          <w:i/>
        </w:rPr>
        <w:t>et al. </w:t>
      </w:r>
      <w:r>
        <w:rPr/>
        <w:t>2011). In terms of estimation, alcoholic consumption and self-</w:t>
      </w:r>
      <w:r>
        <w:rPr>
          <w:spacing w:val="1"/>
        </w:rPr>
        <w:t> </w:t>
      </w:r>
      <w:r>
        <w:rPr/>
        <w:t>medication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ill-health issues is relied upon in this</w:t>
      </w:r>
      <w:r>
        <w:rPr>
          <w:spacing w:val="-1"/>
        </w:rPr>
        <w:t> </w:t>
      </w:r>
      <w:r>
        <w:rPr/>
        <w:t>study.</w:t>
      </w:r>
    </w:p>
    <w:p>
      <w:pPr>
        <w:spacing w:before="185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Healthcare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Utilization</w:t>
      </w:r>
    </w:p>
    <w:p>
      <w:pPr>
        <w:pStyle w:val="BodyText"/>
        <w:spacing w:line="360" w:lineRule="auto" w:before="137"/>
        <w:ind w:left="100" w:right="116"/>
        <w:jc w:val="both"/>
      </w:pPr>
      <w:r>
        <w:rPr/>
        <w:t>HSB also have links with income inequality, because rising income disparity often constrain the</w:t>
      </w:r>
      <w:r>
        <w:rPr>
          <w:spacing w:val="1"/>
        </w:rPr>
        <w:t> </w:t>
      </w:r>
      <w:r>
        <w:rPr>
          <w:spacing w:val="-1"/>
        </w:rPr>
        <w:t>purchasing-power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household’s</w:t>
      </w:r>
      <w:r>
        <w:rPr>
          <w:spacing w:val="-13"/>
        </w:rPr>
        <w:t> </w:t>
      </w:r>
      <w:r>
        <w:rPr/>
        <w:t>resource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access</w:t>
      </w:r>
      <w:r>
        <w:rPr>
          <w:spacing w:val="-13"/>
        </w:rPr>
        <w:t> </w:t>
      </w:r>
      <w:r>
        <w:rPr/>
        <w:t>appropriate</w:t>
      </w:r>
      <w:r>
        <w:rPr>
          <w:spacing w:val="-12"/>
        </w:rPr>
        <w:t> </w:t>
      </w:r>
      <w:r>
        <w:rPr/>
        <w:t>health-care</w:t>
      </w:r>
      <w:r>
        <w:rPr>
          <w:spacing w:val="-12"/>
        </w:rPr>
        <w:t> </w:t>
      </w:r>
      <w:r>
        <w:rPr/>
        <w:t>services.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instance,</w:t>
      </w:r>
      <w:r>
        <w:rPr>
          <w:spacing w:val="-58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bottom</w:t>
      </w:r>
      <w:r>
        <w:rPr>
          <w:spacing w:val="-4"/>
        </w:rPr>
        <w:t> </w:t>
      </w:r>
      <w:r>
        <w:rPr/>
        <w:t>quintile</w:t>
      </w:r>
      <w:r>
        <w:rPr>
          <w:spacing w:val="-5"/>
        </w:rPr>
        <w:t> </w:t>
      </w:r>
      <w:r>
        <w:rPr/>
        <w:t>often</w:t>
      </w:r>
      <w:r>
        <w:rPr>
          <w:spacing w:val="-4"/>
        </w:rPr>
        <w:t> </w:t>
      </w:r>
      <w:r>
        <w:rPr/>
        <w:t>result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self-treatment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low-price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care</w:t>
      </w:r>
      <w:r>
        <w:rPr>
          <w:spacing w:val="-6"/>
        </w:rPr>
        <w:t> </w:t>
      </w:r>
      <w:r>
        <w:rPr/>
        <w:t>provided</w:t>
      </w:r>
      <w:r>
        <w:rPr>
          <w:spacing w:val="-57"/>
        </w:rPr>
        <w:t> </w:t>
      </w:r>
      <w:r>
        <w:rPr/>
        <w:t>by unregulated private and traditional personnel (Rathi and Meena, 2018). From the supply-side,</w:t>
      </w:r>
      <w:r>
        <w:rPr>
          <w:spacing w:val="1"/>
        </w:rPr>
        <w:t> </w:t>
      </w:r>
      <w:r>
        <w:rPr/>
        <w:t>rising</w:t>
      </w:r>
      <w:r>
        <w:rPr>
          <w:spacing w:val="-10"/>
        </w:rPr>
        <w:t> </w:t>
      </w:r>
      <w:r>
        <w:rPr/>
        <w:t>income</w:t>
      </w:r>
      <w:r>
        <w:rPr>
          <w:spacing w:val="-9"/>
        </w:rPr>
        <w:t> </w:t>
      </w:r>
      <w:r>
        <w:rPr/>
        <w:t>inequality</w:t>
      </w:r>
      <w:r>
        <w:rPr>
          <w:spacing w:val="-12"/>
        </w:rPr>
        <w:t> </w:t>
      </w:r>
      <w:r>
        <w:rPr/>
        <w:t>is</w:t>
      </w:r>
      <w:r>
        <w:rPr>
          <w:spacing w:val="-8"/>
        </w:rPr>
        <w:t> </w:t>
      </w:r>
      <w:r>
        <w:rPr/>
        <w:t>likely</w:t>
      </w:r>
      <w:r>
        <w:rPr>
          <w:spacing w:val="-12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major</w:t>
      </w:r>
      <w:r>
        <w:rPr>
          <w:spacing w:val="-8"/>
        </w:rPr>
        <w:t> </w:t>
      </w:r>
      <w:r>
        <w:rPr/>
        <w:t>treat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inclusive</w:t>
      </w:r>
      <w:r>
        <w:rPr>
          <w:spacing w:val="-6"/>
        </w:rPr>
        <w:t> </w:t>
      </w:r>
      <w:r>
        <w:rPr/>
        <w:t>political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systems.</w:t>
      </w:r>
      <w:r>
        <w:rPr>
          <w:spacing w:val="-57"/>
        </w:rPr>
        <w:t> </w:t>
      </w:r>
      <w:r>
        <w:rPr/>
        <w:t>This often limit the provision of public health facilities, and thus discourage appropriate HSB. In</w:t>
      </w:r>
      <w:r>
        <w:rPr>
          <w:spacing w:val="1"/>
        </w:rPr>
        <w:t> </w:t>
      </w:r>
      <w:r>
        <w:rPr/>
        <w:t>addition, it can concentrate economic resources in the hands of fewer people to establish private</w:t>
      </w:r>
      <w:r>
        <w:rPr>
          <w:spacing w:val="1"/>
        </w:rPr>
        <w:t> </w:t>
      </w:r>
      <w:r>
        <w:rPr/>
        <w:t>facilities with huge charges. Thus, since income inequality can likely lead to both ‘political and</w:t>
      </w:r>
      <w:r>
        <w:rPr>
          <w:spacing w:val="1"/>
        </w:rPr>
        <w:t> </w:t>
      </w:r>
      <w:r>
        <w:rPr/>
        <w:t>opportunity</w:t>
      </w:r>
      <w:r>
        <w:rPr>
          <w:spacing w:val="-14"/>
        </w:rPr>
        <w:t> </w:t>
      </w:r>
      <w:r>
        <w:rPr/>
        <w:t>capture’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Fuentes-Nieva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Galasso</w:t>
      </w:r>
      <w:r>
        <w:rPr>
          <w:spacing w:val="-10"/>
        </w:rPr>
        <w:t> </w:t>
      </w:r>
      <w:r>
        <w:rPr/>
        <w:t>(2014:2)</w:t>
      </w:r>
      <w:r>
        <w:rPr>
          <w:spacing w:val="-9"/>
        </w:rPr>
        <w:t> </w:t>
      </w:r>
      <w:r>
        <w:rPr/>
        <w:t>noted,</w:t>
      </w:r>
      <w:r>
        <w:rPr>
          <w:spacing w:val="-9"/>
        </w:rPr>
        <w:t> </w:t>
      </w:r>
      <w:r>
        <w:rPr/>
        <w:t>seeking</w:t>
      </w:r>
      <w:r>
        <w:rPr>
          <w:spacing w:val="-8"/>
        </w:rPr>
        <w:t> </w:t>
      </w:r>
      <w:r>
        <w:rPr/>
        <w:t>appropriate</w:t>
      </w:r>
      <w:r>
        <w:rPr>
          <w:spacing w:val="-9"/>
        </w:rPr>
        <w:t> </w:t>
      </w:r>
      <w:r>
        <w:rPr/>
        <w:t>healthcare</w:t>
      </w:r>
      <w:r>
        <w:rPr>
          <w:spacing w:val="-58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would improve positive</w:t>
      </w:r>
      <w:r>
        <w:rPr>
          <w:spacing w:val="-1"/>
        </w:rPr>
        <w:t> </w:t>
      </w:r>
      <w:r>
        <w:rPr/>
        <w:t>health outcomes.</w:t>
      </w:r>
    </w:p>
    <w:p>
      <w:pPr>
        <w:pStyle w:val="BodyText"/>
        <w:spacing w:line="360" w:lineRule="auto" w:before="117"/>
        <w:ind w:left="100" w:right="116"/>
        <w:jc w:val="both"/>
      </w:pPr>
      <w:r>
        <w:rPr/>
        <w:t>On the other hand, millions of people often follow inappropriate healthcare seeking. Hence, they</w:t>
      </w:r>
      <w:r>
        <w:rPr>
          <w:spacing w:val="1"/>
        </w:rPr>
        <w:t> </w:t>
      </w:r>
      <w:r>
        <w:rPr/>
        <w:t>encounter chronic illness, disability and even death (WHO, 2018a). Thus, the effect of income</w:t>
      </w:r>
      <w:r>
        <w:rPr>
          <w:spacing w:val="1"/>
        </w:rPr>
        <w:t> </w:t>
      </w:r>
      <w:r>
        <w:rPr/>
        <w:t>inequality</w:t>
      </w:r>
      <w:r>
        <w:rPr>
          <w:spacing w:val="-6"/>
        </w:rPr>
        <w:t> </w:t>
      </w:r>
      <w:r>
        <w:rPr/>
        <w:t>on health outcome</w:t>
      </w:r>
      <w:r>
        <w:rPr>
          <w:spacing w:val="-1"/>
        </w:rPr>
        <w:t> </w:t>
      </w:r>
      <w:r>
        <w:rPr/>
        <w:t>(illness) through</w:t>
      </w:r>
      <w:r>
        <w:rPr>
          <w:spacing w:val="2"/>
        </w:rPr>
        <w:t> </w:t>
      </w:r>
      <w:r>
        <w:rPr/>
        <w:t>HSB</w:t>
      </w:r>
      <w:r>
        <w:rPr>
          <w:spacing w:val="-2"/>
        </w:rPr>
        <w:t> </w:t>
      </w:r>
      <w:r>
        <w:rPr/>
        <w:t>is highly</w:t>
      </w:r>
      <w:r>
        <w:rPr>
          <w:spacing w:val="-5"/>
        </w:rPr>
        <w:t> </w:t>
      </w:r>
      <w:r>
        <w:rPr/>
        <w:t>important.</w:t>
      </w:r>
    </w:p>
    <w:p>
      <w:pPr>
        <w:pStyle w:val="BodyText"/>
        <w:spacing w:before="3"/>
        <w:rPr>
          <w:sz w:val="23"/>
        </w:rPr>
      </w:pPr>
    </w:p>
    <w:p>
      <w:pPr>
        <w:pStyle w:val="Heading5"/>
        <w:ind w:left="100" w:firstLine="0"/>
      </w:pPr>
      <w:r>
        <w:rPr/>
        <w:t>Households</w:t>
      </w:r>
      <w:r>
        <w:rPr>
          <w:spacing w:val="-2"/>
        </w:rPr>
        <w:t> </w:t>
      </w:r>
      <w:r>
        <w:rPr/>
        <w:t>Income</w:t>
      </w:r>
      <w:r>
        <w:rPr>
          <w:spacing w:val="-3"/>
        </w:rPr>
        <w:t> </w:t>
      </w:r>
      <w:r>
        <w:rPr/>
        <w:t>from various</w:t>
      </w:r>
      <w:r>
        <w:rPr>
          <w:spacing w:val="-2"/>
        </w:rPr>
        <w:t> </w:t>
      </w:r>
      <w:r>
        <w:rPr/>
        <w:t>Sources:</w:t>
      </w:r>
    </w:p>
    <w:p>
      <w:pPr>
        <w:pStyle w:val="BodyText"/>
        <w:spacing w:line="360" w:lineRule="auto" w:before="133"/>
        <w:ind w:left="100" w:right="116"/>
        <w:jc w:val="both"/>
      </w:pPr>
      <w:r>
        <w:rPr/>
        <w:t>The</w:t>
      </w:r>
      <w:r>
        <w:rPr>
          <w:spacing w:val="-12"/>
        </w:rPr>
        <w:t> </w:t>
      </w:r>
      <w:r>
        <w:rPr/>
        <w:t>second</w:t>
      </w:r>
      <w:r>
        <w:rPr>
          <w:spacing w:val="-11"/>
        </w:rPr>
        <w:t> </w:t>
      </w:r>
      <w:r>
        <w:rPr/>
        <w:t>component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model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vertAlign w:val="baseline"/>
        </w:rPr>
        <w:t>.</w:t>
      </w:r>
      <w:r>
        <w:rPr>
          <w:spacing w:val="-11"/>
          <w:vertAlign w:val="baseline"/>
        </w:rPr>
        <w:t> </w:t>
      </w:r>
      <w:r>
        <w:rPr>
          <w:vertAlign w:val="baseline"/>
        </w:rPr>
        <w:t>As</w:t>
      </w:r>
      <w:r>
        <w:rPr>
          <w:spacing w:val="-1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-11"/>
          <w:vertAlign w:val="baseline"/>
        </w:rPr>
        <w:t> </w:t>
      </w:r>
      <w:r>
        <w:rPr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vertAlign w:val="baseline"/>
        </w:rPr>
        <w:t>literature</w:t>
      </w:r>
      <w:r>
        <w:rPr>
          <w:spacing w:val="-12"/>
          <w:vertAlign w:val="baseline"/>
        </w:rPr>
        <w:t> </w:t>
      </w:r>
      <w:r>
        <w:rPr>
          <w:vertAlign w:val="baseline"/>
        </w:rPr>
        <w:t>(see</w:t>
      </w:r>
      <w:r>
        <w:rPr>
          <w:spacing w:val="-11"/>
          <w:vertAlign w:val="baseline"/>
        </w:rPr>
        <w:t> </w:t>
      </w:r>
      <w:r>
        <w:rPr>
          <w:vertAlign w:val="baseline"/>
        </w:rPr>
        <w:t>Nilsson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Bergh,</w:t>
      </w:r>
      <w:r>
        <w:rPr>
          <w:spacing w:val="-11"/>
          <w:vertAlign w:val="baseline"/>
        </w:rPr>
        <w:t> </w:t>
      </w:r>
      <w:r>
        <w:rPr>
          <w:vertAlign w:val="baseline"/>
        </w:rPr>
        <w:t>2012;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Barufi,</w:t>
      </w:r>
      <w:r>
        <w:rPr>
          <w:spacing w:val="-15"/>
          <w:vertAlign w:val="baseline"/>
        </w:rPr>
        <w:t> </w:t>
      </w:r>
      <w:r>
        <w:rPr>
          <w:vertAlign w:val="baseline"/>
        </w:rPr>
        <w:t>2012;</w:t>
      </w:r>
      <w:r>
        <w:rPr>
          <w:spacing w:val="-14"/>
          <w:vertAlign w:val="baseline"/>
        </w:rPr>
        <w:t> </w:t>
      </w:r>
      <w:r>
        <w:rPr>
          <w:vertAlign w:val="baseline"/>
        </w:rPr>
        <w:t>Oyekale</w:t>
      </w:r>
      <w:r>
        <w:rPr>
          <w:spacing w:val="-12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2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-14"/>
          <w:vertAlign w:val="baseline"/>
        </w:rPr>
        <w:t> </w:t>
      </w:r>
      <w:r>
        <w:rPr>
          <w:vertAlign w:val="baseline"/>
        </w:rPr>
        <w:t>2014),</w:t>
      </w:r>
      <w:r>
        <w:rPr>
          <w:spacing w:val="-15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16"/>
          <w:vertAlign w:val="baseline"/>
        </w:rPr>
        <w:t> </w:t>
      </w:r>
      <w:r>
        <w:rPr>
          <w:vertAlign w:val="baseline"/>
        </w:rPr>
        <w:t>inequality</w:t>
      </w:r>
      <w:r>
        <w:rPr>
          <w:spacing w:val="-20"/>
          <w:vertAlign w:val="baseline"/>
        </w:rPr>
        <w:t> </w:t>
      </w:r>
      <w:r>
        <w:rPr>
          <w:vertAlign w:val="baseline"/>
        </w:rPr>
        <w:t>relate</w:t>
      </w:r>
      <w:r>
        <w:rPr>
          <w:spacing w:val="-14"/>
          <w:vertAlign w:val="baseline"/>
        </w:rPr>
        <w:t> </w:t>
      </w:r>
      <w:r>
        <w:rPr>
          <w:vertAlign w:val="baseline"/>
        </w:rPr>
        <w:t>with</w:t>
      </w:r>
      <w:r>
        <w:rPr>
          <w:spacing w:val="-14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-15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households’</w:t>
      </w:r>
      <w:r>
        <w:rPr>
          <w:spacing w:val="-10"/>
          <w:vertAlign w:val="baseline"/>
        </w:rPr>
        <w:t> </w:t>
      </w:r>
      <w:r>
        <w:rPr>
          <w:vertAlign w:val="baseline"/>
        </w:rPr>
        <w:t>aggregate</w:t>
      </w:r>
      <w:r>
        <w:rPr>
          <w:spacing w:val="-7"/>
          <w:vertAlign w:val="baseline"/>
        </w:rPr>
        <w:t> </w:t>
      </w:r>
      <w:r>
        <w:rPr>
          <w:vertAlign w:val="baseline"/>
        </w:rPr>
        <w:t>incomes.</w:t>
      </w:r>
      <w:r>
        <w:rPr>
          <w:spacing w:val="-10"/>
          <w:vertAlign w:val="baseline"/>
        </w:rPr>
        <w:t> </w:t>
      </w:r>
      <w:r>
        <w:rPr>
          <w:vertAlign w:val="baseline"/>
        </w:rPr>
        <w:t>This</w:t>
      </w:r>
      <w:r>
        <w:rPr>
          <w:spacing w:val="-8"/>
          <w:vertAlign w:val="baseline"/>
        </w:rPr>
        <w:t> </w:t>
      </w:r>
      <w:r>
        <w:rPr>
          <w:vertAlign w:val="baseline"/>
        </w:rPr>
        <w:t>is</w:t>
      </w:r>
      <w:r>
        <w:rPr>
          <w:spacing w:val="-9"/>
          <w:vertAlign w:val="baseline"/>
        </w:rPr>
        <w:t> </w:t>
      </w:r>
      <w:r>
        <w:rPr>
          <w:vertAlign w:val="baseline"/>
        </w:rPr>
        <w:t>because,</w:t>
      </w:r>
      <w:r>
        <w:rPr>
          <w:spacing w:val="-7"/>
          <w:vertAlign w:val="baseline"/>
        </w:rPr>
        <w:t> </w:t>
      </w:r>
      <w:r>
        <w:rPr>
          <w:vertAlign w:val="baseline"/>
        </w:rPr>
        <w:t>households’</w:t>
      </w:r>
      <w:r>
        <w:rPr>
          <w:spacing w:val="-10"/>
          <w:vertAlign w:val="baseline"/>
        </w:rPr>
        <w:t> </w:t>
      </w:r>
      <w:r>
        <w:rPr>
          <w:vertAlign w:val="baseline"/>
        </w:rPr>
        <w:t>absolute</w:t>
      </w:r>
      <w:r>
        <w:rPr>
          <w:spacing w:val="-9"/>
          <w:vertAlign w:val="baseline"/>
        </w:rPr>
        <w:t> </w:t>
      </w:r>
      <w:r>
        <w:rPr>
          <w:vertAlign w:val="baseline"/>
        </w:rPr>
        <w:t>incomes</w:t>
      </w:r>
      <w:r>
        <w:rPr>
          <w:spacing w:val="-10"/>
          <w:vertAlign w:val="baseline"/>
        </w:rPr>
        <w:t> </w:t>
      </w:r>
      <w:r>
        <w:rPr>
          <w:vertAlign w:val="baseline"/>
        </w:rPr>
        <w:t>often</w:t>
      </w:r>
      <w:r>
        <w:rPr>
          <w:spacing w:val="-9"/>
          <w:vertAlign w:val="baseline"/>
        </w:rPr>
        <w:t> </w:t>
      </w:r>
      <w:r>
        <w:rPr>
          <w:vertAlign w:val="baseline"/>
        </w:rPr>
        <w:t>stem</w:t>
      </w:r>
      <w:r>
        <w:rPr>
          <w:spacing w:val="-10"/>
          <w:vertAlign w:val="baseline"/>
        </w:rPr>
        <w:t> </w:t>
      </w:r>
      <w:r>
        <w:rPr>
          <w:vertAlign w:val="baseline"/>
        </w:rPr>
        <w:t>from</w:t>
      </w:r>
      <w:r>
        <w:rPr>
          <w:spacing w:val="-57"/>
          <w:vertAlign w:val="baseline"/>
        </w:rPr>
        <w:t> </w:t>
      </w:r>
      <w:r>
        <w:rPr>
          <w:vertAlign w:val="baseline"/>
        </w:rPr>
        <w:t>various sources. This can greatly affect their health outcomes through access to health-promoting</w:t>
      </w:r>
      <w:r>
        <w:rPr>
          <w:spacing w:val="-57"/>
          <w:vertAlign w:val="baseline"/>
        </w:rPr>
        <w:t> </w:t>
      </w:r>
      <w:r>
        <w:rPr>
          <w:vertAlign w:val="baseline"/>
        </w:rPr>
        <w:t>goods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services.</w:t>
      </w:r>
    </w:p>
    <w:p>
      <w:pPr>
        <w:pStyle w:val="BodyText"/>
        <w:spacing w:line="369" w:lineRule="auto" w:before="231"/>
        <w:ind w:left="100" w:right="113"/>
        <w:jc w:val="both"/>
      </w:pPr>
      <w:r>
        <w:rPr/>
        <w:pict>
          <v:shape style="position:absolute;margin-left:481.420013pt;margin-top:40.676895pt;width:5.3pt;height:8.550pt;mso-position-horizontal-relative:page;mso-position-vertical-relative:paragraph;z-index:-4306739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112"/>
                      <w:sz w:val="17"/>
                    </w:rPr>
                    <w:t>ℎ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290009pt;margin-top:62.392895pt;width:5.3pt;height:8.550pt;mso-position-horizontal-relative:page;mso-position-vertical-relative:paragraph;z-index:-4306688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112"/>
                      <w:sz w:val="17"/>
                    </w:rPr>
                    <w:t>ℎ</w:t>
                  </w:r>
                </w:p>
              </w:txbxContent>
            </v:textbox>
            <w10:wrap type="none"/>
          </v:shape>
        </w:pict>
      </w:r>
      <w:r>
        <w:rPr/>
        <w:t>Interestingly,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Nigeria-General</w:t>
      </w:r>
      <w:r>
        <w:rPr>
          <w:spacing w:val="-5"/>
        </w:rPr>
        <w:t> </w:t>
      </w:r>
      <w:r>
        <w:rPr/>
        <w:t>Household</w:t>
      </w:r>
      <w:r>
        <w:rPr>
          <w:spacing w:val="-5"/>
        </w:rPr>
        <w:t> </w:t>
      </w:r>
      <w:r>
        <w:rPr/>
        <w:t>Survey</w:t>
      </w:r>
      <w:r>
        <w:rPr>
          <w:spacing w:val="-11"/>
        </w:rPr>
        <w:t> </w:t>
      </w:r>
      <w:r>
        <w:rPr/>
        <w:t>(NGHS)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NBS</w:t>
      </w:r>
      <w:r>
        <w:rPr>
          <w:spacing w:val="-5"/>
        </w:rPr>
        <w:t> </w:t>
      </w:r>
      <w:r>
        <w:rPr/>
        <w:t>(2017)</w:t>
      </w:r>
      <w:r>
        <w:rPr>
          <w:spacing w:val="-7"/>
        </w:rPr>
        <w:t> </w:t>
      </w:r>
      <w:r>
        <w:rPr/>
        <w:t>classified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vertAlign w:val="baseline"/>
        </w:rPr>
        <w:t>into</w:t>
      </w:r>
      <w:r>
        <w:rPr>
          <w:spacing w:val="-57"/>
          <w:vertAlign w:val="baseline"/>
        </w:rPr>
        <w:t> </w:t>
      </w:r>
      <w:r>
        <w:rPr>
          <w:vertAlign w:val="baseline"/>
        </w:rPr>
        <w:t>eight parts: the wages and salaries from both private and public firms/organization (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perscript"/>
        </w:rPr>
        <w:t>1</w:t>
      </w:r>
      <w:r>
        <w:rPr>
          <w:rFonts w:ascii="Cambria Math" w:hAnsi="Cambria Math" w:eastAsia="Cambria Math"/>
          <w:vertAlign w:val="baseline"/>
        </w:rPr>
        <w:t>)</w:t>
      </w:r>
      <w:r>
        <w:rPr>
          <w:vertAlign w:val="baseline"/>
        </w:rPr>
        <w:t>, incomes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3"/>
          <w:vertAlign w:val="baseline"/>
        </w:rPr>
        <w:t> </w:t>
      </w:r>
      <w:r>
        <w:rPr>
          <w:vertAlign w:val="baseline"/>
        </w:rPr>
        <w:t>enterprises,</w:t>
      </w:r>
      <w:r>
        <w:rPr>
          <w:spacing w:val="-12"/>
          <w:vertAlign w:val="baseline"/>
        </w:rPr>
        <w:t> </w:t>
      </w:r>
      <w:r>
        <w:rPr>
          <w:vertAlign w:val="baseline"/>
        </w:rPr>
        <w:t>trading</w:t>
      </w:r>
      <w:r>
        <w:rPr>
          <w:spacing w:val="-13"/>
          <w:vertAlign w:val="baseline"/>
        </w:rPr>
        <w:t> </w:t>
      </w:r>
      <w:r>
        <w:rPr>
          <w:vertAlign w:val="baseline"/>
        </w:rPr>
        <w:t>and</w:t>
      </w:r>
      <w:r>
        <w:rPr>
          <w:spacing w:val="-14"/>
          <w:vertAlign w:val="baseline"/>
        </w:rPr>
        <w:t> </w:t>
      </w:r>
      <w:r>
        <w:rPr>
          <w:vertAlign w:val="baseline"/>
        </w:rPr>
        <w:t>business</w:t>
      </w:r>
      <w:r>
        <w:rPr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(𝑌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-14"/>
          <w:vertAlign w:val="baseline"/>
        </w:rPr>
        <w:t> </w:t>
      </w:r>
      <w:r>
        <w:rPr>
          <w:vertAlign w:val="baseline"/>
        </w:rPr>
        <w:t>incomes</w:t>
      </w:r>
      <w:r>
        <w:rPr>
          <w:spacing w:val="-10"/>
          <w:vertAlign w:val="baseline"/>
        </w:rPr>
        <w:t> </w:t>
      </w:r>
      <w:r>
        <w:rPr>
          <w:vertAlign w:val="baseline"/>
        </w:rPr>
        <w:t>from</w:t>
      </w:r>
      <w:r>
        <w:rPr>
          <w:spacing w:val="-13"/>
          <w:vertAlign w:val="baseline"/>
        </w:rPr>
        <w:t> </w:t>
      </w:r>
      <w:r>
        <w:rPr>
          <w:vertAlign w:val="baseline"/>
        </w:rPr>
        <w:t>agriculture,</w:t>
      </w:r>
      <w:r>
        <w:rPr>
          <w:spacing w:val="-11"/>
          <w:vertAlign w:val="baseline"/>
        </w:rPr>
        <w:t> </w:t>
      </w:r>
      <w:r>
        <w:rPr>
          <w:vertAlign w:val="baseline"/>
        </w:rPr>
        <w:t>crop</w:t>
      </w:r>
      <w:r>
        <w:rPr>
          <w:spacing w:val="-15"/>
          <w:vertAlign w:val="baseline"/>
        </w:rPr>
        <w:t> </w:t>
      </w:r>
      <w:r>
        <w:rPr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vertAlign w:val="baseline"/>
        </w:rPr>
        <w:t>livestock</w:t>
      </w:r>
      <w:r>
        <w:rPr>
          <w:spacing w:val="-13"/>
          <w:vertAlign w:val="baseline"/>
        </w:rPr>
        <w:t> </w:t>
      </w:r>
      <w:r>
        <w:rPr>
          <w:vertAlign w:val="baseline"/>
        </w:rPr>
        <w:t>activities</w:t>
      </w:r>
    </w:p>
    <w:p>
      <w:pPr>
        <w:spacing w:after="0" w:line="369" w:lineRule="auto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pStyle w:val="BodyText"/>
        <w:spacing w:line="151" w:lineRule="exact" w:before="87"/>
        <w:ind w:left="100"/>
      </w:pPr>
      <w:r>
        <w:rPr/>
        <w:t>(</w:t>
      </w:r>
      <w:r>
        <w:rPr>
          <w:rFonts w:ascii="Cambria Math" w:eastAsia="Cambria Math"/>
        </w:rPr>
        <w:t>𝑌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-10"/>
          <w:vertAlign w:val="baseline"/>
        </w:rPr>
        <w:t> </w:t>
      </w:r>
      <w:r>
        <w:rPr>
          <w:vertAlign w:val="baseline"/>
        </w:rPr>
        <w:t>remittances</w:t>
      </w:r>
      <w:r>
        <w:rPr>
          <w:spacing w:val="-7"/>
          <w:vertAlign w:val="baseline"/>
        </w:rPr>
        <w:t> </w:t>
      </w:r>
      <w:r>
        <w:rPr>
          <w:vertAlign w:val="baseline"/>
        </w:rPr>
        <w:t>from</w:t>
      </w:r>
      <w:r>
        <w:rPr>
          <w:spacing w:val="-9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abroad</w:t>
      </w:r>
      <w:r>
        <w:rPr>
          <w:spacing w:val="-5"/>
          <w:vertAlign w:val="baseline"/>
        </w:rPr>
        <w:t> </w:t>
      </w:r>
      <w:r>
        <w:rPr>
          <w:rFonts w:ascii="Cambria Math" w:eastAsia="Cambria Math"/>
          <w:vertAlign w:val="baseline"/>
        </w:rPr>
        <w:t>(𝑌</w:t>
      </w:r>
      <w:r>
        <w:rPr>
          <w:rFonts w:ascii="Cambria Math" w:eastAsia="Cambria Math"/>
          <w:vertAlign w:val="superscript"/>
        </w:rPr>
        <w:t>4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-9"/>
          <w:vertAlign w:val="baseline"/>
        </w:rPr>
        <w:t> </w:t>
      </w:r>
      <w:r>
        <w:rPr>
          <w:vertAlign w:val="baseline"/>
        </w:rPr>
        <w:t>monetary</w:t>
      </w:r>
      <w:r>
        <w:rPr>
          <w:spacing w:val="-13"/>
          <w:vertAlign w:val="baseline"/>
        </w:rPr>
        <w:t> </w:t>
      </w:r>
      <w:r>
        <w:rPr>
          <w:vertAlign w:val="baseline"/>
        </w:rPr>
        <w:t>or</w:t>
      </w:r>
      <w:r>
        <w:rPr>
          <w:spacing w:val="-8"/>
          <w:vertAlign w:val="baseline"/>
        </w:rPr>
        <w:t> </w:t>
      </w:r>
      <w:r>
        <w:rPr>
          <w:vertAlign w:val="baseline"/>
        </w:rPr>
        <w:t>conditional</w:t>
      </w:r>
      <w:r>
        <w:rPr>
          <w:spacing w:val="-9"/>
          <w:vertAlign w:val="baseline"/>
        </w:rPr>
        <w:t> </w:t>
      </w:r>
      <w:r>
        <w:rPr>
          <w:vertAlign w:val="baseline"/>
        </w:rPr>
        <w:t>transfers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assistance</w:t>
      </w:r>
    </w:p>
    <w:p>
      <w:pPr>
        <w:tabs>
          <w:tab w:pos="4538" w:val="left" w:leader="none"/>
        </w:tabs>
        <w:spacing w:line="171" w:lineRule="exact" w:before="0"/>
        <w:ind w:left="285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ℎ</w:t>
        <w:tab/>
        <w:t>ℎ</w:t>
      </w:r>
    </w:p>
    <w:p>
      <w:pPr>
        <w:pStyle w:val="BodyText"/>
        <w:spacing w:line="151" w:lineRule="exact" w:before="115"/>
        <w:ind w:left="100"/>
      </w:pPr>
      <w:r>
        <w:rPr>
          <w:rFonts w:ascii="Cambria Math" w:eastAsia="Cambria Math"/>
        </w:rPr>
        <w:t>(𝑌</w:t>
      </w:r>
      <w:r>
        <w:rPr>
          <w:rFonts w:ascii="Cambria Math" w:eastAsia="Cambria Math"/>
          <w:vertAlign w:val="superscript"/>
        </w:rPr>
        <w:t>5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-7"/>
          <w:vertAlign w:val="baseline"/>
        </w:rPr>
        <w:t> </w:t>
      </w:r>
      <w:r>
        <w:rPr>
          <w:vertAlign w:val="baseline"/>
        </w:rPr>
        <w:t>pension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grants</w:t>
      </w:r>
      <w:r>
        <w:rPr>
          <w:spacing w:val="-2"/>
          <w:vertAlign w:val="baseline"/>
        </w:rPr>
        <w:t> </w:t>
      </w:r>
      <w:r>
        <w:rPr>
          <w:rFonts w:ascii="Cambria Math" w:eastAsia="Cambria Math"/>
          <w:vertAlign w:val="baseline"/>
        </w:rPr>
        <w:t>(𝑌</w:t>
      </w:r>
      <w:r>
        <w:rPr>
          <w:rFonts w:ascii="Cambria Math" w:eastAsia="Cambria Math"/>
          <w:vertAlign w:val="superscript"/>
        </w:rPr>
        <w:t>6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-7"/>
          <w:vertAlign w:val="baseline"/>
        </w:rPr>
        <w:t> </w:t>
      </w:r>
      <w:r>
        <w:rPr>
          <w:vertAlign w:val="baseline"/>
        </w:rPr>
        <w:t>dividend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interest</w:t>
      </w:r>
      <w:r>
        <w:rPr>
          <w:spacing w:val="-6"/>
          <w:vertAlign w:val="baseline"/>
        </w:rPr>
        <w:t> </w:t>
      </w:r>
      <w:r>
        <w:rPr>
          <w:vertAlign w:val="baseline"/>
        </w:rPr>
        <w:t>from</w:t>
      </w:r>
      <w:r>
        <w:rPr>
          <w:spacing w:val="-8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(𝑌</w:t>
      </w:r>
      <w:r>
        <w:rPr>
          <w:rFonts w:ascii="Cambria Math" w:eastAsia="Cambria Math"/>
          <w:vertAlign w:val="superscript"/>
        </w:rPr>
        <w:t>7</w:t>
      </w:r>
      <w:r>
        <w:rPr>
          <w:rFonts w:ascii="Cambria Math" w:eastAsia="Cambria Math"/>
          <w:vertAlign w:val="baseline"/>
        </w:rPr>
        <w:t>),</w:t>
      </w:r>
      <w:r>
        <w:rPr>
          <w:rFonts w:ascii="Cambria Math" w:eastAsia="Cambria Math"/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incomes</w:t>
      </w:r>
      <w:r>
        <w:rPr>
          <w:spacing w:val="-5"/>
          <w:vertAlign w:val="baseline"/>
        </w:rPr>
        <w:t> </w:t>
      </w:r>
      <w:r>
        <w:rPr>
          <w:vertAlign w:val="baseline"/>
        </w:rPr>
        <w:t>from</w:t>
      </w:r>
      <w:r>
        <w:rPr>
          <w:spacing w:val="-7"/>
          <w:vertAlign w:val="baseline"/>
        </w:rPr>
        <w:t> </w:t>
      </w:r>
      <w:r>
        <w:rPr>
          <w:vertAlign w:val="baseline"/>
        </w:rPr>
        <w:t>land</w:t>
      </w:r>
    </w:p>
    <w:p>
      <w:pPr>
        <w:tabs>
          <w:tab w:pos="2704" w:val="left" w:leader="none"/>
          <w:tab w:pos="6938" w:val="left" w:leader="none"/>
        </w:tabs>
        <w:spacing w:line="171" w:lineRule="exact" w:before="0"/>
        <w:ind w:left="306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ℎ</w:t>
        <w:tab/>
        <w:t>ℎ</w:t>
        <w:tab/>
        <w:t>ℎ</w:t>
      </w:r>
    </w:p>
    <w:p>
      <w:pPr>
        <w:pStyle w:val="BodyText"/>
        <w:spacing w:line="360" w:lineRule="auto" w:before="115"/>
        <w:ind w:left="100" w:right="121"/>
        <w:jc w:val="both"/>
      </w:pPr>
      <w:r>
        <w:rPr/>
        <w:pict>
          <v:shape style="position:absolute;margin-left:185.059998pt;margin-top:13.276873pt;width:5.3pt;height:8.550pt;mso-position-horizontal-relative:page;mso-position-vertical-relative:paragraph;z-index:-430663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112"/>
                      <w:sz w:val="17"/>
                    </w:rPr>
                    <w:t>ℎ</w:t>
                  </w:r>
                </w:p>
              </w:txbxContent>
            </v:textbox>
            <w10:wrap type="none"/>
          </v:shape>
        </w:pict>
      </w:r>
      <w:r>
        <w:rPr/>
        <w:t>and</w:t>
      </w:r>
      <w:r>
        <w:rPr>
          <w:spacing w:val="-11"/>
        </w:rPr>
        <w:t> </w:t>
      </w:r>
      <w:r>
        <w:rPr/>
        <w:t>house</w:t>
      </w:r>
      <w:r>
        <w:rPr>
          <w:spacing w:val="-11"/>
        </w:rPr>
        <w:t> </w:t>
      </w:r>
      <w:r>
        <w:rPr/>
        <w:t>ownership</w:t>
      </w:r>
      <w:r>
        <w:rPr>
          <w:spacing w:val="-5"/>
        </w:rPr>
        <w:t> </w:t>
      </w:r>
      <w:r>
        <w:rPr>
          <w:rFonts w:ascii="Cambria Math" w:eastAsia="Cambria Math"/>
        </w:rPr>
        <w:t>(𝑌</w:t>
      </w:r>
      <w:r>
        <w:rPr>
          <w:rFonts w:ascii="Cambria Math" w:eastAsia="Cambria Math"/>
          <w:vertAlign w:val="superscript"/>
        </w:rPr>
        <w:t>8</w:t>
      </w:r>
      <w:r>
        <w:rPr>
          <w:rFonts w:ascii="Cambria Math" w:eastAsia="Cambria Math"/>
          <w:vertAlign w:val="baseline"/>
        </w:rPr>
        <w:t>).</w:t>
      </w:r>
      <w:r>
        <w:rPr>
          <w:rFonts w:ascii="Cambria Math" w:eastAsia="Cambria Math"/>
          <w:spacing w:val="-6"/>
          <w:vertAlign w:val="baseline"/>
        </w:rPr>
        <w:t> </w:t>
      </w:r>
      <w:r>
        <w:rPr>
          <w:vertAlign w:val="baseline"/>
        </w:rPr>
        <w:t>Also</w:t>
      </w:r>
      <w:r>
        <w:rPr>
          <w:spacing w:val="-10"/>
          <w:vertAlign w:val="baseline"/>
        </w:rPr>
        <w:t> </w:t>
      </w:r>
      <w:r>
        <w:rPr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vertAlign w:val="baseline"/>
        </w:rPr>
        <w:t>line</w:t>
      </w:r>
      <w:r>
        <w:rPr>
          <w:spacing w:val="-1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theoretical</w:t>
      </w:r>
      <w:r>
        <w:rPr>
          <w:spacing w:val="-11"/>
          <w:vertAlign w:val="baseline"/>
        </w:rPr>
        <w:t> </w:t>
      </w:r>
      <w:r>
        <w:rPr>
          <w:vertAlign w:val="baseline"/>
        </w:rPr>
        <w:t>expectation,</w:t>
      </w:r>
      <w:r>
        <w:rPr>
          <w:spacing w:val="-10"/>
          <w:vertAlign w:val="baseline"/>
        </w:rPr>
        <w:t> </w:t>
      </w:r>
      <w:r>
        <w:rPr>
          <w:vertAlign w:val="baseline"/>
        </w:rPr>
        <w:t>these</w:t>
      </w:r>
      <w:r>
        <w:rPr>
          <w:spacing w:val="-11"/>
          <w:vertAlign w:val="baseline"/>
        </w:rPr>
        <w:t> </w:t>
      </w:r>
      <w:r>
        <w:rPr>
          <w:vertAlign w:val="baseline"/>
        </w:rPr>
        <w:t>sources</w:t>
      </w:r>
      <w:r>
        <w:rPr>
          <w:spacing w:val="-9"/>
          <w:vertAlign w:val="baseline"/>
        </w:rPr>
        <w:t> </w:t>
      </w:r>
      <w:r>
        <w:rPr>
          <w:vertAlign w:val="baseline"/>
        </w:rPr>
        <w:t>are</w:t>
      </w:r>
      <w:r>
        <w:rPr>
          <w:spacing w:val="-10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-58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exerts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-2"/>
          <w:vertAlign w:val="baseline"/>
        </w:rPr>
        <w:t> </w:t>
      </w:r>
      <w:r>
        <w:rPr>
          <w:vertAlign w:val="baseline"/>
        </w:rPr>
        <w:t>impact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illness</w:t>
      </w:r>
      <w:r>
        <w:rPr>
          <w:spacing w:val="-1"/>
          <w:vertAlign w:val="baseline"/>
        </w:rPr>
        <w:t> </w:t>
      </w:r>
      <w:r>
        <w:rPr>
          <w:vertAlign w:val="baseline"/>
        </w:rPr>
        <w:t>(Benzeval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2014;</w:t>
      </w:r>
      <w:r>
        <w:rPr>
          <w:spacing w:val="-1"/>
          <w:vertAlign w:val="baseline"/>
        </w:rPr>
        <w:t> </w:t>
      </w:r>
      <w:r>
        <w:rPr>
          <w:vertAlign w:val="baseline"/>
        </w:rPr>
        <w:t>Bayar,</w:t>
      </w:r>
      <w:r>
        <w:rPr>
          <w:spacing w:val="-1"/>
          <w:vertAlign w:val="baseline"/>
        </w:rPr>
        <w:t> </w:t>
      </w:r>
      <w:r>
        <w:rPr>
          <w:vertAlign w:val="baseline"/>
        </w:rPr>
        <w:t>2016;</w:t>
      </w:r>
      <w:r>
        <w:rPr>
          <w:spacing w:val="1"/>
          <w:vertAlign w:val="baseline"/>
        </w:rPr>
        <w:t> </w:t>
      </w:r>
      <w:r>
        <w:rPr>
          <w:vertAlign w:val="baseline"/>
        </w:rPr>
        <w:t>Novignon </w:t>
      </w:r>
      <w:r>
        <w:rPr>
          <w:i/>
          <w:vertAlign w:val="baseline"/>
        </w:rPr>
        <w:t>et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2017).</w:t>
      </w:r>
    </w:p>
    <w:p>
      <w:pPr>
        <w:spacing w:before="138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Income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Inequality</w:t>
      </w:r>
    </w:p>
    <w:p>
      <w:pPr>
        <w:pStyle w:val="BodyText"/>
        <w:spacing w:line="360" w:lineRule="auto" w:before="139"/>
        <w:ind w:left="100" w:right="117"/>
        <w:jc w:val="both"/>
      </w:pPr>
      <w:r>
        <w:rPr/>
        <w:t>The third component of the model is the income inequality (</w:t>
      </w:r>
      <w:r>
        <w:rPr>
          <w:b/>
          <w:i/>
        </w:rPr>
        <w:t>Z</w:t>
      </w:r>
      <w:r>
        <w:rPr/>
        <w:t>). The Gini coefficient (measure of</w:t>
      </w:r>
      <w:r>
        <w:rPr>
          <w:spacing w:val="1"/>
        </w:rPr>
        <w:t> </w:t>
      </w:r>
      <w:r>
        <w:rPr/>
        <w:t>income inequality) is expected to be positively associated with illness (poor health outcomes</w:t>
      </w:r>
      <w:r>
        <w:rPr>
          <w:spacing w:val="1"/>
        </w:rPr>
        <w:t> </w:t>
      </w:r>
      <w:r>
        <w:rPr/>
        <w:t>variable). This is in tandem with the postulation of income-inequality hypothesis by Wilkinson</w:t>
      </w:r>
      <w:r>
        <w:rPr>
          <w:spacing w:val="1"/>
        </w:rPr>
        <w:t> </w:t>
      </w:r>
      <w:r>
        <w:rPr/>
        <w:t>(1992,</w:t>
      </w:r>
      <w:r>
        <w:rPr>
          <w:spacing w:val="-1"/>
        </w:rPr>
        <w:t> </w:t>
      </w:r>
      <w:r>
        <w:rPr/>
        <w:t>1994), and Pickett</w:t>
      </w:r>
      <w:r>
        <w:rPr>
          <w:spacing w:val="3"/>
        </w:rPr>
        <w:t> </w:t>
      </w:r>
      <w:r>
        <w:rPr/>
        <w:t>and Wilkinson (2015).</w:t>
      </w:r>
    </w:p>
    <w:p>
      <w:pPr>
        <w:pStyle w:val="BodyText"/>
        <w:spacing w:before="182"/>
        <w:ind w:left="100"/>
        <w:jc w:val="both"/>
      </w:pPr>
      <w:r>
        <w:rPr/>
        <w:t>The</w:t>
      </w:r>
      <w:r>
        <w:rPr>
          <w:spacing w:val="-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2"/>
        </w:rPr>
        <w:t> </w:t>
      </w:r>
      <w:r>
        <w:rPr/>
        <w:t>components</w:t>
      </w:r>
      <w:r>
        <w:rPr>
          <w:spacing w:val="5"/>
        </w:rPr>
        <w:t> </w:t>
      </w:r>
      <w:r>
        <w:rPr>
          <w:rFonts w:ascii="Cambria Math" w:hAnsi="Cambria Math" w:eastAsia="Cambria Math"/>
        </w:rPr>
        <w:t>(𝑋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𝑍)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vertAlign w:val="baseline"/>
        </w:rPr>
        <w:t>thus</w:t>
      </w:r>
      <w:r>
        <w:rPr>
          <w:spacing w:val="-1"/>
          <w:vertAlign w:val="baseline"/>
        </w:rPr>
        <w:t> </w:t>
      </w:r>
      <w:r>
        <w:rPr>
          <w:vertAlign w:val="baseline"/>
        </w:rPr>
        <w:t>yields;</w:t>
      </w:r>
    </w:p>
    <w:p>
      <w:pPr>
        <w:tabs>
          <w:tab w:pos="4144" w:val="left" w:leader="none"/>
          <w:tab w:pos="5964" w:val="left" w:leader="none"/>
          <w:tab w:pos="7673" w:val="left" w:leader="none"/>
        </w:tabs>
        <w:spacing w:before="128"/>
        <w:ind w:left="243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</w:t>
        <w:tab/>
        <w:t>6</w:t>
        <w:tab/>
        <w:t>4</w:t>
        <w:tab/>
        <w:t>1</w:t>
      </w:r>
    </w:p>
    <w:p>
      <w:pPr>
        <w:pStyle w:val="BodyText"/>
        <w:spacing w:before="90"/>
        <w:ind w:left="546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𝐼𝑙𝑙𝑛𝑒𝑠𝑠</w:t>
      </w:r>
      <w:r>
        <w:rPr>
          <w:rFonts w:ascii="Cambria Math" w:hAnsi="Cambria Math" w:eastAsia="Cambria Math"/>
          <w:w w:val="110"/>
          <w:vertAlign w:val="subscript"/>
        </w:rPr>
        <w:t>ℎ𝑡</w:t>
      </w:r>
      <w:r>
        <w:rPr>
          <w:rFonts w:ascii="Cambria Math" w:hAnsi="Cambria Math" w:eastAsia="Cambria Math"/>
          <w:spacing w:val="2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=</w:t>
      </w:r>
      <w:r>
        <w:rPr>
          <w:rFonts w:ascii="Cambria Math" w:hAnsi="Cambria Math" w:eastAsia="Cambria Math"/>
          <w:spacing w:val="12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𝛼</w:t>
      </w:r>
      <w:r>
        <w:rPr>
          <w:rFonts w:ascii="Cambria Math" w:hAnsi="Cambria Math" w:eastAsia="Cambria Math"/>
          <w:w w:val="110"/>
          <w:vertAlign w:val="subscript"/>
        </w:rPr>
        <w:t>𝑖</w:t>
      </w:r>
      <w:r>
        <w:rPr>
          <w:rFonts w:ascii="Cambria Math" w:hAnsi="Cambria Math" w:eastAsia="Cambria Math"/>
          <w:spacing w:val="7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+</w:t>
      </w:r>
      <w:r>
        <w:rPr>
          <w:rFonts w:ascii="Cambria Math" w:hAnsi="Cambria Math" w:eastAsia="Cambria Math"/>
          <w:spacing w:val="-4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∑</w:t>
      </w:r>
      <w:r>
        <w:rPr>
          <w:rFonts w:ascii="Cambria Math" w:hAnsi="Cambria Math" w:eastAsia="Cambria Math"/>
          <w:spacing w:val="-18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𝛽</w:t>
      </w:r>
      <w:r>
        <w:rPr>
          <w:rFonts w:ascii="Cambria Math" w:hAnsi="Cambria Math" w:eastAsia="Cambria Math"/>
          <w:w w:val="110"/>
          <w:vertAlign w:val="subscript"/>
        </w:rPr>
        <w:t>1𝑖</w:t>
      </w:r>
      <w:r>
        <w:rPr>
          <w:rFonts w:ascii="Cambria Math" w:hAnsi="Cambria Math" w:eastAsia="Cambria Math"/>
          <w:spacing w:val="-3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𝐹𝐴𝑆</w:t>
      </w:r>
      <w:r>
        <w:rPr>
          <w:rFonts w:ascii="Cambria Math" w:hAnsi="Cambria Math" w:eastAsia="Cambria Math"/>
          <w:w w:val="110"/>
          <w:vertAlign w:val="subscript"/>
        </w:rPr>
        <w:t>ℎ𝑖𝑡</w:t>
      </w:r>
      <w:r>
        <w:rPr>
          <w:rFonts w:ascii="Cambria Math" w:hAnsi="Cambria Math" w:eastAsia="Cambria Math"/>
          <w:spacing w:val="1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+</w:t>
      </w:r>
      <w:r>
        <w:rPr>
          <w:rFonts w:ascii="Cambria Math" w:hAnsi="Cambria Math" w:eastAsia="Cambria Math"/>
          <w:spacing w:val="50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∑</w:t>
      </w:r>
      <w:r>
        <w:rPr>
          <w:rFonts w:ascii="Cambria Math" w:hAnsi="Cambria Math" w:eastAsia="Cambria Math"/>
          <w:spacing w:val="-18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𝛽</w:t>
      </w:r>
      <w:r>
        <w:rPr>
          <w:rFonts w:ascii="Cambria Math" w:hAnsi="Cambria Math" w:eastAsia="Cambria Math"/>
          <w:w w:val="110"/>
          <w:vertAlign w:val="subscript"/>
        </w:rPr>
        <w:t>2𝑖</w:t>
      </w:r>
      <w:r>
        <w:rPr>
          <w:rFonts w:ascii="Cambria Math" w:hAnsi="Cambria Math" w:eastAsia="Cambria Math"/>
          <w:spacing w:val="-4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𝐷𝐼𝐸𝑇</w:t>
      </w:r>
      <w:r>
        <w:rPr>
          <w:rFonts w:ascii="Cambria Math" w:hAnsi="Cambria Math" w:eastAsia="Cambria Math"/>
          <w:w w:val="110"/>
          <w:vertAlign w:val="subscript"/>
        </w:rPr>
        <w:t>ℎ𝑖𝑡</w:t>
      </w:r>
      <w:r>
        <w:rPr>
          <w:rFonts w:ascii="Cambria Math" w:hAnsi="Cambria Math" w:eastAsia="Cambria Math"/>
          <w:spacing w:val="12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+</w:t>
      </w:r>
      <w:r>
        <w:rPr>
          <w:rFonts w:ascii="Cambria Math" w:hAnsi="Cambria Math" w:eastAsia="Cambria Math"/>
          <w:spacing w:val="50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∑</w:t>
      </w:r>
      <w:r>
        <w:rPr>
          <w:rFonts w:ascii="Cambria Math" w:hAnsi="Cambria Math" w:eastAsia="Cambria Math"/>
          <w:spacing w:val="-18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𝛽</w:t>
      </w:r>
      <w:r>
        <w:rPr>
          <w:rFonts w:ascii="Cambria Math" w:hAnsi="Cambria Math" w:eastAsia="Cambria Math"/>
          <w:w w:val="110"/>
          <w:vertAlign w:val="subscript"/>
        </w:rPr>
        <w:t>3𝑖</w:t>
      </w:r>
      <w:r>
        <w:rPr>
          <w:rFonts w:ascii="Cambria Math" w:hAnsi="Cambria Math" w:eastAsia="Cambria Math"/>
          <w:spacing w:val="-4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𝐸𝐷𝑈</w:t>
      </w:r>
      <w:r>
        <w:rPr>
          <w:rFonts w:ascii="Cambria Math" w:hAnsi="Cambria Math" w:eastAsia="Cambria Math"/>
          <w:w w:val="110"/>
          <w:vertAlign w:val="subscript"/>
        </w:rPr>
        <w:t>ℎ𝑖𝑡</w:t>
      </w:r>
      <w:r>
        <w:rPr>
          <w:rFonts w:ascii="Cambria Math" w:hAnsi="Cambria Math" w:eastAsia="Cambria Math"/>
          <w:spacing w:val="1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+</w:t>
      </w:r>
      <w:r>
        <w:rPr>
          <w:rFonts w:ascii="Cambria Math" w:hAnsi="Cambria Math" w:eastAsia="Cambria Math"/>
          <w:spacing w:val="-4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∑</w:t>
      </w:r>
      <w:r>
        <w:rPr>
          <w:rFonts w:ascii="Cambria Math" w:hAnsi="Cambria Math" w:eastAsia="Cambria Math"/>
          <w:spacing w:val="-17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𝛽</w:t>
      </w:r>
      <w:r>
        <w:rPr>
          <w:rFonts w:ascii="Cambria Math" w:hAnsi="Cambria Math" w:eastAsia="Cambria Math"/>
          <w:w w:val="110"/>
          <w:vertAlign w:val="subscript"/>
        </w:rPr>
        <w:t>4𝑖</w:t>
      </w:r>
      <w:r>
        <w:rPr>
          <w:rFonts w:ascii="Cambria Math" w:hAnsi="Cambria Math" w:eastAsia="Cambria Math"/>
          <w:spacing w:val="-2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𝑀𝑁𝑃</w:t>
      </w:r>
      <w:r>
        <w:rPr>
          <w:rFonts w:ascii="Cambria Math" w:hAnsi="Cambria Math" w:eastAsia="Cambria Math"/>
          <w:w w:val="110"/>
          <w:vertAlign w:val="subscript"/>
        </w:rPr>
        <w:t>ℎ𝑖𝑡</w:t>
      </w:r>
    </w:p>
    <w:p>
      <w:pPr>
        <w:spacing w:after="0"/>
        <w:rPr>
          <w:rFonts w:ascii="Cambria Math" w:hAnsi="Cambria Math" w:eastAsia="Cambria Math"/>
        </w:rPr>
        <w:sectPr>
          <w:pgSz w:w="12240" w:h="15840"/>
          <w:pgMar w:header="0" w:footer="1015" w:top="1360" w:bottom="1200" w:left="1340" w:right="1320"/>
        </w:sectPr>
      </w:pPr>
    </w:p>
    <w:p>
      <w:pPr>
        <w:spacing w:line="173" w:lineRule="exact" w:before="92"/>
        <w:ind w:left="0" w:right="81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tabs>
          <w:tab w:pos="1728" w:val="left" w:leader="none"/>
        </w:tabs>
        <w:spacing w:line="173" w:lineRule="exact" w:before="0"/>
        <w:ind w:left="0" w:right="38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</w:t>
        <w:tab/>
        <w:t>4</w:t>
      </w:r>
    </w:p>
    <w:p>
      <w:pPr>
        <w:spacing w:line="172" w:lineRule="exact" w:before="92"/>
        <w:ind w:left="84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𝑖=1</w:t>
      </w:r>
    </w:p>
    <w:p>
      <w:pPr>
        <w:spacing w:line="172" w:lineRule="exact" w:before="0"/>
        <w:ind w:left="121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spacing w:line="173" w:lineRule="exact" w:before="92"/>
        <w:ind w:left="0" w:right="75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𝑖=1</w:t>
      </w:r>
    </w:p>
    <w:p>
      <w:pPr>
        <w:spacing w:line="173" w:lineRule="exact" w:before="0"/>
        <w:ind w:left="0" w:right="38" w:firstLine="0"/>
        <w:jc w:val="righ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spacing w:line="173" w:lineRule="exact" w:before="92"/>
        <w:ind w:left="0" w:right="1709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𝑖=1</w:t>
      </w:r>
    </w:p>
    <w:p>
      <w:pPr>
        <w:spacing w:line="173" w:lineRule="exact" w:before="0"/>
        <w:ind w:left="0" w:right="1673" w:firstLine="0"/>
        <w:jc w:val="righ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spacing w:after="0" w:line="173" w:lineRule="exact"/>
        <w:jc w:val="right"/>
        <w:rPr>
          <w:rFonts w:ascii="Cambria Math"/>
          <w:sz w:val="17"/>
        </w:rPr>
        <w:sectPr>
          <w:type w:val="continuous"/>
          <w:pgSz w:w="12240" w:h="15840"/>
          <w:pgMar w:top="1380" w:bottom="280" w:left="1340" w:right="1320"/>
          <w:cols w:num="4" w:equalWidth="0">
            <w:col w:w="2717" w:space="483"/>
            <w:col w:w="1358" w:space="462"/>
            <w:col w:w="1214" w:space="494"/>
            <w:col w:w="2852"/>
          </w:cols>
        </w:sectPr>
      </w:pPr>
    </w:p>
    <w:p>
      <w:pPr>
        <w:pStyle w:val="BodyText"/>
        <w:spacing w:before="89"/>
        <w:ind w:left="46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2"/>
          <w:w w:val="115"/>
        </w:rPr>
        <w:t>+</w:t>
      </w:r>
      <w:r>
        <w:rPr>
          <w:rFonts w:ascii="Cambria Math" w:hAnsi="Cambria Math" w:eastAsia="Cambria Math"/>
          <w:spacing w:val="31"/>
          <w:w w:val="115"/>
        </w:rPr>
        <w:t> </w:t>
      </w:r>
      <w:r>
        <w:rPr>
          <w:rFonts w:ascii="Cambria Math" w:hAnsi="Cambria Math" w:eastAsia="Cambria Math"/>
          <w:spacing w:val="-2"/>
          <w:w w:val="115"/>
        </w:rPr>
        <w:t>∑</w:t>
      </w:r>
      <w:r>
        <w:rPr>
          <w:rFonts w:ascii="Cambria Math" w:hAnsi="Cambria Math" w:eastAsia="Cambria Math"/>
          <w:spacing w:val="-22"/>
          <w:w w:val="115"/>
        </w:rPr>
        <w:t> </w:t>
      </w:r>
      <w:r>
        <w:rPr>
          <w:rFonts w:ascii="Cambria Math" w:hAnsi="Cambria Math" w:eastAsia="Cambria Math"/>
          <w:spacing w:val="-2"/>
          <w:w w:val="115"/>
        </w:rPr>
        <w:t>𝛽</w:t>
      </w:r>
      <w:r>
        <w:rPr>
          <w:rFonts w:ascii="Cambria Math" w:hAnsi="Cambria Math" w:eastAsia="Cambria Math"/>
          <w:spacing w:val="-2"/>
          <w:w w:val="115"/>
          <w:vertAlign w:val="subscript"/>
        </w:rPr>
        <w:t>5𝑖</w:t>
      </w:r>
      <w:r>
        <w:rPr>
          <w:rFonts w:ascii="Cambria Math" w:hAnsi="Cambria Math" w:eastAsia="Cambria Math"/>
          <w:spacing w:val="-8"/>
          <w:w w:val="115"/>
          <w:vertAlign w:val="baseline"/>
        </w:rPr>
        <w:t> </w:t>
      </w:r>
      <w:r>
        <w:rPr>
          <w:rFonts w:ascii="Cambria Math" w:hAnsi="Cambria Math" w:eastAsia="Cambria Math"/>
          <w:spacing w:val="-2"/>
          <w:w w:val="115"/>
          <w:vertAlign w:val="baseline"/>
        </w:rPr>
        <w:t>𝐴𝑇𝐸</w:t>
      </w:r>
      <w:r>
        <w:rPr>
          <w:rFonts w:ascii="Cambria Math" w:hAnsi="Cambria Math" w:eastAsia="Cambria Math"/>
          <w:spacing w:val="-2"/>
          <w:w w:val="115"/>
          <w:vertAlign w:val="subscript"/>
        </w:rPr>
        <w:t>ℎ𝑖𝑡</w:t>
      </w:r>
      <w:r>
        <w:rPr>
          <w:rFonts w:ascii="Cambria Math" w:hAnsi="Cambria Math" w:eastAsia="Cambria Math"/>
          <w:spacing w:val="8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+</w:t>
      </w:r>
      <w:r>
        <w:rPr>
          <w:rFonts w:ascii="Cambria Math" w:hAnsi="Cambria Math" w:eastAsia="Cambria Math"/>
          <w:spacing w:val="46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∑</w:t>
      </w:r>
      <w:r>
        <w:rPr>
          <w:rFonts w:ascii="Cambria Math" w:hAnsi="Cambria Math" w:eastAsia="Cambria Math"/>
          <w:spacing w:val="-22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𝛽</w:t>
      </w:r>
      <w:r>
        <w:rPr>
          <w:rFonts w:ascii="Cambria Math" w:hAnsi="Cambria Math" w:eastAsia="Cambria Math"/>
          <w:spacing w:val="-1"/>
          <w:w w:val="115"/>
          <w:vertAlign w:val="subscript"/>
        </w:rPr>
        <w:t>6𝑖</w:t>
      </w:r>
      <w:r>
        <w:rPr>
          <w:rFonts w:ascii="Cambria Math" w:hAnsi="Cambria Math" w:eastAsia="Cambria Math"/>
          <w:spacing w:val="-8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𝐷𝑊𝐴</w:t>
      </w:r>
      <w:r>
        <w:rPr>
          <w:rFonts w:ascii="Cambria Math" w:hAnsi="Cambria Math" w:eastAsia="Cambria Math"/>
          <w:spacing w:val="-1"/>
          <w:w w:val="115"/>
          <w:vertAlign w:val="subscript"/>
        </w:rPr>
        <w:t>ℎ𝑖𝑡</w:t>
      </w:r>
      <w:r>
        <w:rPr>
          <w:rFonts w:ascii="Cambria Math" w:hAnsi="Cambria Math" w:eastAsia="Cambria Math"/>
          <w:spacing w:val="8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+</w:t>
      </w:r>
      <w:r>
        <w:rPr>
          <w:rFonts w:ascii="Cambria Math" w:hAnsi="Cambria Math" w:eastAsia="Cambria Math"/>
          <w:spacing w:val="45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∑</w:t>
      </w:r>
      <w:r>
        <w:rPr>
          <w:rFonts w:ascii="Cambria Math" w:hAnsi="Cambria Math" w:eastAsia="Cambria Math"/>
          <w:spacing w:val="-22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𝛽</w:t>
      </w:r>
      <w:r>
        <w:rPr>
          <w:rFonts w:ascii="Cambria Math" w:hAnsi="Cambria Math" w:eastAsia="Cambria Math"/>
          <w:spacing w:val="-1"/>
          <w:w w:val="115"/>
          <w:vertAlign w:val="subscript"/>
        </w:rPr>
        <w:t>7𝑖</w:t>
      </w:r>
      <w:r>
        <w:rPr>
          <w:rFonts w:ascii="Cambria Math" w:hAnsi="Cambria Math" w:eastAsia="Cambria Math"/>
          <w:spacing w:val="-6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𝑇𝑂𝐿</w:t>
      </w:r>
      <w:r>
        <w:rPr>
          <w:rFonts w:ascii="Cambria Math" w:hAnsi="Cambria Math" w:eastAsia="Cambria Math"/>
          <w:spacing w:val="-1"/>
          <w:w w:val="115"/>
          <w:vertAlign w:val="subscript"/>
        </w:rPr>
        <w:t>ℎ𝑖𝑡</w:t>
      </w:r>
      <w:r>
        <w:rPr>
          <w:rFonts w:ascii="Cambria Math" w:hAnsi="Cambria Math" w:eastAsia="Cambria Math"/>
          <w:spacing w:val="4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+</w:t>
      </w:r>
      <w:r>
        <w:rPr>
          <w:rFonts w:ascii="Cambria Math" w:hAnsi="Cambria Math" w:eastAsia="Cambria Math"/>
          <w:spacing w:val="-8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∑</w:t>
      </w:r>
      <w:r>
        <w:rPr>
          <w:rFonts w:ascii="Cambria Math" w:hAnsi="Cambria Math" w:eastAsia="Cambria Math"/>
          <w:spacing w:val="-22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𝛽</w:t>
      </w:r>
      <w:r>
        <w:rPr>
          <w:rFonts w:ascii="Cambria Math" w:hAnsi="Cambria Math" w:eastAsia="Cambria Math"/>
          <w:spacing w:val="-1"/>
          <w:w w:val="115"/>
          <w:vertAlign w:val="subscript"/>
        </w:rPr>
        <w:t>8𝑖</w:t>
      </w:r>
      <w:r>
        <w:rPr>
          <w:rFonts w:ascii="Cambria Math" w:hAnsi="Cambria Math" w:eastAsia="Cambria Math"/>
          <w:spacing w:val="-5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𝑈𝐻𝐿</w:t>
      </w:r>
      <w:r>
        <w:rPr>
          <w:rFonts w:ascii="Cambria Math" w:hAnsi="Cambria Math" w:eastAsia="Cambria Math"/>
          <w:spacing w:val="-1"/>
          <w:w w:val="115"/>
          <w:vertAlign w:val="subscript"/>
        </w:rPr>
        <w:t>ℎ𝑖𝑡</w:t>
      </w:r>
      <w:r>
        <w:rPr>
          <w:rFonts w:ascii="Cambria Math" w:hAnsi="Cambria Math" w:eastAsia="Cambria Math"/>
          <w:spacing w:val="5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+</w:t>
      </w:r>
      <w:r>
        <w:rPr>
          <w:rFonts w:ascii="Cambria Math" w:hAnsi="Cambria Math" w:eastAsia="Cambria Math"/>
          <w:spacing w:val="-7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∑</w:t>
      </w:r>
      <w:r>
        <w:rPr>
          <w:rFonts w:ascii="Cambria Math" w:hAnsi="Cambria Math" w:eastAsia="Cambria Math"/>
          <w:spacing w:val="-22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𝛽</w:t>
      </w:r>
      <w:r>
        <w:rPr>
          <w:rFonts w:ascii="Cambria Math" w:hAnsi="Cambria Math" w:eastAsia="Cambria Math"/>
          <w:spacing w:val="-1"/>
          <w:w w:val="115"/>
          <w:vertAlign w:val="subscript"/>
        </w:rPr>
        <w:t>9𝑖</w:t>
      </w:r>
      <w:r>
        <w:rPr>
          <w:rFonts w:ascii="Cambria Math" w:hAnsi="Cambria Math" w:eastAsia="Cambria Math"/>
          <w:spacing w:val="-7"/>
          <w:w w:val="115"/>
          <w:vertAlign w:val="baseline"/>
        </w:rPr>
        <w:t> </w:t>
      </w:r>
      <w:r>
        <w:rPr>
          <w:rFonts w:ascii="Cambria Math" w:hAnsi="Cambria Math" w:eastAsia="Cambria Math"/>
          <w:spacing w:val="-1"/>
          <w:w w:val="115"/>
          <w:vertAlign w:val="baseline"/>
        </w:rPr>
        <w:t>𝐻𝑆𝐵</w:t>
      </w:r>
      <w:r>
        <w:rPr>
          <w:rFonts w:ascii="Cambria Math" w:hAnsi="Cambria Math" w:eastAsia="Cambria Math"/>
          <w:spacing w:val="-1"/>
          <w:w w:val="115"/>
          <w:vertAlign w:val="subscript"/>
        </w:rPr>
        <w:t>ℎ𝑖𝑡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2240" w:h="15840"/>
          <w:pgMar w:top="1380" w:bottom="280" w:left="1340" w:right="1320"/>
        </w:sectPr>
      </w:pPr>
    </w:p>
    <w:p>
      <w:pPr>
        <w:spacing w:before="93"/>
        <w:ind w:left="0" w:right="38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spacing w:line="170" w:lineRule="exact" w:before="93"/>
        <w:ind w:left="75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𝑖=1</w:t>
      </w:r>
    </w:p>
    <w:p>
      <w:pPr>
        <w:spacing w:line="170" w:lineRule="exact" w:before="0"/>
        <w:ind w:left="1377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8</w:t>
      </w:r>
    </w:p>
    <w:p>
      <w:pPr>
        <w:spacing w:line="172" w:lineRule="auto" w:before="138"/>
        <w:ind w:left="923" w:right="38" w:hanging="171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𝑖=1</w:t>
      </w:r>
      <w:r>
        <w:rPr>
          <w:rFonts w:ascii="Cambria Math" w:eastAsia="Cambria Math"/>
          <w:spacing w:val="-35"/>
          <w:sz w:val="17"/>
        </w:rPr>
        <w:t> </w:t>
      </w:r>
      <w:r>
        <w:rPr>
          <w:rFonts w:ascii="Cambria Math" w:eastAsia="Cambria Math"/>
          <w:w w:val="105"/>
          <w:sz w:val="17"/>
        </w:rPr>
        <w:t>1</w:t>
      </w:r>
    </w:p>
    <w:p>
      <w:pPr>
        <w:spacing w:before="93"/>
        <w:ind w:left="0" w:right="38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𝑖=1</w:t>
      </w:r>
    </w:p>
    <w:p>
      <w:pPr>
        <w:spacing w:before="93"/>
        <w:ind w:left="75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𝑖=1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80" w:bottom="280" w:left="1340" w:right="1320"/>
          <w:cols w:num="5" w:equalWidth="0">
            <w:col w:w="1084" w:space="644"/>
            <w:col w:w="1516" w:space="325"/>
            <w:col w:w="1084" w:space="592"/>
            <w:col w:w="1084" w:space="628"/>
            <w:col w:w="2623"/>
          </w:cols>
        </w:sectPr>
      </w:pPr>
    </w:p>
    <w:p>
      <w:pPr>
        <w:pStyle w:val="BodyText"/>
        <w:spacing w:before="91"/>
        <w:ind w:left="1949" w:right="1965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+</w:t>
      </w:r>
      <w:r>
        <w:rPr>
          <w:rFonts w:ascii="Cambria Math" w:hAnsi="Cambria Math" w:eastAsia="Cambria Math"/>
          <w:spacing w:val="-16"/>
          <w:w w:val="110"/>
        </w:rPr>
        <w:t> </w:t>
      </w:r>
      <w:r>
        <w:rPr>
          <w:rFonts w:ascii="Cambria Math" w:hAnsi="Cambria Math" w:eastAsia="Cambria Math"/>
          <w:w w:val="110"/>
        </w:rPr>
        <w:t>∑</w:t>
      </w:r>
      <w:r>
        <w:rPr>
          <w:rFonts w:ascii="Cambria Math" w:hAnsi="Cambria Math" w:eastAsia="Cambria Math"/>
          <w:spacing w:val="-17"/>
          <w:w w:val="110"/>
        </w:rPr>
        <w:t> </w:t>
      </w:r>
      <w:r>
        <w:rPr>
          <w:rFonts w:ascii="Cambria Math" w:hAnsi="Cambria Math" w:eastAsia="Cambria Math"/>
          <w:w w:val="110"/>
        </w:rPr>
        <w:t>𝛿</w:t>
      </w:r>
      <w:r>
        <w:rPr>
          <w:rFonts w:ascii="Cambria Math" w:hAnsi="Cambria Math" w:eastAsia="Cambria Math"/>
          <w:w w:val="110"/>
          <w:vertAlign w:val="subscript"/>
        </w:rPr>
        <w:t>1𝑖</w:t>
      </w:r>
      <w:r>
        <w:rPr>
          <w:rFonts w:ascii="Cambria Math" w:hAnsi="Cambria Math" w:eastAsia="Cambria Math"/>
          <w:spacing w:val="-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𝑌</w:t>
      </w:r>
      <w:r>
        <w:rPr>
          <w:rFonts w:ascii="Cambria Math" w:hAnsi="Cambria Math" w:eastAsia="Cambria Math"/>
          <w:w w:val="110"/>
          <w:vertAlign w:val="subscript"/>
        </w:rPr>
        <w:t>ℎ𝑖𝑡</w:t>
      </w:r>
      <w:r>
        <w:rPr>
          <w:rFonts w:ascii="Cambria Math" w:hAnsi="Cambria Math" w:eastAsia="Cambria Math"/>
          <w:spacing w:val="1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+</w:t>
      </w:r>
      <w:r>
        <w:rPr>
          <w:rFonts w:ascii="Cambria Math" w:hAnsi="Cambria Math" w:eastAsia="Cambria Math"/>
          <w:spacing w:val="52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∑</w:t>
      </w:r>
      <w:r>
        <w:rPr>
          <w:rFonts w:ascii="Cambria Math" w:hAnsi="Cambria Math" w:eastAsia="Cambria Math"/>
          <w:spacing w:val="-17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𝛾</w:t>
      </w:r>
      <w:r>
        <w:rPr>
          <w:rFonts w:ascii="Cambria Math" w:hAnsi="Cambria Math" w:eastAsia="Cambria Math"/>
          <w:w w:val="110"/>
          <w:vertAlign w:val="subscript"/>
        </w:rPr>
        <w:t>2</w:t>
      </w:r>
      <w:r>
        <w:rPr>
          <w:rFonts w:ascii="Cambria Math" w:hAnsi="Cambria Math" w:eastAsia="Cambria Math"/>
          <w:spacing w:val="-9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𝐺𝐼𝑁</w:t>
      </w:r>
      <w:r>
        <w:rPr>
          <w:rFonts w:ascii="Cambria Math" w:hAnsi="Cambria Math" w:eastAsia="Cambria Math"/>
          <w:w w:val="110"/>
          <w:vertAlign w:val="subscript"/>
        </w:rPr>
        <w:t>𝑖𝑡</w:t>
      </w:r>
      <w:r>
        <w:rPr>
          <w:rFonts w:ascii="Cambria Math" w:hAnsi="Cambria Math" w:eastAsia="Cambria Math"/>
          <w:spacing w:val="10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+</w:t>
      </w:r>
      <w:r>
        <w:rPr>
          <w:rFonts w:ascii="Cambria Math" w:hAnsi="Cambria Math" w:eastAsia="Cambria Math"/>
          <w:spacing w:val="-2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𝜀</w:t>
      </w:r>
      <w:r>
        <w:rPr>
          <w:rFonts w:ascii="Cambria Math" w:hAnsi="Cambria Math" w:eastAsia="Cambria Math"/>
          <w:w w:val="110"/>
          <w:vertAlign w:val="subscript"/>
        </w:rPr>
        <w:t>ℎ𝑡</w:t>
      </w:r>
      <w:r>
        <w:rPr>
          <w:rFonts w:ascii="Cambria Math" w:hAnsi="Cambria Math" w:eastAsia="Cambria Math"/>
          <w:w w:val="110"/>
          <w:vertAlign w:val="baseline"/>
        </w:rPr>
        <w:t>(4.11)</w:t>
      </w:r>
    </w:p>
    <w:p>
      <w:pPr>
        <w:tabs>
          <w:tab w:pos="4396" w:val="left" w:leader="none"/>
        </w:tabs>
        <w:spacing w:before="93"/>
        <w:ind w:left="300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  <w:tab/>
        <w:t>𝑖=1</w:t>
      </w:r>
    </w:p>
    <w:p>
      <w:pPr>
        <w:pStyle w:val="BodyText"/>
        <w:spacing w:before="9"/>
        <w:rPr>
          <w:rFonts w:ascii="Cambria Math"/>
          <w:sz w:val="12"/>
        </w:rPr>
      </w:pPr>
    </w:p>
    <w:p>
      <w:pPr>
        <w:pStyle w:val="BodyText"/>
        <w:spacing w:line="362" w:lineRule="auto" w:before="86"/>
        <w:ind w:left="100" w:right="4638"/>
      </w:pPr>
      <w:r>
        <w:rPr/>
        <w:t>where the symbol </w:t>
      </w:r>
      <w:r>
        <w:rPr>
          <w:rFonts w:ascii="Cambria Math" w:eastAsia="Cambria Math"/>
        </w:rPr>
        <w:t>𝑖 </w:t>
      </w:r>
      <w:r>
        <w:rPr/>
        <w:t>is called the summation index.</w:t>
      </w:r>
      <w:r>
        <w:rPr>
          <w:spacing w:val="-57"/>
        </w:rPr>
        <w:t> </w:t>
      </w:r>
      <w:r>
        <w:rPr/>
        <w:t>FAS</w:t>
      </w:r>
      <w:r>
        <w:rPr>
          <w:spacing w:val="-1"/>
        </w:rPr>
        <w:t> </w:t>
      </w:r>
      <w:r>
        <w:rPr/>
        <w:t>represent family</w:t>
      </w:r>
      <w:r>
        <w:rPr>
          <w:spacing w:val="-5"/>
        </w:rPr>
        <w:t> </w:t>
      </w:r>
      <w:r>
        <w:rPr/>
        <w:t>size,</w:t>
      </w:r>
    </w:p>
    <w:p>
      <w:pPr>
        <w:pStyle w:val="BodyText"/>
        <w:spacing w:line="360" w:lineRule="auto"/>
        <w:ind w:left="100" w:right="6384"/>
      </w:pPr>
      <w:r>
        <w:rPr/>
        <w:t>DIET is food, diet and calories,</w:t>
      </w:r>
      <w:r>
        <w:rPr>
          <w:spacing w:val="1"/>
        </w:rPr>
        <w:t> </w:t>
      </w:r>
      <w:r>
        <w:rPr/>
        <w:t>EDU</w:t>
      </w:r>
      <w:r>
        <w:rPr>
          <w:spacing w:val="-6"/>
        </w:rPr>
        <w:t> </w:t>
      </w:r>
      <w:r>
        <w:rPr/>
        <w:t>denotes</w:t>
      </w:r>
      <w:r>
        <w:rPr>
          <w:spacing w:val="-6"/>
        </w:rPr>
        <w:t> </w:t>
      </w:r>
      <w:r>
        <w:rPr/>
        <w:t>highest</w:t>
      </w:r>
      <w:r>
        <w:rPr>
          <w:spacing w:val="-5"/>
        </w:rPr>
        <w:t> </w:t>
      </w:r>
      <w:r>
        <w:rPr/>
        <w:t>education,</w:t>
      </w:r>
    </w:p>
    <w:p>
      <w:pPr>
        <w:pStyle w:val="BodyText"/>
        <w:spacing w:line="360" w:lineRule="auto"/>
        <w:ind w:left="100" w:right="5574"/>
      </w:pPr>
      <w:r>
        <w:rPr/>
        <w:t>MNP indicates mosquito net possession,</w:t>
      </w:r>
      <w:r>
        <w:rPr>
          <w:spacing w:val="-57"/>
        </w:rPr>
        <w:t> </w:t>
      </w:r>
      <w:r>
        <w:rPr/>
        <w:t>ATE represent access to electricity,</w:t>
      </w:r>
      <w:r>
        <w:rPr>
          <w:spacing w:val="1"/>
        </w:rPr>
        <w:t> </w:t>
      </w:r>
      <w:r>
        <w:rPr/>
        <w:t>DWA is the drinkable water access,</w:t>
      </w:r>
      <w:r>
        <w:rPr>
          <w:spacing w:val="1"/>
        </w:rPr>
        <w:t> </w:t>
      </w:r>
      <w:r>
        <w:rPr/>
        <w:t>TOL</w:t>
      </w:r>
      <w:r>
        <w:rPr>
          <w:spacing w:val="-6"/>
        </w:rPr>
        <w:t> </w:t>
      </w:r>
      <w:r>
        <w:rPr/>
        <w:t>denotes toilet and sanitation,</w:t>
      </w:r>
    </w:p>
    <w:p>
      <w:pPr>
        <w:pStyle w:val="BodyText"/>
        <w:spacing w:line="274" w:lineRule="exact"/>
        <w:ind w:left="100"/>
      </w:pPr>
      <w:r>
        <w:rPr/>
        <w:t>UHL</w:t>
      </w:r>
      <w:r>
        <w:rPr>
          <w:spacing w:val="-4"/>
        </w:rPr>
        <w:t> </w:t>
      </w:r>
      <w:r>
        <w:rPr/>
        <w:t>is unhealthy</w:t>
      </w:r>
      <w:r>
        <w:rPr>
          <w:spacing w:val="-5"/>
        </w:rPr>
        <w:t> </w:t>
      </w:r>
      <w:r>
        <w:rPr/>
        <w:t>lifestyle,</w:t>
      </w:r>
    </w:p>
    <w:p>
      <w:pPr>
        <w:pStyle w:val="BodyText"/>
        <w:spacing w:line="360" w:lineRule="auto" w:before="137"/>
        <w:ind w:left="100" w:right="5680"/>
      </w:pPr>
      <w:r>
        <w:rPr/>
        <w:t>HSB</w:t>
      </w:r>
      <w:r>
        <w:rPr>
          <w:spacing w:val="-7"/>
        </w:rPr>
        <w:t> </w:t>
      </w:r>
      <w:r>
        <w:rPr/>
        <w:t>indicates</w:t>
      </w:r>
      <w:r>
        <w:rPr>
          <w:spacing w:val="-5"/>
        </w:rPr>
        <w:t> </w:t>
      </w:r>
      <w:r>
        <w:rPr/>
        <w:t>health-seeking</w:t>
      </w:r>
      <w:r>
        <w:rPr>
          <w:spacing w:val="-7"/>
        </w:rPr>
        <w:t> </w:t>
      </w:r>
      <w:r>
        <w:rPr/>
        <w:t>behavior,</w:t>
      </w:r>
      <w:r>
        <w:rPr>
          <w:spacing w:val="-57"/>
        </w:rPr>
        <w:t> </w:t>
      </w:r>
      <w:r>
        <w:rPr/>
        <w:t>Y</w:t>
      </w:r>
      <w:r>
        <w:rPr>
          <w:spacing w:val="-2"/>
        </w:rPr>
        <w:t> </w:t>
      </w:r>
      <w:r>
        <w:rPr/>
        <w:t>is households’ incomes,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ind w:left="100"/>
      </w:pPr>
      <w:r>
        <w:rPr/>
        <w:t>GIN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Gini-coefficient (see</w:t>
      </w:r>
      <w:r>
        <w:rPr>
          <w:spacing w:val="-2"/>
        </w:rPr>
        <w:t> </w:t>
      </w:r>
      <w:r>
        <w:rPr/>
        <w:t>Table A1for</w:t>
      </w:r>
      <w:r>
        <w:rPr>
          <w:spacing w:val="-1"/>
        </w:rPr>
        <w:t> </w:t>
      </w:r>
      <w:r>
        <w:rPr/>
        <w:t>details).</w:t>
      </w:r>
    </w:p>
    <w:p>
      <w:pPr>
        <w:spacing w:after="0"/>
        <w:sectPr>
          <w:type w:val="continuous"/>
          <w:pgSz w:w="12240" w:h="15840"/>
          <w:pgMar w:top="1380" w:bottom="280" w:left="1340" w:right="1320"/>
        </w:sectPr>
      </w:pPr>
    </w:p>
    <w:p>
      <w:pPr>
        <w:pStyle w:val="Heading4"/>
        <w:tabs>
          <w:tab w:pos="1540" w:val="left" w:leader="none"/>
        </w:tabs>
        <w:spacing w:before="79"/>
        <w:ind w:left="100"/>
        <w:jc w:val="left"/>
      </w:pPr>
      <w:r>
        <w:rPr/>
        <w:t>Table</w:t>
      </w:r>
      <w:r>
        <w:rPr>
          <w:spacing w:val="-1"/>
        </w:rPr>
        <w:t> </w:t>
      </w:r>
      <w:r>
        <w:rPr/>
        <w:t>4.1:</w:t>
        <w:tab/>
        <w:t>A-priori</w:t>
      </w:r>
      <w:r>
        <w:rPr>
          <w:spacing w:val="-1"/>
        </w:rPr>
        <w:t> </w:t>
      </w:r>
      <w:r>
        <w:rPr/>
        <w:t>Expectations</w:t>
      </w:r>
      <w:r>
        <w:rPr>
          <w:spacing w:val="-2"/>
        </w:rPr>
        <w:t> </w:t>
      </w:r>
      <w:r>
        <w:rPr/>
        <w:t>(Income</w:t>
      </w:r>
      <w:r>
        <w:rPr>
          <w:spacing w:val="-2"/>
        </w:rPr>
        <w:t> </w:t>
      </w:r>
      <w:r>
        <w:rPr/>
        <w:t>Inequality-Health</w:t>
      </w:r>
      <w:r>
        <w:rPr>
          <w:spacing w:val="-2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Links)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924"/>
        <w:gridCol w:w="6744"/>
      </w:tblGrid>
      <w:tr>
        <w:trPr>
          <w:trHeight w:val="302" w:hRule="atLeast"/>
        </w:trPr>
        <w:tc>
          <w:tcPr>
            <w:tcW w:w="1682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COEFF.</w:t>
            </w:r>
          </w:p>
        </w:tc>
        <w:tc>
          <w:tcPr>
            <w:tcW w:w="924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</w:t>
            </w:r>
          </w:p>
        </w:tc>
        <w:tc>
          <w:tcPr>
            <w:tcW w:w="6744" w:type="dxa"/>
          </w:tcPr>
          <w:p>
            <w:pPr>
              <w:pStyle w:val="TableParagraph"/>
              <w:spacing w:line="270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WHY?</w:t>
            </w:r>
          </w:p>
        </w:tc>
      </w:tr>
      <w:tr>
        <w:trPr>
          <w:trHeight w:val="299" w:hRule="atLeast"/>
        </w:trPr>
        <w:tc>
          <w:tcPr>
            <w:tcW w:w="2606" w:type="dxa"/>
            <w:gridSpan w:val="2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DIRECT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EFFECT:</w:t>
            </w:r>
          </w:p>
        </w:tc>
        <w:tc>
          <w:tcPr>
            <w:tcW w:w="674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68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Income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Inequality</w:t>
            </w:r>
          </w:p>
        </w:tc>
        <w:tc>
          <w:tcPr>
            <w:tcW w:w="924" w:type="dxa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6744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Income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inequality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rises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stress,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frustration,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insecurity,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fear,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shock</w:t>
            </w:r>
          </w:p>
          <w:p>
            <w:pPr>
              <w:pStyle w:val="TableParagraph"/>
              <w:spacing w:line="26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frequent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illness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(Wilkinson,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1992,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1994)</w:t>
            </w:r>
          </w:p>
        </w:tc>
      </w:tr>
      <w:tr>
        <w:trPr>
          <w:trHeight w:val="299" w:hRule="atLeast"/>
        </w:trPr>
        <w:tc>
          <w:tcPr>
            <w:tcW w:w="2606" w:type="dxa"/>
            <w:gridSpan w:val="2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INDIRECT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EFFECT:</w:t>
            </w:r>
          </w:p>
        </w:tc>
        <w:tc>
          <w:tcPr>
            <w:tcW w:w="674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68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Family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</w:p>
        </w:tc>
        <w:tc>
          <w:tcPr>
            <w:tcW w:w="924" w:type="dxa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6744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reduces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resources,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wealth 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incomes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illness</w:t>
            </w:r>
          </w:p>
          <w:p>
            <w:pPr>
              <w:pStyle w:val="TableParagraph"/>
              <w:spacing w:line="26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(Lewis,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1973)</w:t>
            </w:r>
          </w:p>
        </w:tc>
      </w:tr>
      <w:tr>
        <w:trPr>
          <w:trHeight w:val="551" w:hRule="atLeast"/>
        </w:trPr>
        <w:tc>
          <w:tcPr>
            <w:tcW w:w="168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Hunger</w:t>
            </w:r>
          </w:p>
        </w:tc>
        <w:tc>
          <w:tcPr>
            <w:tcW w:w="924" w:type="dxa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6744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Nutritional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Deficiency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↑Ill-health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(Food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Research and</w:t>
            </w:r>
          </w:p>
          <w:p>
            <w:pPr>
              <w:pStyle w:val="TableParagraph"/>
              <w:spacing w:line="26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Action,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2018)</w:t>
            </w:r>
          </w:p>
        </w:tc>
      </w:tr>
      <w:tr>
        <w:trPr>
          <w:trHeight w:val="554" w:hRule="atLeast"/>
        </w:trPr>
        <w:tc>
          <w:tcPr>
            <w:tcW w:w="1682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Food</w:t>
            </w:r>
          </w:p>
        </w:tc>
        <w:tc>
          <w:tcPr>
            <w:tcW w:w="924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6744" w:type="dxa"/>
          </w:tcPr>
          <w:p>
            <w:pPr>
              <w:pStyle w:val="TableParagraph"/>
              <w:spacing w:line="270" w:lineRule="exact"/>
              <w:ind w:left="10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Access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healthy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diets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rising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↓ Illness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(Food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Research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Action,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2018)</w:t>
            </w:r>
          </w:p>
        </w:tc>
      </w:tr>
      <w:tr>
        <w:trPr>
          <w:trHeight w:val="551" w:hRule="atLeast"/>
        </w:trPr>
        <w:tc>
          <w:tcPr>
            <w:tcW w:w="168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Education</w:t>
            </w:r>
          </w:p>
        </w:tc>
        <w:tc>
          <w:tcPr>
            <w:tcW w:w="924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6744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Education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↑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Employment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Income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↑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Healthy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goods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services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↓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Illness (Liu,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2017)</w:t>
            </w:r>
          </w:p>
        </w:tc>
      </w:tr>
      <w:tr>
        <w:trPr>
          <w:trHeight w:val="551" w:hRule="atLeast"/>
        </w:trPr>
        <w:tc>
          <w:tcPr>
            <w:tcW w:w="168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Electricity</w:t>
            </w:r>
          </w:p>
        </w:tc>
        <w:tc>
          <w:tcPr>
            <w:tcW w:w="924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6744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Access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 Electricity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↓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Daily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stress,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anxiety, depression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↓</w:t>
            </w:r>
          </w:p>
          <w:p>
            <w:pPr>
              <w:pStyle w:val="TableParagraph"/>
              <w:spacing w:line="26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Illness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(Abokyi,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2018)</w:t>
            </w:r>
          </w:p>
        </w:tc>
      </w:tr>
      <w:tr>
        <w:trPr>
          <w:trHeight w:val="299" w:hRule="atLeast"/>
        </w:trPr>
        <w:tc>
          <w:tcPr>
            <w:tcW w:w="168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Water</w:t>
            </w:r>
          </w:p>
        </w:tc>
        <w:tc>
          <w:tcPr>
            <w:tcW w:w="924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6744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Safe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Water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↓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Infectious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Diseases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 ↓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Illness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(Ribeiro,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2018)</w:t>
            </w:r>
          </w:p>
        </w:tc>
      </w:tr>
      <w:tr>
        <w:trPr>
          <w:trHeight w:val="551" w:hRule="atLeast"/>
        </w:trPr>
        <w:tc>
          <w:tcPr>
            <w:tcW w:w="168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Toilet &amp;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Sanitation</w:t>
            </w:r>
          </w:p>
        </w:tc>
        <w:tc>
          <w:tcPr>
            <w:tcW w:w="924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6744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Quality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toilet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 ↓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Infectious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Diseases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 ↓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Illness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(Grossman,</w:t>
            </w:r>
          </w:p>
          <w:p>
            <w:pPr>
              <w:pStyle w:val="TableParagraph"/>
              <w:spacing w:line="26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1972 &amp;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2017)</w:t>
            </w:r>
          </w:p>
        </w:tc>
      </w:tr>
      <w:tr>
        <w:trPr>
          <w:trHeight w:val="551" w:hRule="atLeast"/>
        </w:trPr>
        <w:tc>
          <w:tcPr>
            <w:tcW w:w="168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Unhealthy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Lifestyle</w:t>
            </w:r>
          </w:p>
        </w:tc>
        <w:tc>
          <w:tcPr>
            <w:tcW w:w="924" w:type="dxa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6744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↑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Unhealthy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lifestyle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(Alcoholic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consumption)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↓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Illness</w:t>
            </w:r>
          </w:p>
          <w:p>
            <w:pPr>
              <w:pStyle w:val="TableParagraph"/>
              <w:spacing w:line="26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(Macinko,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2003)</w:t>
            </w:r>
          </w:p>
        </w:tc>
      </w:tr>
      <w:tr>
        <w:trPr>
          <w:trHeight w:val="554" w:hRule="atLeast"/>
        </w:trPr>
        <w:tc>
          <w:tcPr>
            <w:tcW w:w="168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Incomes</w:t>
            </w:r>
          </w:p>
        </w:tc>
        <w:tc>
          <w:tcPr>
            <w:tcW w:w="924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6744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 rising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II,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↑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Employment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and Income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↑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Healthy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goods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and</w:t>
            </w:r>
          </w:p>
          <w:p>
            <w:pPr>
              <w:pStyle w:val="TableParagraph"/>
              <w:spacing w:line="266" w:lineRule="exact"/>
              <w:ind w:left="10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services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→ ↓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Illness (Grossman,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2017)</w:t>
            </w:r>
          </w:p>
        </w:tc>
      </w:tr>
    </w:tbl>
    <w:p>
      <w:pPr>
        <w:pStyle w:val="BodyText"/>
        <w:ind w:left="100"/>
      </w:pPr>
      <w:r>
        <w:rPr>
          <w:i/>
        </w:rPr>
        <w:t>Source:</w:t>
      </w:r>
      <w:r>
        <w:rPr>
          <w:i/>
          <w:spacing w:val="-1"/>
        </w:rPr>
        <w:t> </w:t>
      </w:r>
      <w:r>
        <w:rPr/>
        <w:t>Insights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theories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empirics</w:t>
      </w:r>
    </w:p>
    <w:p>
      <w:pPr>
        <w:pStyle w:val="BodyText"/>
        <w:spacing w:before="5"/>
        <w:rPr>
          <w:sz w:val="35"/>
        </w:rPr>
      </w:pPr>
    </w:p>
    <w:p>
      <w:pPr>
        <w:pStyle w:val="Heading4"/>
        <w:spacing w:before="1"/>
        <w:ind w:left="100"/>
        <w:jc w:val="left"/>
      </w:pPr>
      <w:r>
        <w:rPr/>
        <w:t>Hypothesis</w:t>
      </w:r>
      <w:r>
        <w:rPr>
          <w:spacing w:val="-1"/>
        </w:rPr>
        <w:t> </w:t>
      </w:r>
      <w:r>
        <w:rPr/>
        <w:t>2</w:t>
      </w:r>
      <w:r>
        <w:rPr>
          <w:spacing w:val="-10"/>
        </w:rPr>
        <w:t> </w:t>
      </w:r>
      <w:r>
        <w:rPr>
          <w:rFonts w:ascii="Cambria Math" w:eastAsia="Cambria Math"/>
          <w:b w:val="0"/>
        </w:rPr>
        <w:t>(𝐇</w:t>
      </w:r>
      <w:r>
        <w:rPr>
          <w:rFonts w:ascii="Cambria Math" w:eastAsia="Cambria Math"/>
          <w:b w:val="0"/>
          <w:vertAlign w:val="subscript"/>
        </w:rPr>
        <w:t>𝐨</w:t>
      </w:r>
      <w:r>
        <w:rPr>
          <w:rFonts w:ascii="Cambria Math" w:eastAsia="Cambria Math"/>
          <w:b w:val="0"/>
          <w:vertAlign w:val="baseline"/>
        </w:rPr>
        <w:t>)</w:t>
      </w:r>
      <w:r>
        <w:rPr>
          <w:vertAlign w:val="baseline"/>
        </w:rPr>
        <w:t>: Rising income</w:t>
      </w:r>
      <w:r>
        <w:rPr>
          <w:spacing w:val="-1"/>
          <w:vertAlign w:val="baseline"/>
        </w:rPr>
        <w:t> </w:t>
      </w:r>
      <w:r>
        <w:rPr>
          <w:vertAlign w:val="baseline"/>
        </w:rPr>
        <w:t>inequality is not detrimental to health-seeking behavior</w:t>
      </w:r>
    </w:p>
    <w:p>
      <w:pPr>
        <w:pStyle w:val="Heading5"/>
        <w:spacing w:before="260"/>
        <w:ind w:left="100" w:firstLine="0"/>
      </w:pPr>
      <w:r>
        <w:rPr/>
        <w:t>Dependent</w:t>
      </w:r>
      <w:r>
        <w:rPr>
          <w:spacing w:val="-2"/>
        </w:rPr>
        <w:t> </w:t>
      </w:r>
      <w:r>
        <w:rPr/>
        <w:t>Variable</w:t>
      </w:r>
    </w:p>
    <w:p>
      <w:pPr>
        <w:pStyle w:val="BodyText"/>
        <w:spacing w:line="360" w:lineRule="auto" w:before="132"/>
        <w:ind w:left="100" w:right="112"/>
        <w:jc w:val="both"/>
      </w:pPr>
      <w:r>
        <w:rPr/>
        <w:t>Health-seeking behavior is any action undertake by people who perceive themselves to have poor</w:t>
      </w:r>
      <w:r>
        <w:rPr>
          <w:spacing w:val="-57"/>
        </w:rPr>
        <w:t> </w:t>
      </w:r>
      <w:r>
        <w:rPr/>
        <w:t>health</w:t>
      </w:r>
      <w:r>
        <w:rPr>
          <w:spacing w:val="-11"/>
        </w:rPr>
        <w:t> </w:t>
      </w:r>
      <w:r>
        <w:rPr/>
        <w:t>outcomes</w:t>
      </w:r>
      <w:r>
        <w:rPr>
          <w:spacing w:val="-11"/>
        </w:rPr>
        <w:t> </w:t>
      </w:r>
      <w:r>
        <w:rPr/>
        <w:t>or</w:t>
      </w:r>
      <w:r>
        <w:rPr>
          <w:spacing w:val="-10"/>
        </w:rPr>
        <w:t> </w:t>
      </w:r>
      <w:r>
        <w:rPr/>
        <w:t>health</w:t>
      </w:r>
      <w:r>
        <w:rPr>
          <w:spacing w:val="-10"/>
        </w:rPr>
        <w:t> </w:t>
      </w:r>
      <w:r>
        <w:rPr/>
        <w:t>challenges,</w:t>
      </w:r>
      <w:r>
        <w:rPr>
          <w:spacing w:val="-9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purpose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finding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appropriate</w:t>
      </w:r>
      <w:r>
        <w:rPr>
          <w:spacing w:val="-11"/>
        </w:rPr>
        <w:t> </w:t>
      </w:r>
      <w:r>
        <w:rPr/>
        <w:t>remedy.</w:t>
      </w:r>
      <w:r>
        <w:rPr>
          <w:spacing w:val="-6"/>
        </w:rPr>
        <w:t> </w:t>
      </w:r>
      <w:r>
        <w:rPr/>
        <w:t>Therefore,</w:t>
      </w:r>
      <w:r>
        <w:rPr>
          <w:spacing w:val="-58"/>
        </w:rPr>
        <w:t> </w:t>
      </w:r>
      <w:r>
        <w:rPr/>
        <w:t>the thesis relies on the medical-care consultation as utilized by households in times of their ill-</w:t>
      </w:r>
      <w:r>
        <w:rPr>
          <w:spacing w:val="1"/>
        </w:rPr>
        <w:t> </w:t>
      </w:r>
      <w:r>
        <w:rPr/>
        <w:t>health.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was</w:t>
      </w:r>
      <w:r>
        <w:rPr>
          <w:spacing w:val="-1"/>
        </w:rPr>
        <w:t> </w:t>
      </w:r>
      <w:r>
        <w:rPr/>
        <w:t>guided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previous</w:t>
      </w:r>
      <w:r>
        <w:rPr>
          <w:spacing w:val="-6"/>
        </w:rPr>
        <w:t> </w:t>
      </w:r>
      <w:r>
        <w:rPr/>
        <w:t>studies</w:t>
      </w:r>
      <w:r>
        <w:rPr>
          <w:spacing w:val="-3"/>
        </w:rPr>
        <w:t> </w:t>
      </w:r>
      <w:r>
        <w:rPr/>
        <w:t>(see</w:t>
      </w:r>
      <w:r>
        <w:rPr>
          <w:spacing w:val="-7"/>
        </w:rPr>
        <w:t> </w:t>
      </w:r>
      <w:r>
        <w:rPr/>
        <w:t>Rozi,</w:t>
      </w:r>
      <w:r>
        <w:rPr>
          <w:spacing w:val="-6"/>
        </w:rPr>
        <w:t> </w:t>
      </w:r>
      <w:r>
        <w:rPr/>
        <w:t>Mahmud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Lancaster,</w:t>
      </w:r>
      <w:r>
        <w:rPr>
          <w:spacing w:val="-6"/>
        </w:rPr>
        <w:t> </w:t>
      </w:r>
      <w:r>
        <w:rPr/>
        <w:t>2017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Pakistan;</w:t>
      </w:r>
      <w:r>
        <w:rPr>
          <w:spacing w:val="-58"/>
        </w:rPr>
        <w:t> </w:t>
      </w:r>
      <w:r>
        <w:rPr/>
        <w:t>Rochelle,</w:t>
      </w:r>
      <w:r>
        <w:rPr>
          <w:spacing w:val="-1"/>
        </w:rPr>
        <w:t> </w:t>
      </w:r>
      <w:r>
        <w:rPr/>
        <w:t>2019 for China).</w:t>
      </w:r>
    </w:p>
    <w:p>
      <w:pPr>
        <w:spacing w:line="360" w:lineRule="auto" w:before="117"/>
        <w:ind w:left="100" w:right="116" w:firstLine="0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question: </w:t>
      </w:r>
      <w:r>
        <w:rPr>
          <w:i/>
          <w:sz w:val="24"/>
        </w:rPr>
        <w:t>‘during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weeks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have you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consulted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workers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healer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patent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vendor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visited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Centre?’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responds</w:t>
      </w:r>
      <w:r>
        <w:rPr>
          <w:spacing w:val="-5"/>
          <w:sz w:val="24"/>
        </w:rPr>
        <w:t> </w:t>
      </w:r>
      <w:r>
        <w:rPr>
          <w:sz w:val="24"/>
        </w:rPr>
        <w:t>were</w:t>
      </w:r>
      <w:r>
        <w:rPr>
          <w:spacing w:val="-5"/>
          <w:sz w:val="24"/>
        </w:rPr>
        <w:t> </w:t>
      </w:r>
      <w:r>
        <w:rPr>
          <w:sz w:val="24"/>
        </w:rPr>
        <w:t>‘Yes’</w:t>
      </w:r>
      <w:r>
        <w:rPr>
          <w:spacing w:val="-57"/>
          <w:sz w:val="24"/>
        </w:rPr>
        <w:t> </w:t>
      </w:r>
      <w:r>
        <w:rPr>
          <w:sz w:val="24"/>
        </w:rPr>
        <w:t>and ‘No’ (NBS, 2019). Those households that visited orthodox health facilities and hospital had</w:t>
      </w:r>
      <w:r>
        <w:rPr>
          <w:spacing w:val="1"/>
          <w:sz w:val="24"/>
        </w:rPr>
        <w:t> </w:t>
      </w:r>
      <w:r>
        <w:rPr>
          <w:sz w:val="24"/>
        </w:rPr>
        <w:t>appropriate HSB. But those who visited pharmacies, spiritualists and traditionalist for health</w:t>
      </w:r>
      <w:r>
        <w:rPr>
          <w:spacing w:val="1"/>
          <w:sz w:val="24"/>
        </w:rPr>
        <w:t> </w:t>
      </w:r>
      <w:r>
        <w:rPr>
          <w:sz w:val="24"/>
        </w:rPr>
        <w:t>issues, had inappropriate health-seeking behaviour (See Senbeto </w:t>
      </w:r>
      <w:r>
        <w:rPr>
          <w:i/>
          <w:sz w:val="24"/>
        </w:rPr>
        <w:t>et al., </w:t>
      </w:r>
      <w:r>
        <w:rPr>
          <w:sz w:val="24"/>
        </w:rPr>
        <w:t>2013; Evans </w:t>
      </w:r>
      <w:r>
        <w:rPr>
          <w:i/>
          <w:sz w:val="24"/>
        </w:rPr>
        <w:t>et al. </w:t>
      </w:r>
      <w:r>
        <w:rPr>
          <w:sz w:val="24"/>
        </w:rPr>
        <w:t>2017;</w:t>
      </w:r>
      <w:r>
        <w:rPr>
          <w:spacing w:val="1"/>
          <w:sz w:val="24"/>
        </w:rPr>
        <w:t> </w:t>
      </w:r>
      <w:r>
        <w:rPr>
          <w:sz w:val="24"/>
        </w:rPr>
        <w:t>Novignon</w:t>
      </w:r>
      <w:r>
        <w:rPr>
          <w:spacing w:val="-2"/>
          <w:sz w:val="24"/>
        </w:rPr>
        <w:t> </w:t>
      </w:r>
      <w:r>
        <w:rPr>
          <w:i/>
          <w:sz w:val="24"/>
        </w:rPr>
        <w:t>et al. </w:t>
      </w:r>
      <w:r>
        <w:rPr>
          <w:sz w:val="24"/>
        </w:rPr>
        <w:t>2017).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1340" w:right="1320"/>
        </w:sectPr>
      </w:pPr>
    </w:p>
    <w:p>
      <w:pPr>
        <w:pStyle w:val="Heading5"/>
        <w:spacing w:before="79"/>
        <w:ind w:left="100" w:firstLine="0"/>
      </w:pPr>
      <w:r>
        <w:rPr/>
        <w:t>Explanatory</w:t>
      </w:r>
      <w:r>
        <w:rPr>
          <w:spacing w:val="-2"/>
        </w:rPr>
        <w:t> </w:t>
      </w:r>
      <w:r>
        <w:rPr/>
        <w:t>Variables:</w:t>
      </w:r>
    </w:p>
    <w:p>
      <w:pPr>
        <w:pStyle w:val="BodyText"/>
        <w:spacing w:line="360" w:lineRule="auto" w:before="131"/>
        <w:ind w:left="100" w:right="115"/>
        <w:jc w:val="both"/>
      </w:pPr>
      <w:r>
        <w:rPr/>
        <w:t>Household’s characteristics </w:t>
      </w:r>
      <w:r>
        <w:rPr>
          <w:rFonts w:ascii="Cambria Math" w:hAnsi="Cambria Math" w:eastAsia="Cambria Math"/>
        </w:rPr>
        <w:t>(𝑋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are likely to influence the type of healthcare services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household’s members seek. These factors from the demand-side includes: family size, level of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education, gender, marital status, and household’s area of residence. The second is </w:t>
      </w:r>
      <w:r>
        <w:rPr>
          <w:rFonts w:ascii="Cambria Math" w:hAnsi="Cambria Math" w:eastAsia="Cambria Math"/>
          <w:vertAlign w:val="baseline"/>
        </w:rPr>
        <w:t>(𝑌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)</w:t>
      </w:r>
      <w:r>
        <w:rPr>
          <w:vertAlign w:val="baseline"/>
        </w:rPr>
        <w:t>, their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level</w:t>
      </w:r>
      <w:r>
        <w:rPr>
          <w:spacing w:val="-14"/>
          <w:vertAlign w:val="baseline"/>
        </w:rPr>
        <w:t> </w:t>
      </w:r>
      <w:r>
        <w:rPr>
          <w:vertAlign w:val="baseline"/>
        </w:rPr>
        <w:t>of</w:t>
      </w:r>
      <w:r>
        <w:rPr>
          <w:spacing w:val="-16"/>
          <w:vertAlign w:val="baseline"/>
        </w:rPr>
        <w:t> </w:t>
      </w:r>
      <w:r>
        <w:rPr>
          <w:vertAlign w:val="baseline"/>
        </w:rPr>
        <w:t>incomes</w:t>
      </w:r>
      <w:r>
        <w:rPr>
          <w:spacing w:val="-15"/>
          <w:vertAlign w:val="baseline"/>
        </w:rPr>
        <w:t> </w:t>
      </w:r>
      <w:r>
        <w:rPr>
          <w:vertAlign w:val="baseline"/>
        </w:rPr>
        <w:t>from</w:t>
      </w:r>
      <w:r>
        <w:rPr>
          <w:spacing w:val="-12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-13"/>
          <w:vertAlign w:val="baseline"/>
        </w:rPr>
        <w:t> </w:t>
      </w:r>
      <w:r>
        <w:rPr>
          <w:vertAlign w:val="baseline"/>
        </w:rPr>
        <w:t>sources.</w:t>
      </w:r>
      <w:r>
        <w:rPr>
          <w:spacing w:val="-15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6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15"/>
          <w:vertAlign w:val="baseline"/>
        </w:rPr>
        <w:t> </w:t>
      </w:r>
      <w:r>
        <w:rPr>
          <w:vertAlign w:val="baseline"/>
        </w:rPr>
        <w:t>inequality</w:t>
      </w:r>
      <w:r>
        <w:rPr>
          <w:spacing w:val="-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(𝑍)</w:t>
      </w:r>
      <w:r>
        <w:rPr>
          <w:vertAlign w:val="baseline"/>
        </w:rPr>
        <w:t>,</w:t>
      </w:r>
      <w:r>
        <w:rPr>
          <w:spacing w:val="-14"/>
          <w:vertAlign w:val="baseline"/>
        </w:rPr>
        <w:t> </w:t>
      </w:r>
      <w:r>
        <w:rPr>
          <w:vertAlign w:val="baseline"/>
        </w:rPr>
        <w:t>could</w:t>
      </w:r>
      <w:r>
        <w:rPr>
          <w:spacing w:val="-12"/>
          <w:vertAlign w:val="baseline"/>
        </w:rPr>
        <w:t> </w:t>
      </w:r>
      <w:r>
        <w:rPr>
          <w:vertAlign w:val="baseline"/>
        </w:rPr>
        <w:t>result</w:t>
      </w:r>
      <w:r>
        <w:rPr>
          <w:spacing w:val="-14"/>
          <w:vertAlign w:val="baseline"/>
        </w:rPr>
        <w:t> </w:t>
      </w:r>
      <w:r>
        <w:rPr>
          <w:vertAlign w:val="baseline"/>
        </w:rPr>
        <w:t>to</w:t>
      </w:r>
      <w:r>
        <w:rPr>
          <w:spacing w:val="-14"/>
          <w:vertAlign w:val="baseline"/>
        </w:rPr>
        <w:t> </w:t>
      </w:r>
      <w:r>
        <w:rPr>
          <w:vertAlign w:val="baseline"/>
        </w:rPr>
        <w:t>both</w:t>
      </w:r>
      <w:r>
        <w:rPr>
          <w:spacing w:val="-14"/>
          <w:vertAlign w:val="baseline"/>
        </w:rPr>
        <w:t> </w:t>
      </w:r>
      <w:r>
        <w:rPr>
          <w:vertAlign w:val="baseline"/>
        </w:rPr>
        <w:t>‘political-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opportunity-captures’ that</w:t>
      </w:r>
      <w:r>
        <w:rPr>
          <w:spacing w:val="-1"/>
          <w:vertAlign w:val="baseline"/>
        </w:rPr>
        <w:t> </w:t>
      </w:r>
      <w:r>
        <w:rPr>
          <w:vertAlign w:val="baseline"/>
        </w:rPr>
        <w:t>affects HSB</w:t>
      </w:r>
      <w:r>
        <w:rPr>
          <w:spacing w:val="-1"/>
          <w:vertAlign w:val="baseline"/>
        </w:rPr>
        <w:t> </w:t>
      </w:r>
      <w:r>
        <w:rPr>
          <w:vertAlign w:val="baseline"/>
        </w:rPr>
        <w:t>(see</w:t>
      </w:r>
      <w:r>
        <w:rPr>
          <w:spacing w:val="3"/>
          <w:vertAlign w:val="baseline"/>
        </w:rPr>
        <w:t> </w:t>
      </w:r>
      <w:r>
        <w:rPr>
          <w:vertAlign w:val="baseline"/>
        </w:rPr>
        <w:t>Fuentes-Nieva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Galasso, 2014:2).</w:t>
      </w:r>
    </w:p>
    <w:p>
      <w:pPr>
        <w:spacing w:before="187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Household’s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Size</w:t>
      </w:r>
    </w:p>
    <w:p>
      <w:pPr>
        <w:pStyle w:val="BodyText"/>
        <w:spacing w:line="360" w:lineRule="auto" w:before="137"/>
        <w:ind w:left="100" w:right="122"/>
        <w:jc w:val="both"/>
      </w:pPr>
      <w:r>
        <w:rPr/>
        <w:t>Intuitively, as family’s size increases, there could be more needs for timely healthcare services.</w:t>
      </w:r>
      <w:r>
        <w:rPr>
          <w:spacing w:val="1"/>
        </w:rPr>
        <w:t> </w:t>
      </w:r>
      <w:r>
        <w:rPr/>
        <w:t>Rising income inequality weakens the purchasing-power of households to meet timely health</w:t>
      </w:r>
      <w:r>
        <w:rPr>
          <w:spacing w:val="1"/>
        </w:rPr>
        <w:t> </w:t>
      </w:r>
      <w:r>
        <w:rPr/>
        <w:t>needs. The effect of large family size in the presence of rising income dispairty could results to</w:t>
      </w:r>
      <w:r>
        <w:rPr>
          <w:spacing w:val="1"/>
        </w:rPr>
        <w:t> </w:t>
      </w:r>
      <w:r>
        <w:rPr/>
        <w:t>inappropriate</w:t>
      </w:r>
      <w:r>
        <w:rPr>
          <w:spacing w:val="-1"/>
        </w:rPr>
        <w:t> </w:t>
      </w:r>
      <w:r>
        <w:rPr/>
        <w:t>HSB</w:t>
      </w:r>
      <w:r>
        <w:rPr>
          <w:spacing w:val="-2"/>
        </w:rPr>
        <w:t> </w:t>
      </w:r>
      <w:r>
        <w:rPr/>
        <w:t>(see</w:t>
      </w:r>
      <w:r>
        <w:rPr>
          <w:spacing w:val="1"/>
        </w:rPr>
        <w:t> </w:t>
      </w:r>
      <w:r>
        <w:rPr/>
        <w:t>Huang</w:t>
      </w:r>
      <w:r>
        <w:rPr>
          <w:spacing w:val="-2"/>
        </w:rPr>
        <w:t> </w:t>
      </w:r>
      <w:r>
        <w:rPr>
          <w:i/>
        </w:rPr>
        <w:t>et al. </w:t>
      </w:r>
      <w:r>
        <w:rPr/>
        <w:t>2017).</w:t>
      </w:r>
    </w:p>
    <w:p>
      <w:pPr>
        <w:spacing w:before="116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Level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Education</w:t>
      </w:r>
    </w:p>
    <w:p>
      <w:pPr>
        <w:pStyle w:val="BodyText"/>
        <w:spacing w:line="360" w:lineRule="auto" w:before="139"/>
        <w:ind w:left="100" w:right="121"/>
        <w:jc w:val="both"/>
      </w:pPr>
      <w:r>
        <w:rPr/>
        <w:t>Literacy level of household’s head is crucial to the type of healthcare services the household will</w:t>
      </w:r>
      <w:r>
        <w:rPr>
          <w:spacing w:val="1"/>
        </w:rPr>
        <w:t> </w:t>
      </w:r>
      <w:r>
        <w:rPr/>
        <w:t>demand for during ill-health issues. This means that household heads with little or no education</w:t>
      </w:r>
      <w:r>
        <w:rPr>
          <w:spacing w:val="1"/>
        </w:rPr>
        <w:t> </w:t>
      </w:r>
      <w:r>
        <w:rPr/>
        <w:t>are</w:t>
      </w:r>
      <w:r>
        <w:rPr>
          <w:spacing w:val="-6"/>
        </w:rPr>
        <w:t> </w:t>
      </w:r>
      <w:r>
        <w:rPr/>
        <w:t>likely</w:t>
      </w:r>
      <w:r>
        <w:rPr>
          <w:spacing w:val="-10"/>
        </w:rPr>
        <w:t> </w:t>
      </w:r>
      <w:r>
        <w:rPr/>
        <w:t>to</w:t>
      </w:r>
      <w:r>
        <w:rPr>
          <w:spacing w:val="-3"/>
        </w:rPr>
        <w:t> </w:t>
      </w:r>
      <w:r>
        <w:rPr/>
        <w:t>seek</w:t>
      </w:r>
      <w:r>
        <w:rPr>
          <w:spacing w:val="-5"/>
        </w:rPr>
        <w:t> </w:t>
      </w:r>
      <w:r>
        <w:rPr/>
        <w:t>healthcare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channels</w:t>
      </w:r>
      <w:r>
        <w:rPr>
          <w:spacing w:val="-2"/>
        </w:rPr>
        <w:t> </w:t>
      </w:r>
      <w:r>
        <w:rPr/>
        <w:t>other</w:t>
      </w:r>
      <w:r>
        <w:rPr>
          <w:spacing w:val="-6"/>
        </w:rPr>
        <w:t> </w:t>
      </w:r>
      <w:r>
        <w:rPr/>
        <w:t>than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conventional</w:t>
      </w:r>
      <w:r>
        <w:rPr>
          <w:spacing w:val="-5"/>
        </w:rPr>
        <w:t> </w:t>
      </w:r>
      <w:r>
        <w:rPr/>
        <w:t>healthcare</w:t>
      </w:r>
      <w:r>
        <w:rPr>
          <w:spacing w:val="-8"/>
        </w:rPr>
        <w:t> </w:t>
      </w:r>
      <w:r>
        <w:rPr/>
        <w:t>providers.</w:t>
      </w:r>
      <w:r>
        <w:rPr>
          <w:spacing w:val="-57"/>
        </w:rPr>
        <w:t> </w:t>
      </w:r>
      <w:r>
        <w:rPr/>
        <w:t>Thus, in line with Hopkins (2017) and Rochelle (2019), inappropriate HSB is largely related with</w:t>
      </w:r>
      <w:r>
        <w:rPr>
          <w:spacing w:val="-58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education.</w:t>
      </w:r>
    </w:p>
    <w:p>
      <w:pPr>
        <w:spacing w:before="136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Gender</w:t>
      </w:r>
    </w:p>
    <w:p>
      <w:pPr>
        <w:pStyle w:val="BodyText"/>
        <w:spacing w:line="360" w:lineRule="auto" w:before="140"/>
        <w:ind w:left="100" w:right="115"/>
        <w:jc w:val="both"/>
      </w:pPr>
      <w:r>
        <w:rPr/>
        <w:t>Previous studies suggest that women seek more appropriate healthcare compared to men (see</w:t>
      </w:r>
      <w:r>
        <w:rPr>
          <w:spacing w:val="1"/>
        </w:rPr>
        <w:t> </w:t>
      </w:r>
      <w:r>
        <w:rPr/>
        <w:t>Senbeto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>
          <w:i/>
          <w:spacing w:val="-11"/>
        </w:rPr>
        <w:t> </w:t>
      </w:r>
      <w:r>
        <w:rPr/>
        <w:t>2013;</w:t>
      </w:r>
      <w:r>
        <w:rPr>
          <w:spacing w:val="-13"/>
        </w:rPr>
        <w:t> </w:t>
      </w:r>
      <w:r>
        <w:rPr/>
        <w:t>Matheson,</w:t>
      </w:r>
      <w:r>
        <w:rPr>
          <w:spacing w:val="-11"/>
        </w:rPr>
        <w:t> </w:t>
      </w:r>
      <w:r>
        <w:rPr/>
        <w:t>2014;</w:t>
      </w:r>
      <w:r>
        <w:rPr>
          <w:spacing w:val="-12"/>
        </w:rPr>
        <w:t> </w:t>
      </w:r>
      <w:r>
        <w:rPr/>
        <w:t>Rochelle,</w:t>
      </w:r>
      <w:r>
        <w:rPr>
          <w:spacing w:val="-11"/>
        </w:rPr>
        <w:t> </w:t>
      </w:r>
      <w:r>
        <w:rPr/>
        <w:t>2019).</w:t>
      </w:r>
      <w:r>
        <w:rPr>
          <w:spacing w:val="-12"/>
        </w:rPr>
        <w:t> </w:t>
      </w:r>
      <w:r>
        <w:rPr/>
        <w:t>Women</w:t>
      </w:r>
      <w:r>
        <w:rPr>
          <w:spacing w:val="-12"/>
        </w:rPr>
        <w:t> </w:t>
      </w:r>
      <w:r>
        <w:rPr/>
        <w:t>often</w:t>
      </w:r>
      <w:r>
        <w:rPr>
          <w:spacing w:val="-11"/>
        </w:rPr>
        <w:t> </w:t>
      </w:r>
      <w:r>
        <w:rPr/>
        <w:t>take</w:t>
      </w:r>
      <w:r>
        <w:rPr>
          <w:spacing w:val="-13"/>
        </w:rPr>
        <w:t> </w:t>
      </w:r>
      <w:r>
        <w:rPr/>
        <w:t>time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care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children,</w:t>
      </w:r>
      <w:r>
        <w:rPr>
          <w:spacing w:val="-58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others.</w:t>
      </w:r>
      <w:r>
        <w:rPr>
          <w:spacing w:val="-5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both</w:t>
      </w:r>
      <w:r>
        <w:rPr>
          <w:spacing w:val="-4"/>
        </w:rPr>
        <w:t> </w:t>
      </w:r>
      <w:r>
        <w:rPr/>
        <w:t>men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women</w:t>
      </w:r>
      <w:r>
        <w:rPr>
          <w:spacing w:val="-4"/>
        </w:rPr>
        <w:t> </w:t>
      </w:r>
      <w:r>
        <w:rPr/>
        <w:t>are</w:t>
      </w:r>
      <w:r>
        <w:rPr>
          <w:spacing w:val="-7"/>
        </w:rPr>
        <w:t> </w:t>
      </w:r>
      <w:r>
        <w:rPr/>
        <w:t>likely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pay</w:t>
      </w:r>
      <w:r>
        <w:rPr>
          <w:spacing w:val="-9"/>
        </w:rPr>
        <w:t> </w:t>
      </w:r>
      <w:r>
        <w:rPr/>
        <w:t>more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medical</w:t>
      </w:r>
      <w:r>
        <w:rPr>
          <w:spacing w:val="-4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income-</w:t>
      </w:r>
      <w:r>
        <w:rPr>
          <w:spacing w:val="-57"/>
        </w:rPr>
        <w:t> </w:t>
      </w:r>
      <w:r>
        <w:rPr/>
        <w:t>unequal</w:t>
      </w:r>
      <w:r>
        <w:rPr>
          <w:spacing w:val="-11"/>
        </w:rPr>
        <w:t> </w:t>
      </w:r>
      <w:r>
        <w:rPr/>
        <w:t>societies</w:t>
      </w:r>
      <w:r>
        <w:rPr>
          <w:spacing w:val="-9"/>
        </w:rPr>
        <w:t> </w:t>
      </w:r>
      <w:r>
        <w:rPr/>
        <w:t>(Senbeto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>
          <w:i/>
          <w:spacing w:val="-10"/>
        </w:rPr>
        <w:t> </w:t>
      </w:r>
      <w:r>
        <w:rPr/>
        <w:t>2013).</w:t>
      </w:r>
      <w:r>
        <w:rPr>
          <w:spacing w:val="-12"/>
        </w:rPr>
        <w:t> </w:t>
      </w:r>
      <w:r>
        <w:rPr/>
        <w:t>Most</w:t>
      </w:r>
      <w:r>
        <w:rPr>
          <w:spacing w:val="-10"/>
        </w:rPr>
        <w:t> </w:t>
      </w:r>
      <w:r>
        <w:rPr/>
        <w:t>often,</w:t>
      </w:r>
      <w:r>
        <w:rPr>
          <w:spacing w:val="-10"/>
        </w:rPr>
        <w:t> </w:t>
      </w:r>
      <w:r>
        <w:rPr/>
        <w:t>where</w:t>
      </w:r>
      <w:r>
        <w:rPr>
          <w:spacing w:val="-12"/>
        </w:rPr>
        <w:t> </w:t>
      </w:r>
      <w:r>
        <w:rPr/>
        <w:t>health-insurance</w:t>
      </w:r>
      <w:r>
        <w:rPr>
          <w:spacing w:val="-9"/>
        </w:rPr>
        <w:t> </w:t>
      </w:r>
      <w:r>
        <w:rPr/>
        <w:t>facilities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available,</w:t>
      </w:r>
      <w:r>
        <w:rPr>
          <w:spacing w:val="-57"/>
        </w:rPr>
        <w:t> </w:t>
      </w:r>
      <w:r>
        <w:rPr/>
        <w:t>women are changed more because they could likely use healthcare system more (this is called</w:t>
      </w:r>
      <w:r>
        <w:rPr>
          <w:spacing w:val="1"/>
        </w:rPr>
        <w:t> </w:t>
      </w:r>
      <w:r>
        <w:rPr/>
        <w:t>‘gender rating’). In line with these, income inequality through gender issues might leads to</w:t>
      </w:r>
      <w:r>
        <w:rPr>
          <w:spacing w:val="1"/>
        </w:rPr>
        <w:t> </w:t>
      </w:r>
      <w:r>
        <w:rPr/>
        <w:t>inappropriate</w:t>
      </w:r>
      <w:r>
        <w:rPr>
          <w:spacing w:val="-1"/>
        </w:rPr>
        <w:t> </w:t>
      </w:r>
      <w:r>
        <w:rPr/>
        <w:t>healthcare consultations among</w:t>
      </w:r>
      <w:r>
        <w:rPr>
          <w:spacing w:val="-2"/>
        </w:rPr>
        <w:t> </w:t>
      </w:r>
      <w:r>
        <w:rPr/>
        <w:t>households.</w:t>
      </w:r>
    </w:p>
    <w:p>
      <w:pPr>
        <w:spacing w:before="138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Marital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Status</w:t>
      </w:r>
    </w:p>
    <w:p>
      <w:pPr>
        <w:pStyle w:val="BodyText"/>
        <w:spacing w:line="360" w:lineRule="auto" w:before="137"/>
        <w:ind w:left="100" w:right="119"/>
        <w:jc w:val="both"/>
      </w:pPr>
      <w:r>
        <w:rPr/>
        <w:t>Vespa and Painter (2011) opine that marriage frequently increases the use of healthcare services.</w:t>
      </w:r>
      <w:r>
        <w:rPr>
          <w:spacing w:val="1"/>
        </w:rPr>
        <w:t> </w:t>
      </w:r>
      <w:r>
        <w:rPr/>
        <w:t>This suggest that married households should seek more appropriate of healthcare than others. But</w:t>
      </w:r>
      <w:r>
        <w:rPr>
          <w:spacing w:val="-57"/>
        </w:rPr>
        <w:t> </w:t>
      </w:r>
      <w:r>
        <w:rPr/>
        <w:t>rising income inequality might influence their decision to resort to inappropriate healthcare.</w:t>
      </w:r>
      <w:r>
        <w:rPr>
          <w:spacing w:val="1"/>
        </w:rPr>
        <w:t> </w:t>
      </w:r>
      <w:r>
        <w:rPr/>
        <w:t>Hence,</w:t>
      </w:r>
      <w:r>
        <w:rPr>
          <w:spacing w:val="-1"/>
        </w:rPr>
        <w:t> </w:t>
      </w:r>
      <w:r>
        <w:rPr/>
        <w:t>inappropriate</w:t>
      </w:r>
      <w:r>
        <w:rPr>
          <w:spacing w:val="-1"/>
        </w:rPr>
        <w:t> </w:t>
      </w:r>
      <w:r>
        <w:rPr/>
        <w:t>HSB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expected in the presence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rising</w:t>
      </w:r>
      <w:r>
        <w:rPr>
          <w:spacing w:val="-2"/>
        </w:rPr>
        <w:t> </w:t>
      </w:r>
      <w:r>
        <w:rPr/>
        <w:t>income</w:t>
      </w:r>
      <w:r>
        <w:rPr>
          <w:spacing w:val="-1"/>
        </w:rPr>
        <w:t> </w:t>
      </w:r>
      <w:r>
        <w:rPr/>
        <w:t>inequality.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spacing w:before="73"/>
        <w:ind w:left="100" w:right="0" w:firstLine="0"/>
        <w:jc w:val="both"/>
        <w:rPr>
          <w:rFonts w:ascii="Cambria Math" w:hAnsi="Cambria Math" w:eastAsia="Cambria Math"/>
          <w:sz w:val="24"/>
        </w:rPr>
      </w:pPr>
      <w:r>
        <w:rPr>
          <w:i/>
          <w:sz w:val="24"/>
        </w:rPr>
        <w:t>Level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Incomes</w:t>
      </w:r>
      <w:r>
        <w:rPr>
          <w:rFonts w:ascii="Cambria Math" w:hAnsi="Cambria Math" w:eastAsia="Cambria Math"/>
          <w:sz w:val="24"/>
        </w:rPr>
        <w:t>(𝑌</w:t>
      </w:r>
      <w:r>
        <w:rPr>
          <w:rFonts w:ascii="Cambria Math" w:hAnsi="Cambria Math" w:eastAsia="Cambria Math"/>
          <w:sz w:val="24"/>
          <w:vertAlign w:val="subscript"/>
        </w:rPr>
        <w:t>ℎ𝑡</w:t>
      </w:r>
      <w:r>
        <w:rPr>
          <w:rFonts w:ascii="Cambria Math" w:hAnsi="Cambria Math" w:eastAsia="Cambria Math"/>
          <w:sz w:val="24"/>
          <w:vertAlign w:val="baseline"/>
        </w:rPr>
        <w:t>)</w:t>
      </w:r>
    </w:p>
    <w:p>
      <w:pPr>
        <w:pStyle w:val="BodyText"/>
        <w:spacing w:line="364" w:lineRule="auto" w:before="142"/>
        <w:ind w:left="100" w:right="117"/>
        <w:jc w:val="both"/>
      </w:pPr>
      <w:r>
        <w:rPr/>
        <w:pict>
          <v:shape style="position:absolute;margin-left:524.5pt;margin-top:77.187675pt;width:5.3pt;height:8.550pt;mso-position-horizontal-relative:page;mso-position-vertical-relative:paragraph;z-index:-4306585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112"/>
                      <w:sz w:val="17"/>
                    </w:rPr>
                    <w:t>ℎ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329987pt;margin-top:98.907677pt;width:5.3pt;height:8.550pt;mso-position-horizontal-relative:page;mso-position-vertical-relative:paragraph;z-index:-4306534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112"/>
                      <w:sz w:val="17"/>
                    </w:rPr>
                    <w:t>ℎ</w:t>
                  </w:r>
                </w:p>
              </w:txbxContent>
            </v:textbox>
            <w10:wrap type="none"/>
          </v:shape>
        </w:pict>
      </w:r>
      <w:r>
        <w:rPr/>
        <w:t>The effects of income inequality on HSB associated with various composition of households’</w:t>
      </w:r>
      <w:r>
        <w:rPr>
          <w:spacing w:val="1"/>
        </w:rPr>
        <w:t> </w:t>
      </w:r>
      <w:r>
        <w:rPr>
          <w:spacing w:val="-1"/>
        </w:rPr>
        <w:t>aggregate</w:t>
      </w:r>
      <w:r>
        <w:rPr>
          <w:spacing w:val="-14"/>
        </w:rPr>
        <w:t> </w:t>
      </w:r>
      <w:r>
        <w:rPr>
          <w:spacing w:val="-1"/>
        </w:rPr>
        <w:t>incomes.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because,</w:t>
      </w:r>
      <w:r>
        <w:rPr>
          <w:spacing w:val="-13"/>
        </w:rPr>
        <w:t> </w:t>
      </w:r>
      <w:r>
        <w:rPr/>
        <w:t>households’</w:t>
      </w:r>
      <w:r>
        <w:rPr>
          <w:spacing w:val="-14"/>
        </w:rPr>
        <w:t> </w:t>
      </w:r>
      <w:r>
        <w:rPr/>
        <w:t>absolute</w:t>
      </w:r>
      <w:r>
        <w:rPr>
          <w:spacing w:val="-14"/>
        </w:rPr>
        <w:t> </w:t>
      </w:r>
      <w:r>
        <w:rPr/>
        <w:t>incomes</w:t>
      </w:r>
      <w:r>
        <w:rPr>
          <w:spacing w:val="-12"/>
        </w:rPr>
        <w:t> </w:t>
      </w:r>
      <w:r>
        <w:rPr/>
        <w:t>stem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various</w:t>
      </w:r>
      <w:r>
        <w:rPr>
          <w:spacing w:val="-13"/>
        </w:rPr>
        <w:t> </w:t>
      </w:r>
      <w:r>
        <w:rPr/>
        <w:t>sources.</w:t>
      </w:r>
      <w:r>
        <w:rPr>
          <w:spacing w:val="-13"/>
        </w:rPr>
        <w:t> </w:t>
      </w:r>
      <w:r>
        <w:rPr/>
        <w:t>This</w:t>
      </w:r>
      <w:r>
        <w:rPr>
          <w:spacing w:val="-58"/>
        </w:rPr>
        <w:t> </w:t>
      </w:r>
      <w:r>
        <w:rPr>
          <w:spacing w:val="-1"/>
        </w:rPr>
        <w:t>can</w:t>
      </w:r>
      <w:r>
        <w:rPr>
          <w:spacing w:val="-8"/>
        </w:rPr>
        <w:t> </w:t>
      </w:r>
      <w:r>
        <w:rPr>
          <w:spacing w:val="-1"/>
        </w:rPr>
        <w:t>greatly</w:t>
      </w:r>
      <w:r>
        <w:rPr>
          <w:spacing w:val="-15"/>
        </w:rPr>
        <w:t> </w:t>
      </w:r>
      <w:r>
        <w:rPr>
          <w:spacing w:val="-1"/>
        </w:rPr>
        <w:t>affect</w:t>
      </w:r>
      <w:r>
        <w:rPr>
          <w:spacing w:val="-10"/>
        </w:rPr>
        <w:t> </w:t>
      </w:r>
      <w:r>
        <w:rPr/>
        <w:t>their</w:t>
      </w:r>
      <w:r>
        <w:rPr>
          <w:spacing w:val="-8"/>
        </w:rPr>
        <w:t> </w:t>
      </w:r>
      <w:r>
        <w:rPr/>
        <w:t>access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timely</w:t>
      </w:r>
      <w:r>
        <w:rPr>
          <w:spacing w:val="-12"/>
        </w:rPr>
        <w:t> </w:t>
      </w:r>
      <w:r>
        <w:rPr/>
        <w:t>appropriate</w:t>
      </w:r>
      <w:r>
        <w:rPr>
          <w:spacing w:val="-5"/>
        </w:rPr>
        <w:t> </w:t>
      </w:r>
      <w:r>
        <w:rPr/>
        <w:t>medical-care</w:t>
      </w:r>
      <w:r>
        <w:rPr>
          <w:spacing w:val="-12"/>
        </w:rPr>
        <w:t> </w:t>
      </w:r>
      <w:r>
        <w:rPr/>
        <w:t>services</w:t>
      </w:r>
      <w:r>
        <w:rPr>
          <w:spacing w:val="-10"/>
        </w:rPr>
        <w:t> </w:t>
      </w:r>
      <w:r>
        <w:rPr/>
        <w:t>(Nonvignon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</w:t>
      </w:r>
      <w:r>
        <w:rPr>
          <w:i/>
          <w:spacing w:val="-10"/>
        </w:rPr>
        <w:t> </w:t>
      </w:r>
      <w:r>
        <w:rPr/>
        <w:t>2017).</w:t>
      </w:r>
      <w:r>
        <w:rPr>
          <w:spacing w:val="-57"/>
        </w:rPr>
        <w:t> </w:t>
      </w:r>
      <w:r>
        <w:rPr/>
        <w:t>These </w:t>
      </w:r>
      <w:r>
        <w:rPr>
          <w:rFonts w:ascii="Cambria Math" w:hAnsi="Cambria Math" w:eastAsia="Cambria Math"/>
        </w:rPr>
        <w:t>(𝑌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) </w:t>
      </w:r>
      <w:r>
        <w:rPr>
          <w:vertAlign w:val="baseline"/>
        </w:rPr>
        <w:t>were from; wages and salaries from both private and public firms/organization (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perscript"/>
        </w:rPr>
        <w:t>1</w:t>
      </w:r>
      <w:r>
        <w:rPr>
          <w:rFonts w:ascii="Cambria Math" w:hAns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incomes</w:t>
      </w:r>
      <w:r>
        <w:rPr>
          <w:spacing w:val="-7"/>
          <w:vertAlign w:val="baseline"/>
        </w:rPr>
        <w:t> </w:t>
      </w:r>
      <w:r>
        <w:rPr>
          <w:vertAlign w:val="baseline"/>
        </w:rPr>
        <w:t>from</w:t>
      </w:r>
      <w:r>
        <w:rPr>
          <w:spacing w:val="-6"/>
          <w:vertAlign w:val="baseline"/>
        </w:rPr>
        <w:t> </w:t>
      </w:r>
      <w:r>
        <w:rPr>
          <w:vertAlign w:val="baseline"/>
        </w:rPr>
        <w:t>enterprises,</w:t>
      </w:r>
      <w:r>
        <w:rPr>
          <w:spacing w:val="-7"/>
          <w:vertAlign w:val="baseline"/>
        </w:rPr>
        <w:t> </w:t>
      </w:r>
      <w:r>
        <w:rPr>
          <w:vertAlign w:val="baseline"/>
        </w:rPr>
        <w:t>trading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business</w:t>
      </w:r>
      <w:r>
        <w:rPr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(𝑌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-7"/>
          <w:vertAlign w:val="baseline"/>
        </w:rPr>
        <w:t> </w:t>
      </w:r>
      <w:r>
        <w:rPr>
          <w:vertAlign w:val="baseline"/>
        </w:rPr>
        <w:t>incomes</w:t>
      </w:r>
      <w:r>
        <w:rPr>
          <w:spacing w:val="-7"/>
          <w:vertAlign w:val="baseline"/>
        </w:rPr>
        <w:t> </w:t>
      </w:r>
      <w:r>
        <w:rPr>
          <w:vertAlign w:val="baseline"/>
        </w:rPr>
        <w:t>from</w:t>
      </w:r>
      <w:r>
        <w:rPr>
          <w:spacing w:val="-6"/>
          <w:vertAlign w:val="baseline"/>
        </w:rPr>
        <w:t> </w:t>
      </w:r>
      <w:r>
        <w:rPr>
          <w:vertAlign w:val="baseline"/>
        </w:rPr>
        <w:t>agriculture,</w:t>
      </w:r>
      <w:r>
        <w:rPr>
          <w:spacing w:val="-7"/>
          <w:vertAlign w:val="baseline"/>
        </w:rPr>
        <w:t> </w:t>
      </w:r>
      <w:r>
        <w:rPr>
          <w:vertAlign w:val="baseline"/>
        </w:rPr>
        <w:t>crop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livestock</w:t>
      </w:r>
    </w:p>
    <w:p>
      <w:pPr>
        <w:pStyle w:val="BodyText"/>
        <w:spacing w:line="151" w:lineRule="exact" w:before="7"/>
        <w:ind w:left="100"/>
        <w:jc w:val="both"/>
      </w:pPr>
      <w:r>
        <w:rPr/>
        <w:t>activities</w:t>
      </w:r>
      <w:r>
        <w:rPr>
          <w:spacing w:val="24"/>
        </w:rPr>
        <w:t> </w:t>
      </w:r>
      <w:r>
        <w:rPr/>
        <w:t>(</w:t>
      </w:r>
      <w:r>
        <w:rPr>
          <w:rFonts w:ascii="Cambria Math" w:eastAsia="Cambria Math"/>
        </w:rPr>
        <w:t>𝑌</w:t>
      </w:r>
      <w:r>
        <w:rPr>
          <w:rFonts w:ascii="Cambria Math" w:eastAsia="Cambria Math"/>
          <w:vertAlign w:val="superscript"/>
        </w:rPr>
        <w:t>3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25"/>
          <w:vertAlign w:val="baseline"/>
        </w:rPr>
        <w:t> </w:t>
      </w:r>
      <w:r>
        <w:rPr>
          <w:vertAlign w:val="baseline"/>
        </w:rPr>
        <w:t>remittances</w:t>
      </w:r>
      <w:r>
        <w:rPr>
          <w:spacing w:val="25"/>
          <w:vertAlign w:val="baseline"/>
        </w:rPr>
        <w:t> </w:t>
      </w:r>
      <w:r>
        <w:rPr>
          <w:vertAlign w:val="baseline"/>
        </w:rPr>
        <w:t>from</w:t>
      </w:r>
      <w:r>
        <w:rPr>
          <w:spacing w:val="25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abroad</w:t>
      </w:r>
      <w:r>
        <w:rPr>
          <w:spacing w:val="29"/>
          <w:vertAlign w:val="baseline"/>
        </w:rPr>
        <w:t> </w:t>
      </w:r>
      <w:r>
        <w:rPr>
          <w:rFonts w:ascii="Cambria Math" w:eastAsia="Cambria Math"/>
          <w:vertAlign w:val="baseline"/>
        </w:rPr>
        <w:t>(𝑌</w:t>
      </w:r>
      <w:r>
        <w:rPr>
          <w:rFonts w:ascii="Cambria Math" w:eastAsia="Cambria Math"/>
          <w:vertAlign w:val="superscript"/>
        </w:rPr>
        <w:t>4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25"/>
          <w:vertAlign w:val="baseline"/>
        </w:rPr>
        <w:t> </w:t>
      </w:r>
      <w:r>
        <w:rPr>
          <w:vertAlign w:val="baseline"/>
        </w:rPr>
        <w:t>monetary</w:t>
      </w:r>
      <w:r>
        <w:rPr>
          <w:spacing w:val="18"/>
          <w:vertAlign w:val="baseline"/>
        </w:rPr>
        <w:t> </w:t>
      </w:r>
      <w:r>
        <w:rPr>
          <w:vertAlign w:val="baseline"/>
        </w:rPr>
        <w:t>or</w:t>
      </w:r>
      <w:r>
        <w:rPr>
          <w:spacing w:val="24"/>
          <w:vertAlign w:val="baseline"/>
        </w:rPr>
        <w:t> </w:t>
      </w:r>
      <w:r>
        <w:rPr>
          <w:vertAlign w:val="baseline"/>
        </w:rPr>
        <w:t>conditional</w:t>
      </w:r>
      <w:r>
        <w:rPr>
          <w:spacing w:val="25"/>
          <w:vertAlign w:val="baseline"/>
        </w:rPr>
        <w:t> </w:t>
      </w:r>
      <w:r>
        <w:rPr>
          <w:vertAlign w:val="baseline"/>
        </w:rPr>
        <w:t>assistance</w:t>
      </w:r>
    </w:p>
    <w:p>
      <w:pPr>
        <w:tabs>
          <w:tab w:pos="5678" w:val="left" w:leader="none"/>
        </w:tabs>
        <w:spacing w:line="170" w:lineRule="exact" w:before="0"/>
        <w:ind w:left="1233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ℎ</w:t>
        <w:tab/>
        <w:t>ℎ</w:t>
      </w:r>
    </w:p>
    <w:p>
      <w:pPr>
        <w:pStyle w:val="BodyText"/>
        <w:spacing w:line="151" w:lineRule="exact" w:before="115"/>
        <w:ind w:left="100"/>
      </w:pPr>
      <w:r>
        <w:rPr>
          <w:rFonts w:ascii="Cambria Math" w:eastAsia="Cambria Math"/>
        </w:rPr>
        <w:t>(𝑌</w:t>
      </w:r>
      <w:r>
        <w:rPr>
          <w:rFonts w:ascii="Cambria Math" w:eastAsia="Cambria Math"/>
          <w:vertAlign w:val="superscript"/>
        </w:rPr>
        <w:t>5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-7"/>
          <w:vertAlign w:val="baseline"/>
        </w:rPr>
        <w:t> </w:t>
      </w:r>
      <w:r>
        <w:rPr>
          <w:vertAlign w:val="baseline"/>
        </w:rPr>
        <w:t>pension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grants</w:t>
      </w:r>
      <w:r>
        <w:rPr>
          <w:spacing w:val="-2"/>
          <w:vertAlign w:val="baseline"/>
        </w:rPr>
        <w:t> </w:t>
      </w:r>
      <w:r>
        <w:rPr>
          <w:rFonts w:ascii="Cambria Math" w:eastAsia="Cambria Math"/>
          <w:vertAlign w:val="baseline"/>
        </w:rPr>
        <w:t>(𝑌</w:t>
      </w:r>
      <w:r>
        <w:rPr>
          <w:rFonts w:ascii="Cambria Math" w:eastAsia="Cambria Math"/>
          <w:vertAlign w:val="superscript"/>
        </w:rPr>
        <w:t>6</w:t>
      </w:r>
      <w:r>
        <w:rPr>
          <w:rFonts w:ascii="Cambria Math" w:eastAsia="Cambria Math"/>
          <w:vertAlign w:val="baseline"/>
        </w:rPr>
        <w:t>)</w:t>
      </w:r>
      <w:r>
        <w:rPr>
          <w:vertAlign w:val="baseline"/>
        </w:rPr>
        <w:t>,</w:t>
      </w:r>
      <w:r>
        <w:rPr>
          <w:spacing w:val="-7"/>
          <w:vertAlign w:val="baseline"/>
        </w:rPr>
        <w:t> </w:t>
      </w:r>
      <w:r>
        <w:rPr>
          <w:vertAlign w:val="baseline"/>
        </w:rPr>
        <w:t>dividend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interest</w:t>
      </w:r>
      <w:r>
        <w:rPr>
          <w:spacing w:val="-6"/>
          <w:vertAlign w:val="baseline"/>
        </w:rPr>
        <w:t> </w:t>
      </w:r>
      <w:r>
        <w:rPr>
          <w:vertAlign w:val="baseline"/>
        </w:rPr>
        <w:t>from</w:t>
      </w:r>
      <w:r>
        <w:rPr>
          <w:spacing w:val="-8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(𝑌</w:t>
      </w:r>
      <w:r>
        <w:rPr>
          <w:rFonts w:ascii="Cambria Math" w:eastAsia="Cambria Math"/>
          <w:vertAlign w:val="superscript"/>
        </w:rPr>
        <w:t>7</w:t>
      </w:r>
      <w:r>
        <w:rPr>
          <w:rFonts w:ascii="Cambria Math" w:eastAsia="Cambria Math"/>
          <w:vertAlign w:val="baseline"/>
        </w:rPr>
        <w:t>),</w:t>
      </w:r>
      <w:r>
        <w:rPr>
          <w:rFonts w:ascii="Cambria Math" w:eastAsia="Cambria Math"/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incomes</w:t>
      </w:r>
      <w:r>
        <w:rPr>
          <w:spacing w:val="-5"/>
          <w:vertAlign w:val="baseline"/>
        </w:rPr>
        <w:t> </w:t>
      </w:r>
      <w:r>
        <w:rPr>
          <w:vertAlign w:val="baseline"/>
        </w:rPr>
        <w:t>from</w:t>
      </w:r>
      <w:r>
        <w:rPr>
          <w:spacing w:val="-7"/>
          <w:vertAlign w:val="baseline"/>
        </w:rPr>
        <w:t> </w:t>
      </w:r>
      <w:r>
        <w:rPr>
          <w:vertAlign w:val="baseline"/>
        </w:rPr>
        <w:t>land</w:t>
      </w:r>
    </w:p>
    <w:p>
      <w:pPr>
        <w:tabs>
          <w:tab w:pos="2704" w:val="left" w:leader="none"/>
          <w:tab w:pos="6938" w:val="left" w:leader="none"/>
        </w:tabs>
        <w:spacing w:line="171" w:lineRule="exact" w:before="0"/>
        <w:ind w:left="306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ℎ</w:t>
        <w:tab/>
        <w:t>ℎ</w:t>
        <w:tab/>
        <w:t>ℎ</w:t>
      </w:r>
    </w:p>
    <w:p>
      <w:pPr>
        <w:pStyle w:val="BodyText"/>
        <w:spacing w:line="360" w:lineRule="auto" w:before="116"/>
        <w:ind w:left="100" w:right="116"/>
        <w:jc w:val="both"/>
      </w:pPr>
      <w:r>
        <w:rPr/>
        <w:pict>
          <v:shape style="position:absolute;margin-left:185.059998pt;margin-top:13.326923pt;width:5.3pt;height:8.550pt;mso-position-horizontal-relative:page;mso-position-vertical-relative:paragraph;z-index:-4306483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112"/>
                      <w:sz w:val="17"/>
                    </w:rPr>
                    <w:t>ℎ</w:t>
                  </w:r>
                </w:p>
              </w:txbxContent>
            </v:textbox>
            <w10:wrap type="none"/>
          </v:shape>
        </w:pict>
      </w:r>
      <w:r>
        <w:rPr/>
        <w:t>and</w:t>
      </w:r>
      <w:r>
        <w:rPr>
          <w:spacing w:val="-11"/>
        </w:rPr>
        <w:t> </w:t>
      </w:r>
      <w:r>
        <w:rPr/>
        <w:t>house</w:t>
      </w:r>
      <w:r>
        <w:rPr>
          <w:spacing w:val="-11"/>
        </w:rPr>
        <w:t> </w:t>
      </w:r>
      <w:r>
        <w:rPr/>
        <w:t>ownership</w:t>
      </w:r>
      <w:r>
        <w:rPr>
          <w:spacing w:val="-5"/>
        </w:rPr>
        <w:t> </w:t>
      </w:r>
      <w:r>
        <w:rPr>
          <w:rFonts w:ascii="Cambria Math" w:eastAsia="Cambria Math"/>
        </w:rPr>
        <w:t>(𝑌</w:t>
      </w:r>
      <w:r>
        <w:rPr>
          <w:rFonts w:ascii="Cambria Math" w:eastAsia="Cambria Math"/>
          <w:vertAlign w:val="superscript"/>
        </w:rPr>
        <w:t>8</w:t>
      </w:r>
      <w:r>
        <w:rPr>
          <w:rFonts w:ascii="Cambria Math" w:eastAsia="Cambria Math"/>
          <w:vertAlign w:val="baseline"/>
        </w:rPr>
        <w:t>).</w:t>
      </w:r>
      <w:r>
        <w:rPr>
          <w:rFonts w:ascii="Cambria Math" w:eastAsia="Cambria Math"/>
          <w:spacing w:val="-6"/>
          <w:vertAlign w:val="baseline"/>
        </w:rPr>
        <w:t> </w:t>
      </w:r>
      <w:r>
        <w:rPr>
          <w:vertAlign w:val="baseline"/>
        </w:rPr>
        <w:t>Also</w:t>
      </w:r>
      <w:r>
        <w:rPr>
          <w:spacing w:val="-10"/>
          <w:vertAlign w:val="baseline"/>
        </w:rPr>
        <w:t> </w:t>
      </w:r>
      <w:r>
        <w:rPr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vertAlign w:val="baseline"/>
        </w:rPr>
        <w:t>line</w:t>
      </w:r>
      <w:r>
        <w:rPr>
          <w:spacing w:val="-1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theoretical</w:t>
      </w:r>
      <w:r>
        <w:rPr>
          <w:spacing w:val="-10"/>
          <w:vertAlign w:val="baseline"/>
        </w:rPr>
        <w:t> </w:t>
      </w:r>
      <w:r>
        <w:rPr>
          <w:vertAlign w:val="baseline"/>
        </w:rPr>
        <w:t>expectation,</w:t>
      </w:r>
      <w:r>
        <w:rPr>
          <w:spacing w:val="-10"/>
          <w:vertAlign w:val="baseline"/>
        </w:rPr>
        <w:t> </w:t>
      </w:r>
      <w:r>
        <w:rPr>
          <w:vertAlign w:val="baseline"/>
        </w:rPr>
        <w:t>these</w:t>
      </w:r>
      <w:r>
        <w:rPr>
          <w:spacing w:val="-12"/>
          <w:vertAlign w:val="baseline"/>
        </w:rPr>
        <w:t> </w:t>
      </w:r>
      <w:r>
        <w:rPr>
          <w:vertAlign w:val="baseline"/>
        </w:rPr>
        <w:t>sources</w:t>
      </w:r>
      <w:r>
        <w:rPr>
          <w:spacing w:val="-8"/>
          <w:vertAlign w:val="baseline"/>
        </w:rPr>
        <w:t> </w:t>
      </w:r>
      <w:r>
        <w:rPr>
          <w:vertAlign w:val="baseline"/>
        </w:rPr>
        <w:t>are</w:t>
      </w:r>
      <w:r>
        <w:rPr>
          <w:spacing w:val="-10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exert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positively</w:t>
      </w:r>
      <w:r>
        <w:rPr>
          <w:spacing w:val="-20"/>
          <w:vertAlign w:val="baseline"/>
        </w:rPr>
        <w:t> </w:t>
      </w:r>
      <w:r>
        <w:rPr>
          <w:vertAlign w:val="baseline"/>
        </w:rPr>
        <w:t>on</w:t>
      </w:r>
      <w:r>
        <w:rPr>
          <w:spacing w:val="-14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-13"/>
          <w:vertAlign w:val="baseline"/>
        </w:rPr>
        <w:t> </w:t>
      </w:r>
      <w:r>
        <w:rPr>
          <w:vertAlign w:val="baseline"/>
        </w:rPr>
        <w:t>healthcare</w:t>
      </w:r>
      <w:r>
        <w:rPr>
          <w:spacing w:val="-16"/>
          <w:vertAlign w:val="baseline"/>
        </w:rPr>
        <w:t> </w:t>
      </w:r>
      <w:r>
        <w:rPr>
          <w:vertAlign w:val="baseline"/>
        </w:rPr>
        <w:t>seeking</w:t>
      </w:r>
      <w:r>
        <w:rPr>
          <w:spacing w:val="-15"/>
          <w:vertAlign w:val="baseline"/>
        </w:rPr>
        <w:t> </w:t>
      </w:r>
      <w:r>
        <w:rPr>
          <w:vertAlign w:val="baseline"/>
        </w:rPr>
        <w:t>(Benzeval</w:t>
      </w:r>
      <w:r>
        <w:rPr>
          <w:spacing w:val="-1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3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14"/>
          <w:vertAlign w:val="baseline"/>
        </w:rPr>
        <w:t> </w:t>
      </w:r>
      <w:r>
        <w:rPr>
          <w:vertAlign w:val="baseline"/>
        </w:rPr>
        <w:t>2014;</w:t>
      </w:r>
      <w:r>
        <w:rPr>
          <w:spacing w:val="-11"/>
          <w:vertAlign w:val="baseline"/>
        </w:rPr>
        <w:t> </w:t>
      </w:r>
      <w:r>
        <w:rPr>
          <w:vertAlign w:val="baseline"/>
        </w:rPr>
        <w:t>Bayar,</w:t>
      </w:r>
      <w:r>
        <w:rPr>
          <w:spacing w:val="-15"/>
          <w:vertAlign w:val="baseline"/>
        </w:rPr>
        <w:t> </w:t>
      </w:r>
      <w:r>
        <w:rPr>
          <w:vertAlign w:val="baseline"/>
        </w:rPr>
        <w:t>2016;</w:t>
      </w:r>
      <w:r>
        <w:rPr>
          <w:spacing w:val="-13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NBS,</w:t>
      </w:r>
      <w:r>
        <w:rPr>
          <w:spacing w:val="-57"/>
          <w:vertAlign w:val="baseline"/>
        </w:rPr>
        <w:t> </w:t>
      </w:r>
      <w:r>
        <w:rPr>
          <w:vertAlign w:val="baseline"/>
        </w:rPr>
        <w:t>2017).</w:t>
      </w:r>
    </w:p>
    <w:p>
      <w:pPr>
        <w:spacing w:before="139"/>
        <w:ind w:left="100" w:right="0" w:firstLine="0"/>
        <w:jc w:val="both"/>
        <w:rPr>
          <w:i/>
          <w:sz w:val="24"/>
        </w:rPr>
      </w:pPr>
      <w:r>
        <w:rPr>
          <w:i/>
          <w:sz w:val="24"/>
        </w:rPr>
        <w:t>Income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(Z)</w:t>
      </w:r>
    </w:p>
    <w:p>
      <w:pPr>
        <w:pStyle w:val="BodyText"/>
        <w:spacing w:line="360" w:lineRule="auto" w:before="137"/>
        <w:ind w:left="100" w:right="116"/>
        <w:jc w:val="both"/>
      </w:pPr>
      <w:r>
        <w:rPr/>
        <w:t>Furthermore,</w:t>
      </w:r>
      <w:r>
        <w:rPr>
          <w:spacing w:val="-6"/>
        </w:rPr>
        <w:t> </w:t>
      </w:r>
      <w:r>
        <w:rPr/>
        <w:t>since</w:t>
      </w:r>
      <w:r>
        <w:rPr>
          <w:spacing w:val="-6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8"/>
        </w:rPr>
        <w:t> </w:t>
      </w:r>
      <w:r>
        <w:rPr/>
        <w:t>can</w:t>
      </w:r>
      <w:r>
        <w:rPr>
          <w:spacing w:val="-5"/>
        </w:rPr>
        <w:t> </w:t>
      </w:r>
      <w:r>
        <w:rPr/>
        <w:t>likely</w:t>
      </w:r>
      <w:r>
        <w:rPr>
          <w:spacing w:val="-11"/>
        </w:rPr>
        <w:t> </w:t>
      </w:r>
      <w:r>
        <w:rPr/>
        <w:t>lead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both</w:t>
      </w:r>
      <w:r>
        <w:rPr>
          <w:spacing w:val="-4"/>
        </w:rPr>
        <w:t> </w:t>
      </w:r>
      <w:r>
        <w:rPr/>
        <w:t>‘political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opportunity</w:t>
      </w:r>
      <w:r>
        <w:rPr>
          <w:spacing w:val="-10"/>
        </w:rPr>
        <w:t> </w:t>
      </w:r>
      <w:r>
        <w:rPr/>
        <w:t>capture’</w:t>
      </w:r>
      <w:r>
        <w:rPr>
          <w:spacing w:val="-6"/>
        </w:rPr>
        <w:t> </w:t>
      </w:r>
      <w:r>
        <w:rPr/>
        <w:t>as</w:t>
      </w:r>
      <w:r>
        <w:rPr>
          <w:spacing w:val="-58"/>
        </w:rPr>
        <w:t> </w:t>
      </w:r>
      <w:r>
        <w:rPr/>
        <w:t>Fuentes-Nieva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Galasso</w:t>
      </w:r>
      <w:r>
        <w:rPr>
          <w:spacing w:val="-6"/>
        </w:rPr>
        <w:t> </w:t>
      </w:r>
      <w:r>
        <w:rPr/>
        <w:t>(2014:2)</w:t>
      </w:r>
      <w:r>
        <w:rPr>
          <w:spacing w:val="-7"/>
        </w:rPr>
        <w:t> </w:t>
      </w:r>
      <w:r>
        <w:rPr/>
        <w:t>observe,</w:t>
      </w:r>
      <w:r>
        <w:rPr>
          <w:spacing w:val="-6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</w:t>
      </w:r>
      <w:r>
        <w:rPr>
          <w:spacing w:val="-9"/>
        </w:rPr>
        <w:t> </w:t>
      </w:r>
      <w:r>
        <w:rPr/>
        <w:t>could</w:t>
      </w:r>
      <w:r>
        <w:rPr>
          <w:spacing w:val="-6"/>
        </w:rPr>
        <w:t> </w:t>
      </w:r>
      <w:r>
        <w:rPr/>
        <w:t>then</w:t>
      </w:r>
      <w:r>
        <w:rPr>
          <w:spacing w:val="-5"/>
        </w:rPr>
        <w:t> </w:t>
      </w:r>
      <w:r>
        <w:rPr/>
        <w:t>result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inappropriate</w:t>
      </w:r>
      <w:r>
        <w:rPr>
          <w:spacing w:val="-58"/>
        </w:rPr>
        <w:t> </w:t>
      </w:r>
      <w:r>
        <w:rPr/>
        <w:t>HSB. The Gini coefficient (measure of income inequality) is expected to be inversely associated</w:t>
      </w:r>
      <w:r>
        <w:rPr>
          <w:spacing w:val="1"/>
        </w:rPr>
        <w:t> </w:t>
      </w:r>
      <w:r>
        <w:rPr/>
        <w:t>with</w:t>
      </w:r>
      <w:r>
        <w:rPr>
          <w:spacing w:val="-7"/>
        </w:rPr>
        <w:t> </w:t>
      </w:r>
      <w:r>
        <w:rPr/>
        <w:t>appropriate</w:t>
      </w:r>
      <w:r>
        <w:rPr>
          <w:spacing w:val="-8"/>
        </w:rPr>
        <w:t> </w:t>
      </w:r>
      <w:r>
        <w:rPr/>
        <w:t>healthcare</w:t>
      </w:r>
      <w:r>
        <w:rPr>
          <w:spacing w:val="-8"/>
        </w:rPr>
        <w:t> </w:t>
      </w:r>
      <w:r>
        <w:rPr/>
        <w:t>seeking/consultation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Nigeria.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tandem</w:t>
      </w:r>
      <w:r>
        <w:rPr>
          <w:spacing w:val="-6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postulation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income-inequality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Wilkinson (1992, 1994), Pickett and Wilkinson</w:t>
      </w:r>
      <w:r>
        <w:rPr>
          <w:spacing w:val="-3"/>
        </w:rPr>
        <w:t> </w:t>
      </w:r>
      <w:r>
        <w:rPr/>
        <w:t>(2015).</w:t>
      </w:r>
    </w:p>
    <w:p>
      <w:pPr>
        <w:pStyle w:val="BodyText"/>
        <w:spacing w:before="162"/>
        <w:ind w:left="100"/>
        <w:jc w:val="both"/>
      </w:pPr>
      <w:r>
        <w:rPr/>
        <w:t>Hence,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 of income inequality</w:t>
      </w:r>
      <w:r>
        <w:rPr>
          <w:spacing w:val="-5"/>
        </w:rPr>
        <w:t> </w:t>
      </w:r>
      <w:r>
        <w:rPr/>
        <w:t>on HSB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households in Nigeria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 as:</w:t>
      </w:r>
    </w:p>
    <w:p>
      <w:pPr>
        <w:tabs>
          <w:tab w:pos="4048" w:val="left" w:leader="none"/>
          <w:tab w:pos="5810" w:val="left" w:leader="none"/>
          <w:tab w:pos="7531" w:val="left" w:leader="none"/>
        </w:tabs>
        <w:spacing w:before="123"/>
        <w:ind w:left="2342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</w:t>
        <w:tab/>
        <w:t>4</w:t>
        <w:tab/>
        <w:t>2</w:t>
        <w:tab/>
        <w:t>6</w:t>
      </w:r>
    </w:p>
    <w:p>
      <w:pPr>
        <w:pStyle w:val="BodyText"/>
        <w:spacing w:before="89"/>
        <w:ind w:left="71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𝐻𝑆𝐵</w:t>
      </w:r>
      <w:r>
        <w:rPr>
          <w:rFonts w:ascii="Cambria Math" w:hAnsi="Cambria Math" w:eastAsia="Cambria Math"/>
          <w:w w:val="110"/>
          <w:vertAlign w:val="subscript"/>
        </w:rPr>
        <w:t>ℎ𝑡</w:t>
      </w:r>
      <w:r>
        <w:rPr>
          <w:rFonts w:ascii="Cambria Math" w:hAnsi="Cambria Math" w:eastAsia="Cambria Math"/>
          <w:spacing w:val="25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=</w:t>
      </w:r>
      <w:r>
        <w:rPr>
          <w:rFonts w:ascii="Cambria Math" w:hAnsi="Cambria Math" w:eastAsia="Cambria Math"/>
          <w:spacing w:val="15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𝛼</w:t>
      </w:r>
      <w:r>
        <w:rPr>
          <w:rFonts w:ascii="Cambria Math" w:hAnsi="Cambria Math" w:eastAsia="Cambria Math"/>
          <w:w w:val="110"/>
          <w:vertAlign w:val="subscript"/>
        </w:rPr>
        <w:t>𝑖</w:t>
      </w:r>
      <w:r>
        <w:rPr>
          <w:rFonts w:ascii="Cambria Math" w:hAnsi="Cambria Math" w:eastAsia="Cambria Math"/>
          <w:spacing w:val="14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+</w:t>
      </w:r>
      <w:r>
        <w:rPr>
          <w:rFonts w:ascii="Cambria Math" w:hAnsi="Cambria Math" w:eastAsia="Cambria Math"/>
          <w:spacing w:val="-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∑</w:t>
      </w:r>
      <w:r>
        <w:rPr>
          <w:rFonts w:ascii="Cambria Math" w:hAnsi="Cambria Math" w:eastAsia="Cambria Math"/>
          <w:spacing w:val="-15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𝛽</w:t>
      </w:r>
      <w:r>
        <w:rPr>
          <w:rFonts w:ascii="Cambria Math" w:hAnsi="Cambria Math" w:eastAsia="Cambria Math"/>
          <w:w w:val="110"/>
          <w:vertAlign w:val="subscript"/>
        </w:rPr>
        <w:t>1𝑖</w:t>
      </w:r>
      <w:r>
        <w:rPr>
          <w:rFonts w:ascii="Cambria Math" w:hAnsi="Cambria Math" w:eastAsia="Cambria Math"/>
          <w:spacing w:val="-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𝐹𝐴𝑆</w:t>
      </w:r>
      <w:r>
        <w:rPr>
          <w:rFonts w:ascii="Cambria Math" w:hAnsi="Cambria Math" w:eastAsia="Cambria Math"/>
          <w:w w:val="110"/>
          <w:vertAlign w:val="subscript"/>
        </w:rPr>
        <w:t>ℎ𝑖𝑡</w:t>
      </w:r>
      <w:r>
        <w:rPr>
          <w:rFonts w:ascii="Cambria Math" w:hAnsi="Cambria Math" w:eastAsia="Cambria Math"/>
          <w:spacing w:val="15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+</w:t>
      </w:r>
      <w:r>
        <w:rPr>
          <w:rFonts w:ascii="Cambria Math" w:hAnsi="Cambria Math" w:eastAsia="Cambria Math"/>
          <w:spacing w:val="56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∑</w:t>
      </w:r>
      <w:r>
        <w:rPr>
          <w:rFonts w:ascii="Cambria Math" w:hAnsi="Cambria Math" w:eastAsia="Cambria Math"/>
          <w:spacing w:val="-16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𝛽</w:t>
      </w:r>
      <w:r>
        <w:rPr>
          <w:rFonts w:ascii="Cambria Math" w:hAnsi="Cambria Math" w:eastAsia="Cambria Math"/>
          <w:w w:val="110"/>
          <w:vertAlign w:val="subscript"/>
        </w:rPr>
        <w:t>2𝑖</w:t>
      </w:r>
      <w:r>
        <w:rPr>
          <w:rFonts w:ascii="Cambria Math" w:hAnsi="Cambria Math" w:eastAsia="Cambria Math"/>
          <w:spacing w:val="-2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𝐸𝐷𝑈</w:t>
      </w:r>
      <w:r>
        <w:rPr>
          <w:rFonts w:ascii="Cambria Math" w:hAnsi="Cambria Math" w:eastAsia="Cambria Math"/>
          <w:w w:val="110"/>
          <w:vertAlign w:val="subscript"/>
        </w:rPr>
        <w:t>ℎ𝑖𝑡</w:t>
      </w:r>
      <w:r>
        <w:rPr>
          <w:rFonts w:ascii="Cambria Math" w:hAnsi="Cambria Math" w:eastAsia="Cambria Math"/>
          <w:spacing w:val="15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+</w:t>
      </w:r>
      <w:r>
        <w:rPr>
          <w:rFonts w:ascii="Cambria Math" w:hAnsi="Cambria Math" w:eastAsia="Cambria Math"/>
          <w:spacing w:val="56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∑</w:t>
      </w:r>
      <w:r>
        <w:rPr>
          <w:rFonts w:ascii="Cambria Math" w:hAnsi="Cambria Math" w:eastAsia="Cambria Math"/>
          <w:spacing w:val="-16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𝛽</w:t>
      </w:r>
      <w:r>
        <w:rPr>
          <w:rFonts w:ascii="Cambria Math" w:hAnsi="Cambria Math" w:eastAsia="Cambria Math"/>
          <w:w w:val="110"/>
          <w:vertAlign w:val="subscript"/>
        </w:rPr>
        <w:t>3𝑖</w:t>
      </w:r>
      <w:r>
        <w:rPr>
          <w:rFonts w:ascii="Cambria Math" w:hAnsi="Cambria Math" w:eastAsia="Cambria Math"/>
          <w:spacing w:val="-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𝐺𝑁𝐷</w:t>
      </w:r>
      <w:r>
        <w:rPr>
          <w:rFonts w:ascii="Cambria Math" w:hAnsi="Cambria Math" w:eastAsia="Cambria Math"/>
          <w:w w:val="110"/>
          <w:vertAlign w:val="subscript"/>
        </w:rPr>
        <w:t>ℎ𝑖𝑡</w:t>
      </w:r>
      <w:r>
        <w:rPr>
          <w:rFonts w:ascii="Cambria Math" w:hAnsi="Cambria Math" w:eastAsia="Cambria Math"/>
          <w:spacing w:val="15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+</w:t>
      </w:r>
      <w:r>
        <w:rPr>
          <w:rFonts w:ascii="Cambria Math" w:hAnsi="Cambria Math" w:eastAsia="Cambria Math"/>
          <w:spacing w:val="-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∑</w:t>
      </w:r>
      <w:r>
        <w:rPr>
          <w:rFonts w:ascii="Cambria Math" w:hAnsi="Cambria Math" w:eastAsia="Cambria Math"/>
          <w:spacing w:val="-13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𝛽</w:t>
      </w:r>
      <w:r>
        <w:rPr>
          <w:rFonts w:ascii="Cambria Math" w:hAnsi="Cambria Math" w:eastAsia="Cambria Math"/>
          <w:w w:val="110"/>
          <w:vertAlign w:val="subscript"/>
        </w:rPr>
        <w:t>4𝑖</w:t>
      </w:r>
      <w:r>
        <w:rPr>
          <w:rFonts w:ascii="Cambria Math" w:hAnsi="Cambria Math" w:eastAsia="Cambria Math"/>
          <w:spacing w:val="-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𝑀𝑅𝑆</w:t>
      </w:r>
      <w:r>
        <w:rPr>
          <w:rFonts w:ascii="Cambria Math" w:hAnsi="Cambria Math" w:eastAsia="Cambria Math"/>
          <w:w w:val="110"/>
          <w:vertAlign w:val="subscript"/>
        </w:rPr>
        <w:t>ℎ𝑖𝑡</w:t>
      </w:r>
    </w:p>
    <w:p>
      <w:pPr>
        <w:spacing w:after="0"/>
        <w:rPr>
          <w:rFonts w:ascii="Cambria Math" w:hAnsi="Cambria Math" w:eastAsia="Cambria Math"/>
        </w:rPr>
        <w:sectPr>
          <w:pgSz w:w="12240" w:h="15840"/>
          <w:pgMar w:header="0" w:footer="1015" w:top="1360" w:bottom="1200" w:left="1340" w:right="1320"/>
        </w:sectPr>
      </w:pPr>
    </w:p>
    <w:p>
      <w:pPr>
        <w:spacing w:line="172" w:lineRule="exact" w:before="93"/>
        <w:ind w:left="224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spacing w:line="172" w:lineRule="exact" w:before="0"/>
        <w:ind w:left="3029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8</w:t>
      </w:r>
    </w:p>
    <w:p>
      <w:pPr>
        <w:spacing w:line="173" w:lineRule="exact" w:before="93"/>
        <w:ind w:left="78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𝑖=1</w:t>
      </w:r>
    </w:p>
    <w:p>
      <w:pPr>
        <w:spacing w:line="173" w:lineRule="exact" w:before="0"/>
        <w:ind w:left="1301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1</w:t>
      </w:r>
    </w:p>
    <w:p>
      <w:pPr>
        <w:spacing w:before="93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𝑖=1</w:t>
      </w:r>
    </w:p>
    <w:p>
      <w:pPr>
        <w:spacing w:before="93"/>
        <w:ind w:left="1372" w:right="1832" w:firstLine="0"/>
        <w:jc w:val="center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𝑖=1</w:t>
      </w:r>
    </w:p>
    <w:p>
      <w:pPr>
        <w:spacing w:after="0"/>
        <w:jc w:val="center"/>
        <w:rPr>
          <w:rFonts w:ascii="Cambria Math" w:eastAsia="Cambria Math"/>
          <w:sz w:val="17"/>
        </w:rPr>
        <w:sectPr>
          <w:type w:val="continuous"/>
          <w:pgSz w:w="12240" w:h="15840"/>
          <w:pgMar w:top="1380" w:bottom="280" w:left="1340" w:right="1320"/>
          <w:cols w:num="4" w:equalWidth="0">
            <w:col w:w="3128" w:space="40"/>
            <w:col w:w="1400" w:space="39"/>
            <w:col w:w="1399" w:space="40"/>
            <w:col w:w="3534"/>
          </w:cols>
        </w:sectPr>
      </w:pPr>
    </w:p>
    <w:p>
      <w:pPr>
        <w:pStyle w:val="BodyText"/>
        <w:spacing w:before="89"/>
        <w:ind w:left="1949" w:right="2016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+</w:t>
      </w:r>
      <w:r>
        <w:rPr>
          <w:rFonts w:ascii="Cambria Math" w:hAnsi="Cambria Math" w:eastAsia="Cambria Math"/>
          <w:spacing w:val="-18"/>
          <w:w w:val="110"/>
        </w:rPr>
        <w:t> </w:t>
      </w:r>
      <w:r>
        <w:rPr>
          <w:rFonts w:ascii="Cambria Math" w:hAnsi="Cambria Math" w:eastAsia="Cambria Math"/>
          <w:w w:val="110"/>
        </w:rPr>
        <w:t>∑</w:t>
      </w:r>
      <w:r>
        <w:rPr>
          <w:rFonts w:ascii="Cambria Math" w:hAnsi="Cambria Math" w:eastAsia="Cambria Math"/>
          <w:spacing w:val="-17"/>
          <w:w w:val="110"/>
        </w:rPr>
        <w:t> </w:t>
      </w:r>
      <w:r>
        <w:rPr>
          <w:rFonts w:ascii="Cambria Math" w:hAnsi="Cambria Math" w:eastAsia="Cambria Math"/>
          <w:w w:val="110"/>
        </w:rPr>
        <w:t>𝛿</w:t>
      </w:r>
      <w:r>
        <w:rPr>
          <w:rFonts w:ascii="Cambria Math" w:hAnsi="Cambria Math" w:eastAsia="Cambria Math"/>
          <w:w w:val="110"/>
          <w:vertAlign w:val="subscript"/>
        </w:rPr>
        <w:t>1𝑖</w:t>
      </w:r>
      <w:r>
        <w:rPr>
          <w:rFonts w:ascii="Cambria Math" w:hAnsi="Cambria Math" w:eastAsia="Cambria Math"/>
          <w:spacing w:val="-1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𝑌</w:t>
      </w:r>
      <w:r>
        <w:rPr>
          <w:rFonts w:ascii="Cambria Math" w:hAnsi="Cambria Math" w:eastAsia="Cambria Math"/>
          <w:w w:val="110"/>
          <w:vertAlign w:val="subscript"/>
        </w:rPr>
        <w:t>ℎ𝑖𝑡</w:t>
      </w:r>
      <w:r>
        <w:rPr>
          <w:rFonts w:ascii="Cambria Math" w:hAnsi="Cambria Math" w:eastAsia="Cambria Math"/>
          <w:spacing w:val="9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+</w:t>
      </w:r>
      <w:r>
        <w:rPr>
          <w:rFonts w:ascii="Cambria Math" w:hAnsi="Cambria Math" w:eastAsia="Cambria Math"/>
          <w:spacing w:val="53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∑</w:t>
      </w:r>
      <w:r>
        <w:rPr>
          <w:rFonts w:ascii="Cambria Math" w:hAnsi="Cambria Math" w:eastAsia="Cambria Math"/>
          <w:spacing w:val="-18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𝛾</w:t>
      </w:r>
      <w:r>
        <w:rPr>
          <w:rFonts w:ascii="Cambria Math" w:hAnsi="Cambria Math" w:eastAsia="Cambria Math"/>
          <w:w w:val="110"/>
          <w:vertAlign w:val="subscript"/>
        </w:rPr>
        <w:t>2</w:t>
      </w:r>
      <w:r>
        <w:rPr>
          <w:rFonts w:ascii="Cambria Math" w:hAnsi="Cambria Math" w:eastAsia="Cambria Math"/>
          <w:spacing w:val="-9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𝐺𝐼𝑁</w:t>
      </w:r>
      <w:r>
        <w:rPr>
          <w:rFonts w:ascii="Cambria Math" w:hAnsi="Cambria Math" w:eastAsia="Cambria Math"/>
          <w:w w:val="110"/>
          <w:vertAlign w:val="subscript"/>
        </w:rPr>
        <w:t>ℎ𝑡</w:t>
      </w:r>
      <w:r>
        <w:rPr>
          <w:rFonts w:ascii="Cambria Math" w:hAnsi="Cambria Math" w:eastAsia="Cambria Math"/>
          <w:spacing w:val="14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+</w:t>
      </w:r>
      <w:r>
        <w:rPr>
          <w:rFonts w:ascii="Cambria Math" w:hAnsi="Cambria Math" w:eastAsia="Cambria Math"/>
          <w:spacing w:val="-2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𝜀</w:t>
      </w:r>
      <w:r>
        <w:rPr>
          <w:rFonts w:ascii="Cambria Math" w:hAnsi="Cambria Math" w:eastAsia="Cambria Math"/>
          <w:w w:val="110"/>
          <w:vertAlign w:val="subscript"/>
        </w:rPr>
        <w:t>ℎ𝑡</w:t>
      </w:r>
      <w:r>
        <w:rPr>
          <w:rFonts w:ascii="Cambria Math" w:hAnsi="Cambria Math" w:eastAsia="Cambria Math"/>
          <w:w w:val="110"/>
          <w:vertAlign w:val="baseline"/>
        </w:rPr>
        <w:t>(4.12)</w:t>
      </w:r>
    </w:p>
    <w:p>
      <w:pPr>
        <w:spacing w:after="0"/>
        <w:jc w:val="center"/>
        <w:rPr>
          <w:rFonts w:ascii="Cambria Math" w:hAnsi="Cambria Math" w:eastAsia="Cambria Math"/>
        </w:rPr>
        <w:sectPr>
          <w:type w:val="continuous"/>
          <w:pgSz w:w="12240" w:h="15840"/>
          <w:pgMar w:top="1380" w:bottom="280" w:left="1340" w:right="1320"/>
        </w:sectPr>
      </w:pPr>
    </w:p>
    <w:p>
      <w:pPr>
        <w:spacing w:before="92"/>
        <w:ind w:left="0" w:right="758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pStyle w:val="BodyText"/>
        <w:spacing w:before="1"/>
        <w:rPr>
          <w:rFonts w:ascii="Cambria Math"/>
          <w:sz w:val="20"/>
        </w:rPr>
      </w:pPr>
    </w:p>
    <w:p>
      <w:pPr>
        <w:pStyle w:val="BodyText"/>
        <w:ind w:left="100"/>
      </w:pPr>
      <w:r>
        <w:rPr/>
        <w:t>where</w:t>
      </w:r>
      <w:r>
        <w:rPr>
          <w:spacing w:val="-1"/>
        </w:rPr>
        <w:t> </w:t>
      </w:r>
      <w:r>
        <w:rPr/>
        <w:t>FAS</w:t>
      </w:r>
      <w:r>
        <w:rPr>
          <w:spacing w:val="-1"/>
        </w:rPr>
        <w:t> </w:t>
      </w:r>
      <w:r>
        <w:rPr/>
        <w:t>represent family</w:t>
      </w:r>
      <w:r>
        <w:rPr>
          <w:spacing w:val="-8"/>
        </w:rPr>
        <w:t> </w:t>
      </w:r>
      <w:r>
        <w:rPr/>
        <w:t>size,</w:t>
      </w:r>
    </w:p>
    <w:p>
      <w:pPr>
        <w:pStyle w:val="BodyText"/>
        <w:spacing w:before="140"/>
        <w:ind w:left="820"/>
      </w:pPr>
      <w:r>
        <w:rPr/>
        <w:t>EDU</w:t>
      </w:r>
      <w:r>
        <w:rPr>
          <w:spacing w:val="-2"/>
        </w:rPr>
        <w:t> </w:t>
      </w:r>
      <w:r>
        <w:rPr/>
        <w:t>denotes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</w:t>
      </w:r>
    </w:p>
    <w:p>
      <w:pPr>
        <w:spacing w:before="92"/>
        <w:ind w:left="100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𝑖=1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80" w:bottom="280" w:left="1340" w:right="1320"/>
          <w:cols w:num="2" w:equalWidth="0">
            <w:col w:w="3985" w:space="288"/>
            <w:col w:w="5307"/>
          </w:cols>
        </w:sectPr>
      </w:pPr>
    </w:p>
    <w:p>
      <w:pPr>
        <w:pStyle w:val="BodyText"/>
        <w:spacing w:line="360" w:lineRule="auto" w:before="136"/>
        <w:ind w:left="820" w:right="4473"/>
      </w:pPr>
      <w:r>
        <w:rPr/>
        <w:t>GND</w:t>
      </w:r>
      <w:r>
        <w:rPr>
          <w:spacing w:val="-3"/>
        </w:rPr>
        <w:t> </w:t>
      </w:r>
      <w:r>
        <w:rPr/>
        <w:t>indicates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gender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respondent,</w:t>
      </w:r>
      <w:r>
        <w:rPr>
          <w:spacing w:val="-57"/>
        </w:rPr>
        <w:t> </w:t>
      </w:r>
      <w:r>
        <w:rPr/>
        <w:t>MRS</w:t>
      </w:r>
      <w:r>
        <w:rPr>
          <w:spacing w:val="-1"/>
        </w:rPr>
        <w:t> </w:t>
      </w:r>
      <w:r>
        <w:rPr/>
        <w:t>is their marital status,</w:t>
      </w:r>
    </w:p>
    <w:p>
      <w:pPr>
        <w:pStyle w:val="BodyText"/>
        <w:spacing w:before="1"/>
        <w:ind w:left="820"/>
      </w:pPr>
      <w:r>
        <w:rPr/>
        <w:t>Y</w:t>
      </w:r>
      <w:r>
        <w:rPr>
          <w:spacing w:val="-2"/>
        </w:rPr>
        <w:t> </w:t>
      </w:r>
      <w:r>
        <w:rPr/>
        <w:t>is households’</w:t>
      </w:r>
      <w:r>
        <w:rPr>
          <w:spacing w:val="-1"/>
        </w:rPr>
        <w:t> </w:t>
      </w:r>
      <w:r>
        <w:rPr/>
        <w:t>incomes,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before="139"/>
        <w:ind w:left="820"/>
      </w:pPr>
      <w:r>
        <w:rPr/>
        <w:t>GIN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Gini-coefficient (see</w:t>
      </w:r>
      <w:r>
        <w:rPr>
          <w:spacing w:val="-2"/>
        </w:rPr>
        <w:t> </w:t>
      </w:r>
      <w:r>
        <w:rPr/>
        <w:t>Table A2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detailed).</w:t>
      </w:r>
    </w:p>
    <w:p>
      <w:pPr>
        <w:spacing w:after="0"/>
        <w:sectPr>
          <w:type w:val="continuous"/>
          <w:pgSz w:w="12240" w:h="15840"/>
          <w:pgMar w:top="1380" w:bottom="280" w:left="1340" w:right="1320"/>
        </w:sectPr>
      </w:pPr>
    </w:p>
    <w:p>
      <w:pPr>
        <w:pStyle w:val="Heading4"/>
        <w:tabs>
          <w:tab w:pos="1540" w:val="left" w:leader="none"/>
        </w:tabs>
        <w:spacing w:before="79"/>
        <w:ind w:left="100"/>
        <w:jc w:val="left"/>
      </w:pPr>
      <w:r>
        <w:rPr/>
        <w:t>Table</w:t>
      </w:r>
      <w:r>
        <w:rPr>
          <w:spacing w:val="-1"/>
        </w:rPr>
        <w:t> </w:t>
      </w:r>
      <w:r>
        <w:rPr/>
        <w:t>4.2:</w:t>
        <w:tab/>
        <w:t>A-priori</w:t>
      </w:r>
      <w:r>
        <w:rPr>
          <w:spacing w:val="-1"/>
        </w:rPr>
        <w:t> </w:t>
      </w:r>
      <w:r>
        <w:rPr/>
        <w:t>Expectations</w:t>
      </w:r>
      <w:r>
        <w:rPr>
          <w:spacing w:val="-2"/>
        </w:rPr>
        <w:t> </w:t>
      </w:r>
      <w:r>
        <w:rPr/>
        <w:t>(Income</w:t>
      </w:r>
      <w:r>
        <w:rPr>
          <w:spacing w:val="-3"/>
        </w:rPr>
        <w:t> </w:t>
      </w:r>
      <w:r>
        <w:rPr/>
        <w:t>Inequality-Health-Seeking</w:t>
      </w:r>
      <w:r>
        <w:rPr>
          <w:spacing w:val="-1"/>
        </w:rPr>
        <w:t> </w:t>
      </w:r>
      <w:r>
        <w:rPr/>
        <w:t>Behaviour</w:t>
      </w:r>
      <w:r>
        <w:rPr>
          <w:spacing w:val="-3"/>
        </w:rPr>
        <w:t> </w:t>
      </w:r>
      <w:r>
        <w:rPr/>
        <w:t>Links)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863"/>
        <w:gridCol w:w="6837"/>
      </w:tblGrid>
      <w:tr>
        <w:trPr>
          <w:trHeight w:val="302" w:hRule="atLeast"/>
        </w:trPr>
        <w:tc>
          <w:tcPr>
            <w:tcW w:w="165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COEFF.</w:t>
            </w:r>
          </w:p>
        </w:tc>
        <w:tc>
          <w:tcPr>
            <w:tcW w:w="863" w:type="dxa"/>
          </w:tcPr>
          <w:p>
            <w:pPr>
              <w:pStyle w:val="TableParagraph"/>
              <w:spacing w:line="270" w:lineRule="exact"/>
              <w:ind w:left="87" w:right="1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</w:t>
            </w:r>
          </w:p>
        </w:tc>
        <w:tc>
          <w:tcPr>
            <w:tcW w:w="6837" w:type="dxa"/>
          </w:tcPr>
          <w:p>
            <w:pPr>
              <w:pStyle w:val="TableParagraph"/>
              <w:spacing w:line="270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WHY?</w:t>
            </w:r>
          </w:p>
        </w:tc>
      </w:tr>
      <w:tr>
        <w:trPr>
          <w:trHeight w:val="299" w:hRule="atLeast"/>
        </w:trPr>
        <w:tc>
          <w:tcPr>
            <w:tcW w:w="2517" w:type="dxa"/>
            <w:gridSpan w:val="2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DIRECT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EFFECT:</w:t>
            </w:r>
          </w:p>
        </w:tc>
        <w:tc>
          <w:tcPr>
            <w:tcW w:w="683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65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Income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Inequality</w:t>
            </w:r>
          </w:p>
        </w:tc>
        <w:tc>
          <w:tcPr>
            <w:tcW w:w="863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6837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Rising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increase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Political and Opportunity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Capture. This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could lead</w:t>
            </w:r>
          </w:p>
          <w:p>
            <w:pPr>
              <w:pStyle w:val="TableParagraph"/>
              <w:spacing w:line="26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Inappropriate HSB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(Fuentes-Nieva,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2014)</w:t>
            </w:r>
          </w:p>
        </w:tc>
      </w:tr>
      <w:tr>
        <w:trPr>
          <w:trHeight w:val="299" w:hRule="atLeast"/>
        </w:trPr>
        <w:tc>
          <w:tcPr>
            <w:tcW w:w="2517" w:type="dxa"/>
            <w:gridSpan w:val="2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INDIRECT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EFFECT:</w:t>
            </w:r>
          </w:p>
        </w:tc>
        <w:tc>
          <w:tcPr>
            <w:tcW w:w="683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65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Family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</w:p>
        </w:tc>
        <w:tc>
          <w:tcPr>
            <w:tcW w:w="863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-</w:t>
            </w:r>
          </w:p>
        </w:tc>
        <w:tc>
          <w:tcPr>
            <w:tcW w:w="6837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weaken purchasing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power, 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FS could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leads to</w:t>
            </w:r>
          </w:p>
          <w:p>
            <w:pPr>
              <w:pStyle w:val="TableParagraph"/>
              <w:spacing w:line="26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Inappropriate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HSB</w:t>
            </w:r>
          </w:p>
        </w:tc>
      </w:tr>
      <w:tr>
        <w:trPr>
          <w:trHeight w:val="299" w:hRule="atLeast"/>
        </w:trPr>
        <w:tc>
          <w:tcPr>
            <w:tcW w:w="165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(Huang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al. 2017)</w:t>
            </w:r>
          </w:p>
        </w:tc>
      </w:tr>
      <w:tr>
        <w:trPr>
          <w:trHeight w:val="302" w:hRule="atLeast"/>
        </w:trPr>
        <w:tc>
          <w:tcPr>
            <w:tcW w:w="165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Education</w:t>
            </w:r>
          </w:p>
        </w:tc>
        <w:tc>
          <w:tcPr>
            <w:tcW w:w="863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6837" w:type="dxa"/>
          </w:tcPr>
          <w:p>
            <w:pPr>
              <w:pStyle w:val="TableParagraph"/>
              <w:spacing w:line="270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Literacy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level is crucial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medical-care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seeking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(Rochelle, 2019)</w:t>
            </w:r>
          </w:p>
        </w:tc>
      </w:tr>
      <w:tr>
        <w:trPr>
          <w:trHeight w:val="552" w:hRule="atLeast"/>
        </w:trPr>
        <w:tc>
          <w:tcPr>
            <w:tcW w:w="165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Gender</w:t>
            </w:r>
          </w:p>
        </w:tc>
        <w:tc>
          <w:tcPr>
            <w:tcW w:w="863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6837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both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female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seek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medical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services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(Senbeto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al.</w:t>
            </w:r>
          </w:p>
          <w:p>
            <w:pPr>
              <w:pStyle w:val="TableParagraph"/>
              <w:spacing w:line="26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2013)</w:t>
            </w:r>
          </w:p>
        </w:tc>
      </w:tr>
      <w:tr>
        <w:trPr>
          <w:trHeight w:val="551" w:hRule="atLeast"/>
        </w:trPr>
        <w:tc>
          <w:tcPr>
            <w:tcW w:w="165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Marital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Status</w:t>
            </w:r>
          </w:p>
        </w:tc>
        <w:tc>
          <w:tcPr>
            <w:tcW w:w="863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6837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citizens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should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seek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medical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services (Vespa &amp;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Painter,</w:t>
            </w:r>
          </w:p>
          <w:p>
            <w:pPr>
              <w:pStyle w:val="TableParagraph"/>
              <w:spacing w:line="26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2011)</w:t>
            </w:r>
          </w:p>
        </w:tc>
      </w:tr>
      <w:tr>
        <w:trPr>
          <w:trHeight w:val="551" w:hRule="atLeast"/>
        </w:trPr>
        <w:tc>
          <w:tcPr>
            <w:tcW w:w="165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Incomes</w:t>
            </w:r>
          </w:p>
        </w:tc>
        <w:tc>
          <w:tcPr>
            <w:tcW w:w="863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6837" w:type="dxa"/>
          </w:tcPr>
          <w:p>
            <w:pPr>
              <w:pStyle w:val="TableParagraph"/>
              <w:spacing w:line="268" w:lineRule="exact"/>
              <w:ind w:left="10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With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rising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II,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↑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Employment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Income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motives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seeking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medical-</w:t>
            </w:r>
          </w:p>
          <w:p>
            <w:pPr>
              <w:pStyle w:val="TableParagraph"/>
              <w:spacing w:line="26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(Nonvignon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2017)</w:t>
            </w:r>
          </w:p>
        </w:tc>
      </w:tr>
    </w:tbl>
    <w:p>
      <w:pPr>
        <w:pStyle w:val="BodyText"/>
        <w:ind w:left="100"/>
      </w:pPr>
      <w:r>
        <w:rPr>
          <w:i/>
        </w:rPr>
        <w:t>Source:</w:t>
      </w:r>
      <w:r>
        <w:rPr>
          <w:i/>
          <w:spacing w:val="-1"/>
        </w:rPr>
        <w:t> </w:t>
      </w:r>
      <w:r>
        <w:rPr/>
        <w:t>Insights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theories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empirics</w:t>
      </w:r>
    </w:p>
    <w:p>
      <w:pPr>
        <w:pStyle w:val="BodyText"/>
        <w:spacing w:before="4"/>
        <w:rPr>
          <w:sz w:val="29"/>
        </w:rPr>
      </w:pPr>
    </w:p>
    <w:p>
      <w:pPr>
        <w:pStyle w:val="Heading4"/>
        <w:numPr>
          <w:ilvl w:val="1"/>
          <w:numId w:val="12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41" w:id="36"/>
      <w:r>
        <w:rPr/>
        <w:t>Estimation</w:t>
      </w:r>
      <w:r>
        <w:rPr>
          <w:spacing w:val="-3"/>
        </w:rPr>
        <w:t> </w:t>
      </w:r>
      <w:bookmarkEnd w:id="36"/>
      <w:r>
        <w:rPr/>
        <w:t>Procedures</w:t>
      </w:r>
    </w:p>
    <w:p>
      <w:pPr>
        <w:pStyle w:val="Heading5"/>
        <w:numPr>
          <w:ilvl w:val="2"/>
          <w:numId w:val="12"/>
        </w:numPr>
        <w:tabs>
          <w:tab w:pos="821" w:val="left" w:leader="none"/>
        </w:tabs>
        <w:spacing w:line="240" w:lineRule="auto" w:before="62" w:after="0"/>
        <w:ind w:left="820" w:right="0" w:hanging="721"/>
        <w:jc w:val="both"/>
      </w:pPr>
      <w:bookmarkStart w:name="_TOC_250040" w:id="37"/>
      <w:r>
        <w:rPr/>
        <w:t>Panel</w:t>
      </w:r>
      <w:r>
        <w:rPr>
          <w:spacing w:val="-1"/>
        </w:rPr>
        <w:t> </w:t>
      </w:r>
      <w:r>
        <w:rPr/>
        <w:t>Logistic</w:t>
      </w:r>
      <w:r>
        <w:rPr>
          <w:spacing w:val="-2"/>
        </w:rPr>
        <w:t> </w:t>
      </w:r>
      <w:bookmarkEnd w:id="37"/>
      <w:r>
        <w:rPr/>
        <w:t>Regression</w:t>
      </w:r>
    </w:p>
    <w:p>
      <w:pPr>
        <w:pStyle w:val="BodyText"/>
        <w:spacing w:line="360" w:lineRule="auto" w:before="17"/>
        <w:ind w:left="100" w:right="119"/>
        <w:jc w:val="both"/>
      </w:pPr>
      <w:r>
        <w:rPr/>
        <w:t>As previously stated, the dependent variables estimated in this study are dichotomous in nature.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is,</w:t>
      </w:r>
      <w:r>
        <w:rPr>
          <w:spacing w:val="-3"/>
        </w:rPr>
        <w:t> </w:t>
      </w:r>
      <w:r>
        <w:rPr/>
        <w:t>they</w:t>
      </w:r>
      <w:r>
        <w:rPr>
          <w:spacing w:val="-8"/>
        </w:rPr>
        <w:t> </w:t>
      </w:r>
      <w:r>
        <w:rPr/>
        <w:t>take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0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1.</w:t>
      </w:r>
      <w:r>
        <w:rPr>
          <w:spacing w:val="-1"/>
        </w:rPr>
        <w:t> </w:t>
      </w:r>
      <w:r>
        <w:rPr/>
        <w:t>Consequently,</w:t>
      </w:r>
      <w:r>
        <w:rPr>
          <w:spacing w:val="2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statistical</w:t>
      </w:r>
      <w:r>
        <w:rPr>
          <w:spacing w:val="-2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required</w:t>
      </w:r>
      <w:r>
        <w:rPr>
          <w:spacing w:val="-58"/>
        </w:rPr>
        <w:t> </w:t>
      </w:r>
      <w:r>
        <w:rPr/>
        <w:t>in order to account for this nature. Therefore, the study makes use of panel logistic regression</w:t>
      </w:r>
      <w:r>
        <w:rPr>
          <w:spacing w:val="1"/>
        </w:rPr>
        <w:t> </w:t>
      </w:r>
      <w:r>
        <w:rPr/>
        <w:t>considering the observations on households over multiple time periods. Deaton (2018) noted that</w:t>
      </w:r>
      <w:r>
        <w:rPr>
          <w:spacing w:val="-57"/>
        </w:rPr>
        <w:t> </w:t>
      </w:r>
      <w:r>
        <w:rPr/>
        <w:t>following the same households over a substantial period of time, is an important consideration</w:t>
      </w:r>
      <w:r>
        <w:rPr>
          <w:spacing w:val="1"/>
        </w:rPr>
        <w:t> </w:t>
      </w:r>
      <w:r>
        <w:rPr/>
        <w:t>when conducting</w:t>
      </w:r>
      <w:r>
        <w:rPr>
          <w:spacing w:val="-4"/>
        </w:rPr>
        <w:t> </w:t>
      </w:r>
      <w:r>
        <w:rPr/>
        <w:t>analysis</w:t>
      </w:r>
      <w:r>
        <w:rPr>
          <w:spacing w:val="2"/>
        </w:rPr>
        <w:t> </w:t>
      </w:r>
      <w:r>
        <w:rPr/>
        <w:t>with panel data</w:t>
      </w:r>
      <w:r>
        <w:rPr>
          <w:vertAlign w:val="superscript"/>
        </w:rPr>
        <w:t>12</w:t>
      </w:r>
      <w:r>
        <w:rPr>
          <w:vertAlign w:val="baseline"/>
        </w:rPr>
        <w:t>.</w:t>
      </w:r>
    </w:p>
    <w:p>
      <w:pPr>
        <w:pStyle w:val="BodyText"/>
        <w:spacing w:line="360" w:lineRule="auto" w:before="161"/>
        <w:ind w:left="100" w:right="115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general</w:t>
      </w:r>
      <w:r>
        <w:rPr>
          <w:spacing w:val="-10"/>
        </w:rPr>
        <w:t> </w:t>
      </w:r>
      <w:r>
        <w:rPr/>
        <w:t>specification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estimate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income</w:t>
      </w:r>
      <w:r>
        <w:rPr>
          <w:spacing w:val="-11"/>
        </w:rPr>
        <w:t> </w:t>
      </w:r>
      <w:r>
        <w:rPr/>
        <w:t>inequality</w:t>
      </w:r>
      <w:r>
        <w:rPr>
          <w:spacing w:val="-15"/>
        </w:rPr>
        <w:t> </w:t>
      </w:r>
      <w:r>
        <w:rPr/>
        <w:t>on</w:t>
      </w:r>
      <w:r>
        <w:rPr>
          <w:spacing w:val="-10"/>
        </w:rPr>
        <w:t> </w:t>
      </w:r>
      <w:r>
        <w:rPr/>
        <w:t>health</w:t>
      </w:r>
      <w:r>
        <w:rPr>
          <w:spacing w:val="-10"/>
        </w:rPr>
        <w:t> </w:t>
      </w:r>
      <w:r>
        <w:rPr/>
        <w:t>outcome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health-</w:t>
      </w:r>
      <w:r>
        <w:rPr>
          <w:spacing w:val="-57"/>
        </w:rPr>
        <w:t> </w:t>
      </w:r>
      <w:r>
        <w:rPr/>
        <w:t>seeking</w:t>
      </w:r>
      <w:r>
        <w:rPr>
          <w:spacing w:val="-3"/>
        </w:rPr>
        <w:t> </w:t>
      </w:r>
      <w:r>
        <w:rPr/>
        <w:t>behavior in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panel data</w:t>
      </w:r>
      <w:r>
        <w:rPr>
          <w:spacing w:val="-1"/>
        </w:rPr>
        <w:t> </w:t>
      </w:r>
      <w:r>
        <w:rPr/>
        <w:t>is:</w:t>
      </w:r>
    </w:p>
    <w:p>
      <w:pPr>
        <w:pStyle w:val="BodyText"/>
        <w:tabs>
          <w:tab w:pos="8741" w:val="left" w:leader="none"/>
        </w:tabs>
        <w:spacing w:line="280" w:lineRule="exact"/>
        <w:ind w:left="820"/>
      </w:pPr>
      <w:r>
        <w:rPr>
          <w:rFonts w:ascii="Cambria Math" w:hAnsi="Cambria Math" w:eastAsia="Cambria Math"/>
          <w:w w:val="105"/>
        </w:rPr>
        <w:t>𝐻</w:t>
      </w:r>
      <w:r>
        <w:rPr>
          <w:rFonts w:ascii="Cambria Math" w:hAnsi="Cambria Math" w:eastAsia="Cambria Math"/>
          <w:w w:val="105"/>
          <w:vertAlign w:val="subscript"/>
        </w:rPr>
        <w:t>ℎ𝑡</w:t>
      </w:r>
      <w:r>
        <w:rPr>
          <w:rFonts w:ascii="Cambria Math" w:hAnsi="Cambria Math" w:eastAsia="Cambria Math"/>
          <w:spacing w:val="2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𝐾</w:t>
      </w:r>
      <w:r>
        <w:rPr>
          <w:rFonts w:ascii="Cambria Math" w:hAnsi="Cambria Math" w:eastAsia="Cambria Math"/>
          <w:w w:val="105"/>
          <w:vertAlign w:val="subscript"/>
        </w:rPr>
        <w:t>ℎ𝑡</w:t>
      </w:r>
      <w:r>
        <w:rPr>
          <w:rFonts w:ascii="Cambria Math" w:hAnsi="Cambria Math" w:eastAsia="Cambria Math"/>
          <w:w w:val="105"/>
          <w:vertAlign w:val="baseline"/>
        </w:rPr>
        <w:t>𝛽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5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w w:val="105"/>
          <w:vertAlign w:val="subscript"/>
        </w:rPr>
        <w:t>𝑡</w:t>
      </w:r>
      <w:r>
        <w:rPr>
          <w:rFonts w:ascii="Cambria Math" w:hAnsi="Cambria Math" w:eastAsia="Cambria Math"/>
          <w:w w:val="105"/>
          <w:vertAlign w:val="baseline"/>
        </w:rPr>
        <w:t>𝛿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4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𝑣</w:t>
      </w:r>
      <w:r>
        <w:rPr>
          <w:rFonts w:ascii="Cambria Math" w:hAnsi="Cambria Math" w:eastAsia="Cambria Math"/>
          <w:w w:val="105"/>
          <w:vertAlign w:val="subscript"/>
        </w:rPr>
        <w:t>ℎ𝑡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(4.13)</w:t>
      </w:r>
    </w:p>
    <w:p>
      <w:pPr>
        <w:pStyle w:val="BodyText"/>
        <w:spacing w:line="352" w:lineRule="auto" w:before="141"/>
        <w:ind w:left="100" w:right="112"/>
        <w:jc w:val="both"/>
      </w:pPr>
      <w:r>
        <w:rPr/>
        <w:t>where </w:t>
      </w: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position w:val="-4"/>
          <w:sz w:val="17"/>
        </w:rPr>
        <w:t>ℎ𝑡</w:t>
      </w:r>
      <w:r>
        <w:rPr>
          <w:rFonts w:ascii="Cambria Math" w:hAnsi="Cambria Math" w:eastAsia="Cambria Math"/>
          <w:spacing w:val="1"/>
          <w:position w:val="-4"/>
          <w:sz w:val="17"/>
        </w:rPr>
        <w:t> </w:t>
      </w:r>
      <w:r>
        <w:rPr/>
        <w:t>represents the dependent variables of household </w:t>
      </w:r>
      <w:r>
        <w:rPr>
          <w:rFonts w:ascii="Cambria Math" w:hAnsi="Cambria Math" w:eastAsia="Cambria Math"/>
        </w:rPr>
        <w:t>ℎ </w:t>
      </w:r>
      <w:r>
        <w:rPr/>
        <w:t>in wave </w:t>
      </w:r>
      <w:r>
        <w:rPr>
          <w:rFonts w:ascii="Cambria Math" w:hAnsi="Cambria Math" w:eastAsia="Cambria Math"/>
        </w:rPr>
        <w:t>𝑡</w:t>
      </w:r>
      <w:r>
        <w:rPr/>
        <w:t>.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4"/>
          <w:sz w:val="17"/>
        </w:rPr>
        <w:t>ℎ𝑡</w:t>
      </w:r>
      <w:r>
        <w:rPr>
          <w:rFonts w:ascii="Cambria Math" w:hAnsi="Cambria Math" w:eastAsia="Cambria Math"/>
          <w:spacing w:val="1"/>
          <w:position w:val="-4"/>
          <w:sz w:val="17"/>
        </w:rPr>
        <w:t> </w:t>
      </w:r>
      <w:r>
        <w:rPr/>
        <w:t>is a vector of time-</w:t>
      </w:r>
      <w:r>
        <w:rPr>
          <w:spacing w:val="1"/>
        </w:rPr>
        <w:t> </w:t>
      </w:r>
      <w:r>
        <w:rPr/>
        <w:t>varying</w:t>
      </w:r>
      <w:r>
        <w:rPr>
          <w:spacing w:val="-10"/>
        </w:rPr>
        <w:t> </w:t>
      </w:r>
      <w:r>
        <w:rPr/>
        <w:t>covariates,</w:t>
      </w:r>
      <w:r>
        <w:rPr>
          <w:spacing w:val="-9"/>
        </w:rPr>
        <w:t> </w:t>
      </w:r>
      <w:r>
        <w:rPr/>
        <w:t>including</w:t>
      </w:r>
      <w:r>
        <w:rPr>
          <w:spacing w:val="-12"/>
        </w:rPr>
        <w:t> </w:t>
      </w:r>
      <w:r>
        <w:rPr/>
        <w:t>household’s</w:t>
      </w:r>
      <w:r>
        <w:rPr>
          <w:spacing w:val="-9"/>
        </w:rPr>
        <w:t> </w:t>
      </w:r>
      <w:r>
        <w:rPr/>
        <w:t>characteristics</w:t>
      </w:r>
      <w:r>
        <w:rPr>
          <w:spacing w:val="-10"/>
        </w:rPr>
        <w:t> </w:t>
      </w:r>
      <w:r>
        <w:rPr/>
        <w:t>(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aggregated</w:t>
      </w:r>
      <w:r>
        <w:rPr>
          <w:spacing w:val="-10"/>
          <w:vertAlign w:val="baseline"/>
        </w:rPr>
        <w:t> </w:t>
      </w:r>
      <w:r>
        <w:rPr>
          <w:vertAlign w:val="baseline"/>
        </w:rPr>
        <w:t>household’s</w:t>
      </w:r>
      <w:r>
        <w:rPr>
          <w:spacing w:val="-9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58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ℎ</w:t>
      </w:r>
      <w:r>
        <w:rPr>
          <w:vertAlign w:val="baseline"/>
        </w:rPr>
        <w:t>).</w:t>
      </w:r>
      <w:r>
        <w:rPr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𝐿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time-invariant</w:t>
      </w:r>
      <w:r>
        <w:rPr>
          <w:spacing w:val="-10"/>
          <w:vertAlign w:val="baseline"/>
        </w:rPr>
        <w:t> </w:t>
      </w:r>
      <w:r>
        <w:rPr>
          <w:vertAlign w:val="baseline"/>
        </w:rPr>
        <w:t>covariates,</w:t>
      </w:r>
      <w:r>
        <w:rPr>
          <w:spacing w:val="-9"/>
          <w:vertAlign w:val="baseline"/>
        </w:rPr>
        <w:t> </w:t>
      </w:r>
      <w:r>
        <w:rPr>
          <w:vertAlign w:val="baseline"/>
        </w:rPr>
        <w:t>such</w:t>
      </w:r>
      <w:r>
        <w:rPr>
          <w:spacing w:val="-9"/>
          <w:vertAlign w:val="baseline"/>
        </w:rPr>
        <w:t> </w:t>
      </w:r>
      <w:r>
        <w:rPr>
          <w:vertAlign w:val="baseline"/>
        </w:rPr>
        <w:t>as,</w:t>
      </w:r>
      <w:r>
        <w:rPr>
          <w:spacing w:val="-9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11"/>
          <w:vertAlign w:val="baseline"/>
        </w:rPr>
        <w:t> </w:t>
      </w:r>
      <w:r>
        <w:rPr>
          <w:vertAlign w:val="baseline"/>
        </w:rPr>
        <w:t>inequality</w:t>
      </w:r>
      <w:r>
        <w:rPr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(𝑍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)</w:t>
      </w:r>
      <w:r>
        <w:rPr>
          <w:vertAlign w:val="baseline"/>
        </w:rPr>
        <w:t>.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subscript</w:t>
      </w:r>
      <w:r>
        <w:rPr>
          <w:spacing w:val="-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ℎ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vertAlign w:val="baseline"/>
        </w:rPr>
        <w:t>runs</w:t>
      </w:r>
      <w:r>
        <w:rPr>
          <w:spacing w:val="-10"/>
          <w:vertAlign w:val="baseline"/>
        </w:rPr>
        <w:t> </w:t>
      </w:r>
      <w:r>
        <w:rPr>
          <w:vertAlign w:val="baseline"/>
        </w:rPr>
        <w:t>from</w:t>
      </w:r>
      <w:r>
        <w:rPr>
          <w:spacing w:val="-58"/>
          <w:vertAlign w:val="baseline"/>
        </w:rPr>
        <w:t> </w:t>
      </w:r>
      <w:r>
        <w:rPr>
          <w:vertAlign w:val="baseline"/>
        </w:rPr>
        <w:t>1 to N, the sample size of households in 36 states and FCT (Abuja); and </w:t>
      </w:r>
      <w:r>
        <w:rPr>
          <w:rFonts w:ascii="Cambria Math" w:hAnsi="Cambria Math" w:eastAsia="Cambria Math"/>
          <w:vertAlign w:val="baseline"/>
        </w:rPr>
        <w:t>𝑡 </w:t>
      </w:r>
      <w:r>
        <w:rPr>
          <w:vertAlign w:val="baseline"/>
        </w:rPr>
        <w:t>from 1 to T, where T is</w:t>
      </w:r>
      <w:r>
        <w:rPr>
          <w:spacing w:val="-57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-6"/>
          <w:vertAlign w:val="baseline"/>
        </w:rPr>
        <w:t> </w:t>
      </w:r>
      <w:r>
        <w:rPr>
          <w:vertAlign w:val="baseline"/>
        </w:rPr>
        <w:t>small often just two (see</w:t>
      </w:r>
      <w:r>
        <w:rPr>
          <w:spacing w:val="-1"/>
          <w:vertAlign w:val="baseline"/>
        </w:rPr>
        <w:t> </w:t>
      </w:r>
      <w:r>
        <w:rPr>
          <w:vertAlign w:val="baseline"/>
        </w:rPr>
        <w:t>Deaton, 2018:106).</w:t>
      </w:r>
    </w:p>
    <w:p>
      <w:pPr>
        <w:pStyle w:val="BodyText"/>
        <w:spacing w:before="5"/>
        <w:rPr>
          <w:sz w:val="27"/>
        </w:rPr>
      </w:pPr>
      <w:r>
        <w:rPr/>
        <w:pict>
          <v:rect style="position:absolute;margin-left:72.024002pt;margin-top:17.742676pt;width:144.020pt;height:.72003pt;mso-position-horizontal-relative:page;mso-position-vertical-relative:paragraph;z-index:-15684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5" w:lineRule="auto" w:before="74"/>
        <w:ind w:left="100" w:right="215" w:firstLine="0"/>
        <w:jc w:val="left"/>
        <w:rPr>
          <w:sz w:val="20"/>
        </w:rPr>
      </w:pPr>
      <w:r>
        <w:rPr>
          <w:rFonts w:ascii="Calibri" w:hAnsi="Calibri"/>
          <w:sz w:val="20"/>
          <w:vertAlign w:val="superscript"/>
        </w:rPr>
        <w:t>12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NGHPS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(like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some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World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Bank’s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Living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Standards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Measurement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Study),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households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were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visited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twice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(post-planting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post-harvest)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 repeat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interviews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without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replacement.</w:t>
      </w:r>
    </w:p>
    <w:p>
      <w:pPr>
        <w:spacing w:after="0" w:line="235" w:lineRule="auto"/>
        <w:jc w:val="left"/>
        <w:rPr>
          <w:sz w:val="20"/>
        </w:rPr>
        <w:sectPr>
          <w:pgSz w:w="12240" w:h="15840"/>
          <w:pgMar w:header="0" w:footer="1015" w:top="1360" w:bottom="1200" w:left="1340" w:right="1320"/>
        </w:sectPr>
      </w:pPr>
    </w:p>
    <w:p>
      <w:pPr>
        <w:pStyle w:val="BodyText"/>
        <w:spacing w:line="360" w:lineRule="auto" w:before="74"/>
        <w:ind w:left="100" w:right="113"/>
        <w:jc w:val="both"/>
      </w:pPr>
      <w:r>
        <w:rPr/>
        <w:t>Equation</w:t>
      </w:r>
      <w:r>
        <w:rPr>
          <w:spacing w:val="-11"/>
        </w:rPr>
        <w:t> </w:t>
      </w:r>
      <w:r>
        <w:rPr/>
        <w:t>(4.13)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simple</w:t>
      </w:r>
      <w:r>
        <w:rPr>
          <w:spacing w:val="-11"/>
        </w:rPr>
        <w:t> </w:t>
      </w:r>
      <w:r>
        <w:rPr>
          <w:i/>
        </w:rPr>
        <w:t>pooled</w:t>
      </w:r>
      <w:r>
        <w:rPr>
          <w:i/>
          <w:spacing w:val="-8"/>
        </w:rPr>
        <w:t> </w:t>
      </w:r>
      <w:r>
        <w:rPr>
          <w:i/>
        </w:rPr>
        <w:t>OLS</w:t>
      </w:r>
      <w:r>
        <w:rPr>
          <w:i/>
          <w:spacing w:val="-11"/>
        </w:rPr>
        <w:t> </w:t>
      </w:r>
      <w:r>
        <w:rPr>
          <w:i/>
        </w:rPr>
        <w:t>model</w:t>
      </w:r>
      <w:r>
        <w:rPr>
          <w:i/>
          <w:spacing w:val="-7"/>
        </w:rPr>
        <w:t> </w:t>
      </w:r>
      <w:r>
        <w:rPr/>
        <w:t>(POLS)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not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most</w:t>
      </w:r>
      <w:r>
        <w:rPr>
          <w:spacing w:val="-8"/>
        </w:rPr>
        <w:t> </w:t>
      </w:r>
      <w:r>
        <w:rPr/>
        <w:t>consistent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efficient</w:t>
      </w:r>
      <w:r>
        <w:rPr>
          <w:spacing w:val="-57"/>
        </w:rPr>
        <w:t> </w:t>
      </w:r>
      <w:r>
        <w:rPr/>
        <w:t>approach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presence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panel</w:t>
      </w:r>
      <w:r>
        <w:rPr>
          <w:spacing w:val="-8"/>
        </w:rPr>
        <w:t> </w:t>
      </w:r>
      <w:r>
        <w:rPr/>
        <w:t>data.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important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note</w:t>
      </w:r>
      <w:r>
        <w:rPr>
          <w:spacing w:val="-9"/>
        </w:rPr>
        <w:t> </w:t>
      </w:r>
      <w:r>
        <w:rPr/>
        <w:t>that,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estimators</w:t>
      </w:r>
      <w:r>
        <w:rPr>
          <w:spacing w:val="-8"/>
        </w:rPr>
        <w:t> </w:t>
      </w:r>
      <w:r>
        <w:rPr>
          <w:b/>
          <w:i/>
        </w:rPr>
        <w:t>β,</w:t>
      </w:r>
      <w:r>
        <w:rPr>
          <w:b/>
          <w:i/>
          <w:spacing w:val="-9"/>
        </w:rPr>
        <w:t> </w:t>
      </w:r>
      <w:r>
        <w:rPr>
          <w:b/>
          <w:i/>
        </w:rPr>
        <w:t>δ</w:t>
      </w:r>
      <w:r>
        <w:rPr>
          <w:b/>
          <w:i/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>
          <w:b/>
          <w:i/>
        </w:rPr>
        <w:t>γ</w:t>
      </w:r>
      <w:r>
        <w:rPr>
          <w:b/>
          <w:i/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POL</w:t>
      </w:r>
      <w:r>
        <w:rPr>
          <w:spacing w:val="-58"/>
        </w:rPr>
        <w:t> </w:t>
      </w:r>
      <w:r>
        <w:rPr/>
        <w:t>model is inefficient because of the unobserved effect in </w:t>
      </w:r>
      <w:r>
        <w:rPr>
          <w:rFonts w:ascii="Cambria Math" w:hAnsi="Cambria Math" w:eastAsia="Cambria Math"/>
        </w:rPr>
        <w:t>𝑣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vertAlign w:val="baseline"/>
        </w:rPr>
        <w:t>. This generate serial autocorrelation;</w:t>
      </w:r>
      <w:r>
        <w:rPr>
          <w:spacing w:val="1"/>
          <w:vertAlign w:val="baseline"/>
        </w:rPr>
        <w:t> </w:t>
      </w:r>
      <w:r>
        <w:rPr>
          <w:vertAlign w:val="baseline"/>
        </w:rPr>
        <w:t>thus, robust test statistics will be needed to deal with this issue. Nevertheless, this study shows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estimates from POLS models to make the thesis’s results as comparable as possible to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estimators</w:t>
      </w:r>
      <w:r>
        <w:rPr>
          <w:spacing w:val="-1"/>
          <w:vertAlign w:val="baseline"/>
        </w:rPr>
        <w:t> </w:t>
      </w:r>
      <w:r>
        <w:rPr>
          <w:vertAlign w:val="baseline"/>
        </w:rPr>
        <w:t>(Johnston </w:t>
      </w:r>
      <w:r>
        <w:rPr>
          <w:i/>
          <w:vertAlign w:val="baseline"/>
        </w:rPr>
        <w:t>et 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2014).</w:t>
      </w:r>
    </w:p>
    <w:p>
      <w:pPr>
        <w:pStyle w:val="BodyText"/>
        <w:spacing w:line="360" w:lineRule="auto" w:before="139"/>
        <w:ind w:left="100" w:right="117"/>
        <w:jc w:val="both"/>
      </w:pPr>
      <w:r>
        <w:rPr/>
        <w:t>Another approach to estimate the effect of income inequality on health outcomes and HSB with</w:t>
      </w:r>
      <w:r>
        <w:rPr>
          <w:spacing w:val="1"/>
        </w:rPr>
        <w:t> </w:t>
      </w:r>
      <w:r>
        <w:rPr/>
        <w:t>panel data is the Random Effect estimator (RE). In this approach, the composite error term </w:t>
      </w:r>
      <w:r>
        <w:rPr>
          <w:rFonts w:ascii="Cambria Math" w:hAnsi="Cambria Math" w:eastAsia="Cambria Math"/>
        </w:rPr>
        <w:t>(𝑣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 (4.13) is splits as follows:</w:t>
      </w:r>
    </w:p>
    <w:p>
      <w:pPr>
        <w:pStyle w:val="BodyText"/>
        <w:tabs>
          <w:tab w:pos="8741" w:val="left" w:leader="none"/>
        </w:tabs>
        <w:spacing w:line="281" w:lineRule="exact"/>
        <w:ind w:left="1540"/>
      </w:pPr>
      <w:r>
        <w:rPr>
          <w:rFonts w:ascii="Cambria Math" w:hAnsi="Cambria Math" w:eastAsia="Cambria Math"/>
          <w:w w:val="105"/>
        </w:rPr>
        <w:t>𝑣</w:t>
      </w:r>
      <w:r>
        <w:rPr>
          <w:rFonts w:ascii="Cambria Math" w:hAnsi="Cambria Math" w:eastAsia="Cambria Math"/>
          <w:w w:val="105"/>
          <w:vertAlign w:val="subscript"/>
        </w:rPr>
        <w:t>ℎ𝑡</w:t>
      </w:r>
      <w:r>
        <w:rPr>
          <w:rFonts w:ascii="Cambria Math" w:hAnsi="Cambria Math" w:eastAsia="Cambria Math"/>
          <w:spacing w:val="2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𝛼</w:t>
      </w:r>
      <w:r>
        <w:rPr>
          <w:rFonts w:ascii="Cambria Math" w:hAnsi="Cambria Math" w:eastAsia="Cambria Math"/>
          <w:w w:val="105"/>
          <w:vertAlign w:val="subscript"/>
        </w:rPr>
        <w:t>ℎ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𝑢</w:t>
      </w:r>
      <w:r>
        <w:rPr>
          <w:rFonts w:ascii="Cambria Math" w:hAnsi="Cambria Math" w:eastAsia="Cambria Math"/>
          <w:w w:val="105"/>
          <w:vertAlign w:val="subscript"/>
        </w:rPr>
        <w:t>ℎ𝑡</w:t>
      </w:r>
      <w:r>
        <w:rPr>
          <w:rFonts w:ascii="Cambria Math" w:hAnsi="Cambria Math" w:eastAsia="Cambria Math"/>
          <w:w w:val="105"/>
          <w:vertAlign w:val="baseline"/>
        </w:rPr>
        <w:tab/>
      </w:r>
      <w:r>
        <w:rPr>
          <w:w w:val="105"/>
          <w:vertAlign w:val="baseline"/>
        </w:rPr>
        <w:t>(4.14)</w:t>
      </w:r>
    </w:p>
    <w:p>
      <w:pPr>
        <w:pStyle w:val="BodyText"/>
        <w:spacing w:line="360" w:lineRule="auto" w:before="139"/>
        <w:ind w:left="100" w:right="116"/>
        <w:jc w:val="both"/>
      </w:pPr>
      <w:r>
        <w:rPr/>
        <w:t>where </w:t>
      </w:r>
      <w:r>
        <w:rPr>
          <w:rFonts w:ascii="Cambria Math" w:hAnsi="Cambria Math" w:eastAsia="Cambria Math"/>
        </w:rPr>
        <w:t>𝛼</w:t>
      </w:r>
      <w:r>
        <w:rPr>
          <w:rFonts w:ascii="Cambria Math" w:hAnsi="Cambria Math" w:eastAsia="Cambria Math"/>
          <w:vertAlign w:val="subscript"/>
        </w:rPr>
        <w:t>ℎ</w:t>
      </w:r>
      <w:r>
        <w:rPr>
          <w:vertAlign w:val="baseline"/>
        </w:rPr>
        <w:t>is a set of time-invariant unobserved households characteristics (e.g. personality traits,</w:t>
      </w:r>
      <w:r>
        <w:rPr>
          <w:spacing w:val="1"/>
          <w:vertAlign w:val="baseline"/>
        </w:rPr>
        <w:t> </w:t>
      </w:r>
      <w:r>
        <w:rPr>
          <w:vertAlign w:val="baseline"/>
        </w:rPr>
        <w:t>genetic inheritance, culture and traditions) and other covariates that explains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vertAlign w:val="baseline"/>
        </w:rPr>
        <w:t>; </w:t>
      </w:r>
      <w:r>
        <w:rPr>
          <w:rFonts w:ascii="Cambria Math" w:hAnsi="Cambria Math" w:eastAsia="Cambria Math"/>
          <w:vertAlign w:val="baseline"/>
        </w:rPr>
        <w:t>𝑢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is the usual</w:t>
      </w:r>
      <w:r>
        <w:rPr>
          <w:spacing w:val="1"/>
          <w:vertAlign w:val="baseline"/>
        </w:rPr>
        <w:t> </w:t>
      </w:r>
      <w:r>
        <w:rPr>
          <w:vertAlign w:val="baseline"/>
        </w:rPr>
        <w:t>random</w:t>
      </w:r>
      <w:r>
        <w:rPr>
          <w:spacing w:val="-1"/>
          <w:vertAlign w:val="baseline"/>
        </w:rPr>
        <w:t> </w:t>
      </w:r>
      <w:r>
        <w:rPr>
          <w:vertAlign w:val="baseline"/>
        </w:rPr>
        <w:t>error in regression estimation.</w:t>
      </w:r>
    </w:p>
    <w:p>
      <w:pPr>
        <w:pStyle w:val="BodyText"/>
        <w:spacing w:line="360" w:lineRule="auto" w:before="70"/>
        <w:ind w:left="100" w:right="117"/>
        <w:jc w:val="both"/>
      </w:pPr>
      <w:r>
        <w:rPr/>
        <w:t>Contrary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POL,</w:t>
      </w:r>
      <w:r>
        <w:rPr>
          <w:spacing w:val="-5"/>
        </w:rPr>
        <w:t> </w:t>
      </w:r>
      <w:r>
        <w:rPr/>
        <w:t>RE</w:t>
      </w:r>
      <w:r>
        <w:rPr>
          <w:spacing w:val="-6"/>
        </w:rPr>
        <w:t> </w:t>
      </w:r>
      <w:r>
        <w:rPr/>
        <w:t>model</w:t>
      </w:r>
      <w:r>
        <w:rPr>
          <w:spacing w:val="-5"/>
        </w:rPr>
        <w:t> </w:t>
      </w:r>
      <w:r>
        <w:rPr/>
        <w:t>assume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unobserved</w:t>
      </w:r>
      <w:r>
        <w:rPr>
          <w:spacing w:val="-6"/>
        </w:rPr>
        <w:t> </w:t>
      </w:r>
      <w:r>
        <w:rPr/>
        <w:t>effect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unknown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represented</w:t>
      </w:r>
      <w:r>
        <w:rPr>
          <w:spacing w:val="-58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random</w:t>
      </w:r>
      <w:r>
        <w:rPr>
          <w:spacing w:val="-2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treated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error</w:t>
      </w:r>
      <w:r>
        <w:rPr>
          <w:spacing w:val="-2"/>
        </w:rPr>
        <w:t> </w:t>
      </w:r>
      <w:r>
        <w:rPr/>
        <w:t>term. It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imposes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restrictive</w:t>
      </w:r>
      <w:r>
        <w:rPr>
          <w:spacing w:val="-2"/>
        </w:rPr>
        <w:t> </w:t>
      </w:r>
      <w:r>
        <w:rPr/>
        <w:t>assumption</w:t>
      </w:r>
      <w:r>
        <w:rPr>
          <w:spacing w:val="-58"/>
        </w:rPr>
        <w:t> </w:t>
      </w:r>
      <w:r>
        <w:rPr/>
        <w:t>than POL, because it</w:t>
      </w:r>
      <w:r>
        <w:rPr>
          <w:spacing w:val="1"/>
        </w:rPr>
        <w:t> </w:t>
      </w:r>
      <w:r>
        <w:rPr/>
        <w:t>includes the unobserved</w:t>
      </w:r>
      <w:r>
        <w:rPr>
          <w:spacing w:val="1"/>
        </w:rPr>
        <w:t> </w:t>
      </w:r>
      <w:r>
        <w:rPr/>
        <w:t>heterogeneity in </w:t>
      </w:r>
      <w:r>
        <w:rPr>
          <w:rFonts w:ascii="Cambria Math" w:hAnsi="Cambria Math" w:eastAsia="Cambria Math"/>
        </w:rPr>
        <w:t>𝑣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estimators </w:t>
      </w:r>
      <w:r>
        <w:rPr>
          <w:b/>
          <w:i/>
          <w:vertAlign w:val="baseline"/>
        </w:rPr>
        <w:t>β,</w:t>
      </w:r>
      <w:r>
        <w:rPr>
          <w:b/>
          <w:i/>
          <w:spacing w:val="-1"/>
          <w:vertAlign w:val="baseline"/>
        </w:rPr>
        <w:t> </w:t>
      </w:r>
      <w:r>
        <w:rPr>
          <w:b/>
          <w:i/>
          <w:vertAlign w:val="baseline"/>
        </w:rPr>
        <w:t>δ</w:t>
      </w:r>
      <w:r>
        <w:rPr>
          <w:b/>
          <w:i/>
          <w:spacing w:val="-1"/>
          <w:vertAlign w:val="baseline"/>
        </w:rPr>
        <w:t> </w:t>
      </w:r>
      <w:r>
        <w:rPr>
          <w:vertAlign w:val="baseline"/>
        </w:rPr>
        <w:t>and </w:t>
      </w:r>
      <w:r>
        <w:rPr>
          <w:b/>
          <w:i/>
          <w:vertAlign w:val="baseline"/>
        </w:rPr>
        <w:t>γ</w:t>
      </w:r>
      <w:r>
        <w:rPr>
          <w:vertAlign w:val="baseline"/>
        </w:rPr>
        <w:t>.</w:t>
      </w:r>
    </w:p>
    <w:p>
      <w:pPr>
        <w:pStyle w:val="BodyText"/>
        <w:spacing w:before="185"/>
        <w:ind w:left="100"/>
        <w:jc w:val="both"/>
      </w:pPr>
      <w:r>
        <w:rPr/>
        <w:t>Thus,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combining</w:t>
      </w:r>
      <w:r>
        <w:rPr>
          <w:spacing w:val="-3"/>
        </w:rPr>
        <w:t> </w:t>
      </w:r>
      <w:r>
        <w:rPr/>
        <w:t>(4.13) and</w:t>
      </w:r>
      <w:r>
        <w:rPr>
          <w:spacing w:val="-1"/>
        </w:rPr>
        <w:t> </w:t>
      </w:r>
      <w:r>
        <w:rPr/>
        <w:t>(4.14) together, Equation (4.15)</w:t>
      </w:r>
      <w:r>
        <w:rPr>
          <w:spacing w:val="-1"/>
        </w:rPr>
        <w:t> </w:t>
      </w:r>
      <w:r>
        <w:rPr/>
        <w:t>becomes:</w:t>
      </w:r>
    </w:p>
    <w:p>
      <w:pPr>
        <w:pStyle w:val="BodyText"/>
        <w:tabs>
          <w:tab w:pos="8741" w:val="left" w:leader="none"/>
        </w:tabs>
        <w:spacing w:line="362" w:lineRule="auto" w:before="137"/>
        <w:ind w:left="100" w:right="123" w:firstLine="719"/>
        <w:jc w:val="both"/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spacing w:val="3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𝛽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𝛿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𝛾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𝛼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𝑢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(4.15)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7"/>
          <w:vertAlign w:val="baseline"/>
        </w:rPr>
        <w:t> </w:t>
      </w:r>
      <w:r>
        <w:rPr>
          <w:vertAlign w:val="baseline"/>
        </w:rPr>
        <w:t>consistent</w:t>
      </w:r>
      <w:r>
        <w:rPr>
          <w:spacing w:val="11"/>
          <w:vertAlign w:val="baseline"/>
        </w:rPr>
        <w:t> </w:t>
      </w:r>
      <w:r>
        <w:rPr>
          <w:vertAlign w:val="baseline"/>
        </w:rPr>
        <w:t>estimation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random-effect</w:t>
      </w:r>
      <w:r>
        <w:rPr>
          <w:spacing w:val="8"/>
          <w:vertAlign w:val="baseline"/>
        </w:rPr>
        <w:t> </w:t>
      </w:r>
      <w:r>
        <w:rPr>
          <w:vertAlign w:val="baseline"/>
        </w:rPr>
        <w:t>model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contingent</w:t>
      </w:r>
      <w:r>
        <w:rPr>
          <w:spacing w:val="9"/>
          <w:vertAlign w:val="baseline"/>
        </w:rPr>
        <w:t> </w:t>
      </w:r>
      <w:r>
        <w:rPr>
          <w:vertAlign w:val="baseline"/>
        </w:rPr>
        <w:t>on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assumption</w:t>
      </w:r>
      <w:r>
        <w:rPr>
          <w:spacing w:val="8"/>
          <w:vertAlign w:val="baseline"/>
        </w:rPr>
        <w:t> </w:t>
      </w:r>
      <w:r>
        <w:rPr>
          <w:vertAlign w:val="baseline"/>
        </w:rPr>
        <w:t>that</w:t>
      </w:r>
    </w:p>
    <w:p>
      <w:pPr>
        <w:pStyle w:val="BodyText"/>
        <w:spacing w:line="360" w:lineRule="auto"/>
        <w:ind w:left="100" w:right="116"/>
        <w:jc w:val="both"/>
      </w:pPr>
      <w:r>
        <w:rPr>
          <w:rFonts w:ascii="Cambria Math" w:hAnsi="Cambria Math" w:eastAsia="Cambria Math"/>
        </w:rPr>
        <w:t>𝛼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is uncorrelated with other covariates </w:t>
      </w:r>
      <w:r>
        <w:rPr>
          <w:rFonts w:ascii="Cambria Math" w:hAnsi="Cambria Math" w:eastAsia="Cambria Math"/>
          <w:vertAlign w:val="baseline"/>
        </w:rPr>
        <w:t>{𝐸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𝛼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, 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, 𝑍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position w:val="1"/>
          <w:vertAlign w:val="baseline"/>
        </w:rPr>
        <w:t>) </w:t>
      </w:r>
      <w:r>
        <w:rPr>
          <w:rFonts w:ascii="Cambria Math" w:hAnsi="Cambria Math" w:eastAsia="Cambria Math"/>
          <w:vertAlign w:val="baseline"/>
        </w:rPr>
        <w:t>= 0}</w:t>
      </w:r>
      <w:r>
        <w:rPr>
          <w:vertAlign w:val="baseline"/>
        </w:rPr>
        <w:t>. For Fixed Effects (FE),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assuming that </w:t>
      </w:r>
      <w:r>
        <w:rPr>
          <w:rFonts w:ascii="Cambria Math" w:hAnsi="Cambria Math" w:eastAsia="Cambria Math"/>
          <w:vertAlign w:val="baseline"/>
        </w:rPr>
        <w:t>𝛼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varies among each state but fixed over time. The parameter </w:t>
      </w:r>
      <w:r>
        <w:rPr>
          <w:rFonts w:ascii="Cambria Math" w:hAnsi="Cambria Math" w:eastAsia="Cambria Math"/>
          <w:vertAlign w:val="baseline"/>
        </w:rPr>
        <w:t>𝛼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is a fixed 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for observation </w:t>
      </w:r>
      <w:r>
        <w:rPr>
          <w:rFonts w:ascii="Cambria Math" w:hAnsi="Cambria Math" w:eastAsia="Cambria Math"/>
          <w:vertAlign w:val="baseline"/>
        </w:rPr>
        <w:t>𝑖</w:t>
      </w:r>
      <w:r>
        <w:rPr>
          <w:vertAlign w:val="baseline"/>
        </w:rPr>
        <w:t>; it measures the unobserved state’s characteristics (conflicts, criminal behavior,</w:t>
      </w:r>
      <w:r>
        <w:rPr>
          <w:spacing w:val="1"/>
          <w:vertAlign w:val="baseline"/>
        </w:rPr>
        <w:t> </w:t>
      </w:r>
      <w:r>
        <w:rPr>
          <w:vertAlign w:val="baseline"/>
        </w:rPr>
        <w:t>widespread corruption, and rise of factionalized elites). Thus, the basic idea of FE model is that a</w:t>
      </w:r>
      <w:r>
        <w:rPr>
          <w:spacing w:val="-57"/>
          <w:vertAlign w:val="baseline"/>
        </w:rPr>
        <w:t> </w:t>
      </w:r>
      <w:r>
        <w:rPr>
          <w:vertAlign w:val="baseline"/>
        </w:rPr>
        <w:t>set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𝛼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vertAlign w:val="baseline"/>
        </w:rPr>
        <w:t>can</w:t>
      </w:r>
      <w:r>
        <w:rPr>
          <w:spacing w:val="-10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-11"/>
          <w:vertAlign w:val="baseline"/>
        </w:rPr>
        <w:t> </w:t>
      </w:r>
      <w:r>
        <w:rPr>
          <w:vertAlign w:val="baseline"/>
        </w:rPr>
        <w:t>all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unobserved</w:t>
      </w:r>
      <w:r>
        <w:rPr>
          <w:spacing w:val="-10"/>
          <w:vertAlign w:val="baseline"/>
        </w:rPr>
        <w:t> </w:t>
      </w:r>
      <w:r>
        <w:rPr>
          <w:vertAlign w:val="baseline"/>
        </w:rPr>
        <w:t>heterogeneity.</w:t>
      </w:r>
      <w:r>
        <w:rPr>
          <w:spacing w:val="-1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that,</w:t>
      </w:r>
      <w:r>
        <w:rPr>
          <w:spacing w:val="-10"/>
          <w:vertAlign w:val="baseline"/>
        </w:rPr>
        <w:t> </w:t>
      </w:r>
      <w:r>
        <w:rPr>
          <w:vertAlign w:val="baseline"/>
        </w:rPr>
        <w:t>FE</w:t>
      </w:r>
      <w:r>
        <w:rPr>
          <w:spacing w:val="-10"/>
          <w:vertAlign w:val="baseline"/>
        </w:rPr>
        <w:t> </w:t>
      </w:r>
      <w:r>
        <w:rPr>
          <w:vertAlign w:val="baseline"/>
        </w:rPr>
        <w:t>estimator</w:t>
      </w:r>
      <w:r>
        <w:rPr>
          <w:spacing w:val="-11"/>
          <w:vertAlign w:val="baseline"/>
        </w:rPr>
        <w:t> </w:t>
      </w:r>
      <w:r>
        <w:rPr>
          <w:vertAlign w:val="baseline"/>
        </w:rPr>
        <w:t>is</w:t>
      </w:r>
      <w:r>
        <w:rPr>
          <w:spacing w:val="-9"/>
          <w:vertAlign w:val="baseline"/>
        </w:rPr>
        <w:t> </w:t>
      </w:r>
      <w:r>
        <w:rPr>
          <w:vertAlign w:val="baseline"/>
        </w:rPr>
        <w:t>also</w:t>
      </w:r>
      <w:r>
        <w:rPr>
          <w:spacing w:val="-9"/>
          <w:vertAlign w:val="baseline"/>
        </w:rPr>
        <w:t> </w:t>
      </w:r>
      <w:r>
        <w:rPr>
          <w:vertAlign w:val="baseline"/>
        </w:rPr>
        <w:t>known</w:t>
      </w:r>
      <w:r>
        <w:rPr>
          <w:spacing w:val="-58"/>
          <w:vertAlign w:val="baseline"/>
        </w:rPr>
        <w:t> </w:t>
      </w:r>
      <w:r>
        <w:rPr>
          <w:vertAlign w:val="baseline"/>
        </w:rPr>
        <w:t>as dummy</w:t>
      </w:r>
      <w:r>
        <w:rPr>
          <w:spacing w:val="-6"/>
          <w:vertAlign w:val="baseline"/>
        </w:rPr>
        <w:t> </w:t>
      </w:r>
      <w:r>
        <w:rPr>
          <w:vertAlign w:val="baseline"/>
        </w:rPr>
        <w:t>variable estimator.</w:t>
      </w:r>
    </w:p>
    <w:p>
      <w:pPr>
        <w:pStyle w:val="Heading5"/>
        <w:numPr>
          <w:ilvl w:val="2"/>
          <w:numId w:val="12"/>
        </w:numPr>
        <w:tabs>
          <w:tab w:pos="821" w:val="left" w:leader="none"/>
        </w:tabs>
        <w:spacing w:line="240" w:lineRule="auto" w:before="168" w:after="0"/>
        <w:ind w:left="820" w:right="0" w:hanging="721"/>
        <w:jc w:val="both"/>
      </w:pPr>
      <w:bookmarkStart w:name="_TOC_250039" w:id="38"/>
      <w:bookmarkEnd w:id="38"/>
      <w:r>
        <w:rPr/>
        <w:t>Heteroskedasticity</w:t>
      </w:r>
    </w:p>
    <w:p>
      <w:pPr>
        <w:pStyle w:val="BodyText"/>
        <w:spacing w:line="360" w:lineRule="auto" w:before="17"/>
        <w:ind w:left="100" w:right="120"/>
        <w:jc w:val="both"/>
      </w:pPr>
      <w:r>
        <w:rPr/>
        <w:t>Intuitively,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are not homoscedastic for all. Even when household generates the same behavior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 a state, most often there is heterogeneity between states (Deaton, 2018:79). Hence, there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3"/>
          <w:vertAlign w:val="baseline"/>
        </w:rPr>
        <w:t> </w:t>
      </w:r>
      <w:r>
        <w:rPr>
          <w:vertAlign w:val="baseline"/>
        </w:rPr>
        <w:t>be</w:t>
      </w:r>
      <w:r>
        <w:rPr>
          <w:spacing w:val="2"/>
          <w:vertAlign w:val="baseline"/>
        </w:rPr>
        <w:t> </w:t>
      </w:r>
      <w:r>
        <w:rPr>
          <w:vertAlign w:val="baseline"/>
        </w:rPr>
        <w:t>heteroskedasticity</w:t>
      </w:r>
      <w:r>
        <w:rPr>
          <w:spacing w:val="2"/>
          <w:vertAlign w:val="baseline"/>
        </w:rPr>
        <w:t> </w:t>
      </w:r>
      <w:r>
        <w:rPr>
          <w:vertAlign w:val="baseline"/>
        </w:rPr>
        <w:t>issue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overall</w:t>
      </w:r>
      <w:r>
        <w:rPr>
          <w:spacing w:val="3"/>
          <w:vertAlign w:val="baseline"/>
        </w:rPr>
        <w:t> </w:t>
      </w:r>
      <w:r>
        <w:rPr>
          <w:vertAlign w:val="baseline"/>
        </w:rPr>
        <w:t>regression.</w:t>
      </w:r>
      <w:r>
        <w:rPr>
          <w:spacing w:val="3"/>
          <w:vertAlign w:val="baseline"/>
        </w:rPr>
        <w:t> </w:t>
      </w:r>
      <w:r>
        <w:rPr>
          <w:vertAlign w:val="baseline"/>
        </w:rPr>
        <w:t>Surprisingly,</w:t>
      </w:r>
      <w:r>
        <w:rPr>
          <w:spacing w:val="3"/>
          <w:vertAlign w:val="baseline"/>
        </w:rPr>
        <w:t> </w:t>
      </w:r>
      <w:r>
        <w:rPr>
          <w:vertAlign w:val="baseline"/>
        </w:rPr>
        <w:t>previous</w:t>
      </w:r>
      <w:r>
        <w:rPr>
          <w:spacing w:val="3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effect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pStyle w:val="BodyText"/>
        <w:spacing w:before="74"/>
        <w:ind w:left="100"/>
      </w:pP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income</w:t>
      </w:r>
      <w:r>
        <w:rPr>
          <w:spacing w:val="-11"/>
        </w:rPr>
        <w:t> </w:t>
      </w:r>
      <w:r>
        <w:rPr>
          <w:spacing w:val="-1"/>
        </w:rPr>
        <w:t>inequality</w:t>
      </w:r>
      <w:r>
        <w:rPr>
          <w:spacing w:val="-14"/>
        </w:rPr>
        <w:t> </w:t>
      </w:r>
      <w:r>
        <w:rPr/>
        <w:t>on</w:t>
      </w:r>
      <w:r>
        <w:rPr>
          <w:spacing w:val="-10"/>
        </w:rPr>
        <w:t> </w:t>
      </w:r>
      <w:r>
        <w:rPr/>
        <w:t>health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Nigeria</w:t>
      </w:r>
      <w:r>
        <w:rPr>
          <w:spacing w:val="-9"/>
        </w:rPr>
        <w:t> </w:t>
      </w:r>
      <w:r>
        <w:rPr/>
        <w:t>(see</w:t>
      </w:r>
      <w:r>
        <w:rPr>
          <w:spacing w:val="-8"/>
        </w:rPr>
        <w:t> </w:t>
      </w:r>
      <w:r>
        <w:rPr/>
        <w:t>Orji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2013;</w:t>
      </w:r>
      <w:r>
        <w:rPr>
          <w:spacing w:val="-9"/>
        </w:rPr>
        <w:t> </w:t>
      </w:r>
      <w:r>
        <w:rPr/>
        <w:t>Alawode</w:t>
      </w:r>
      <w:r>
        <w:rPr>
          <w:spacing w:val="-12"/>
        </w:rPr>
        <w:t> </w:t>
      </w:r>
      <w:r>
        <w:rPr/>
        <w:t>and</w:t>
      </w:r>
      <w:r>
        <w:rPr>
          <w:spacing w:val="-6"/>
        </w:rPr>
        <w:t> </w:t>
      </w:r>
      <w:r>
        <w:rPr/>
        <w:t>Lawal,</w:t>
      </w:r>
      <w:r>
        <w:rPr>
          <w:spacing w:val="-9"/>
        </w:rPr>
        <w:t> </w:t>
      </w:r>
      <w:r>
        <w:rPr/>
        <w:t>2014;</w:t>
      </w:r>
      <w:r>
        <w:rPr>
          <w:spacing w:val="-10"/>
        </w:rPr>
        <w:t> </w:t>
      </w:r>
      <w:r>
        <w:rPr/>
        <w:t>Karimo</w:t>
      </w:r>
    </w:p>
    <w:p>
      <w:pPr>
        <w:pStyle w:val="BodyText"/>
        <w:spacing w:before="137"/>
        <w:ind w:left="100"/>
      </w:pP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al.</w:t>
      </w:r>
      <w:r>
        <w:rPr>
          <w:i/>
          <w:spacing w:val="-8"/>
        </w:rPr>
        <w:t> </w:t>
      </w:r>
      <w:r>
        <w:rPr/>
        <w:t>2017)</w:t>
      </w:r>
      <w:r>
        <w:rPr>
          <w:spacing w:val="-10"/>
        </w:rPr>
        <w:t> </w:t>
      </w:r>
      <w:r>
        <w:rPr/>
        <w:t>ignored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heterogeneity</w:t>
      </w:r>
      <w:r>
        <w:rPr>
          <w:spacing w:val="-14"/>
        </w:rPr>
        <w:t> </w:t>
      </w:r>
      <w:r>
        <w:rPr/>
        <w:t>issues</w:t>
      </w:r>
      <w:r>
        <w:rPr>
          <w:spacing w:val="-7"/>
        </w:rPr>
        <w:t> </w:t>
      </w:r>
      <w:r>
        <w:rPr/>
        <w:t>–</w:t>
      </w:r>
      <w:r>
        <w:rPr>
          <w:spacing w:val="-9"/>
        </w:rPr>
        <w:t> </w:t>
      </w:r>
      <w:r>
        <w:rPr/>
        <w:t>difference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within-estimation</w:t>
      </w:r>
      <w:r>
        <w:rPr>
          <w:spacing w:val="-8"/>
        </w:rPr>
        <w:t> </w:t>
      </w:r>
      <w:r>
        <w:rPr/>
        <w:t>–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their</w:t>
      </w:r>
      <w:r>
        <w:rPr>
          <w:spacing w:val="-10"/>
        </w:rPr>
        <w:t> </w:t>
      </w:r>
      <w:r>
        <w:rPr/>
        <w:t>analyses.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00" w:right="112"/>
      </w:pPr>
      <w:r>
        <w:rPr/>
        <w:t>To</w:t>
      </w:r>
      <w:r>
        <w:rPr>
          <w:spacing w:val="-6"/>
        </w:rPr>
        <w:t> </w:t>
      </w:r>
      <w:r>
        <w:rPr/>
        <w:t>solve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issue,</w:t>
      </w:r>
      <w:r>
        <w:rPr>
          <w:spacing w:val="-5"/>
        </w:rPr>
        <w:t> </w:t>
      </w:r>
      <w:r>
        <w:rPr/>
        <w:t>assuming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coefficients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households’</w:t>
      </w:r>
      <w:r>
        <w:rPr>
          <w:spacing w:val="-6"/>
        </w:rPr>
        <w:t> </w:t>
      </w:r>
      <w:r>
        <w:rPr/>
        <w:t>characteristics</w:t>
      </w:r>
      <w:r>
        <w:rPr>
          <w:spacing w:val="-4"/>
        </w:rPr>
        <w:t> </w:t>
      </w:r>
      <w:r>
        <w:rPr>
          <w:rFonts w:ascii="Cambria Math" w:hAnsi="Cambria Math" w:eastAsia="Cambria Math"/>
        </w:rPr>
        <w:t>(𝛽) </w:t>
      </w:r>
      <w:r>
        <w:rPr/>
        <w:t>and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incomes</w:t>
      </w:r>
      <w:r>
        <w:rPr>
          <w:spacing w:val="-57"/>
        </w:rPr>
        <w:t> </w:t>
      </w:r>
      <w:r>
        <w:rPr/>
        <w:t>(</w:t>
      </w: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vertAlign w:val="baseline"/>
        </w:rPr>
        <w:t>differ by</w:t>
      </w:r>
      <w:r>
        <w:rPr>
          <w:spacing w:val="-5"/>
          <w:vertAlign w:val="baseline"/>
        </w:rPr>
        <w:t> </w:t>
      </w:r>
      <w:r>
        <w:rPr>
          <w:vertAlign w:val="baseline"/>
        </w:rPr>
        <w:t>households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(ℎ)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vertAlign w:val="baseline"/>
        </w:rPr>
        <w:t>in each state. We</w:t>
      </w:r>
      <w:r>
        <w:rPr>
          <w:spacing w:val="1"/>
          <w:vertAlign w:val="baseline"/>
        </w:rPr>
        <w:t> </w:t>
      </w:r>
      <w:r>
        <w:rPr>
          <w:vertAlign w:val="baseline"/>
        </w:rPr>
        <w:t>could treat them as random, that is:</w:t>
      </w:r>
    </w:p>
    <w:p>
      <w:pPr>
        <w:pStyle w:val="BodyText"/>
        <w:tabs>
          <w:tab w:pos="8741" w:val="left" w:leader="none"/>
        </w:tabs>
        <w:spacing w:line="282" w:lineRule="exact"/>
        <w:ind w:left="820"/>
      </w:pPr>
      <w:r>
        <w:rPr>
          <w:rFonts w:ascii="Cambria Math" w:hAnsi="Cambria Math" w:eastAsia="Cambria Math"/>
          <w:spacing w:val="-1"/>
          <w:w w:val="105"/>
        </w:rPr>
        <w:t>𝐸</w:t>
      </w:r>
      <w:r>
        <w:rPr>
          <w:rFonts w:ascii="Cambria Math" w:hAnsi="Cambria Math" w:eastAsia="Cambria Math"/>
          <w:spacing w:val="-1"/>
          <w:w w:val="105"/>
          <w:position w:val="1"/>
        </w:rPr>
        <w:t>(</w:t>
      </w:r>
      <w:r>
        <w:rPr>
          <w:rFonts w:ascii="Cambria Math" w:hAnsi="Cambria Math" w:eastAsia="Cambria Math"/>
          <w:spacing w:val="-1"/>
          <w:w w:val="105"/>
        </w:rPr>
        <w:t>𝐻</w:t>
      </w:r>
      <w:r>
        <w:rPr>
          <w:rFonts w:ascii="Cambria Math" w:hAnsi="Cambria Math" w:eastAsia="Cambria Math"/>
          <w:spacing w:val="-1"/>
          <w:w w:val="105"/>
          <w:vertAlign w:val="subscript"/>
        </w:rPr>
        <w:t>ℎ𝑡</w:t>
      </w:r>
      <w:r>
        <w:rPr>
          <w:rFonts w:ascii="Cambria Math" w:hAnsi="Cambria Math" w:eastAsia="Cambria Math"/>
          <w:spacing w:val="-1"/>
          <w:w w:val="105"/>
          <w:position w:val="1"/>
          <w:vertAlign w:val="baseline"/>
        </w:rPr>
        <w:t>|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𝑋</w:t>
      </w:r>
      <w:r>
        <w:rPr>
          <w:rFonts w:ascii="Cambria Math" w:hAnsi="Cambria Math" w:eastAsia="Cambria Math"/>
          <w:spacing w:val="-1"/>
          <w:w w:val="105"/>
          <w:vertAlign w:val="subscript"/>
        </w:rPr>
        <w:t>ℎ𝑡</w:t>
      </w:r>
      <w:r>
        <w:rPr>
          <w:rFonts w:ascii="Cambria Math" w:hAnsi="Cambria Math" w:eastAsia="Cambria Math"/>
          <w:spacing w:val="-1"/>
          <w:w w:val="105"/>
          <w:vertAlign w:val="baseline"/>
        </w:rPr>
        <w:t>𝛽,</w:t>
      </w:r>
      <w:r>
        <w:rPr>
          <w:rFonts w:ascii="Cambria Math" w:hAnsi="Cambria Math" w:eastAsia="Cambria Math"/>
          <w:spacing w:val="-17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𝑌</w:t>
      </w:r>
      <w:r>
        <w:rPr>
          <w:rFonts w:ascii="Cambria Math" w:hAnsi="Cambria Math" w:eastAsia="Cambria Math"/>
          <w:spacing w:val="-1"/>
          <w:w w:val="105"/>
          <w:vertAlign w:val="subscript"/>
        </w:rPr>
        <w:t>ℎ𝑡</w:t>
      </w:r>
      <w:r>
        <w:rPr>
          <w:rFonts w:ascii="Cambria Math" w:hAnsi="Cambria Math" w:eastAsia="Cambria Math"/>
          <w:spacing w:val="-1"/>
          <w:w w:val="105"/>
          <w:vertAlign w:val="baseline"/>
        </w:rPr>
        <w:t>𝛿</w:t>
      </w:r>
      <w:r>
        <w:rPr>
          <w:rFonts w:ascii="Cambria Math" w:hAnsi="Cambria Math" w:eastAsia="Cambria Math"/>
          <w:spacing w:val="-1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0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=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𝑋</w:t>
      </w:r>
      <w:r>
        <w:rPr>
          <w:rFonts w:ascii="Cambria Math" w:hAnsi="Cambria Math" w:eastAsia="Cambria Math"/>
          <w:spacing w:val="-1"/>
          <w:w w:val="105"/>
          <w:vertAlign w:val="subscript"/>
        </w:rPr>
        <w:t>ℎ𝑡</w:t>
      </w:r>
      <w:r>
        <w:rPr>
          <w:rFonts w:ascii="Cambria Math" w:hAnsi="Cambria Math" w:eastAsia="Cambria Math"/>
          <w:spacing w:val="-1"/>
          <w:w w:val="105"/>
          <w:vertAlign w:val="baseline"/>
        </w:rPr>
        <w:t>𝛽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5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𝑌</w:t>
      </w:r>
      <w:r>
        <w:rPr>
          <w:rFonts w:ascii="Cambria Math" w:hAnsi="Cambria Math" w:eastAsia="Cambria Math"/>
          <w:w w:val="105"/>
          <w:vertAlign w:val="subscript"/>
        </w:rPr>
        <w:t>ℎ𝑡</w:t>
      </w:r>
      <w:r>
        <w:rPr>
          <w:rFonts w:ascii="Cambria Math" w:hAnsi="Cambria Math" w:eastAsia="Cambria Math"/>
          <w:w w:val="105"/>
          <w:vertAlign w:val="baseline"/>
        </w:rPr>
        <w:t>𝛿;</w:t>
        <w:tab/>
      </w:r>
      <w:r>
        <w:rPr>
          <w:w w:val="105"/>
          <w:vertAlign w:val="baseline"/>
        </w:rPr>
        <w:t>(4.16a)</w:t>
      </w:r>
    </w:p>
    <w:p>
      <w:pPr>
        <w:pStyle w:val="BodyText"/>
        <w:tabs>
          <w:tab w:pos="8741" w:val="left" w:leader="none"/>
        </w:tabs>
        <w:spacing w:before="141"/>
        <w:ind w:left="100"/>
      </w:pPr>
      <w:r>
        <w:rPr/>
        <w:t>where,</w:t>
      </w:r>
      <w:r>
        <w:rPr>
          <w:spacing w:val="37"/>
        </w:rPr>
        <w:t> </w:t>
      </w:r>
      <w:r>
        <w:rPr/>
        <w:t>{V</w:t>
      </w:r>
      <w:r>
        <w:rPr>
          <w:spacing w:val="16"/>
        </w:rPr>
        <w:t> </w:t>
      </w:r>
      <w:r>
        <w:rPr/>
        <w:t>(</w:t>
      </w: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|𝑋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𝛽,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𝛿</w:t>
      </w:r>
      <w:r>
        <w:rPr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vertAlign w:val="superscript"/>
        </w:rPr>
        <w:t>2</w:t>
      </w:r>
      <w:r>
        <w:rPr>
          <w:vertAlign w:val="baseline"/>
        </w:rPr>
        <w:t>}=</w:t>
      </w:r>
      <w:r>
        <w:rPr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ab/>
      </w:r>
      <w:r>
        <w:rPr>
          <w:w w:val="105"/>
          <w:vertAlign w:val="baseline"/>
        </w:rPr>
        <w:t>(4.16b)</w:t>
      </w:r>
    </w:p>
    <w:p>
      <w:pPr>
        <w:pStyle w:val="BodyText"/>
        <w:spacing w:before="143"/>
        <w:ind w:left="100"/>
      </w:pPr>
      <w:r>
        <w:rPr/>
        <w:t>Equation</w:t>
      </w:r>
      <w:r>
        <w:rPr>
          <w:spacing w:val="-1"/>
        </w:rPr>
        <w:t> </w:t>
      </w:r>
      <w:r>
        <w:rPr/>
        <w:t>(4.16a)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error,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(4.16b)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function.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62" w:lineRule="auto"/>
        <w:ind w:left="100"/>
      </w:pPr>
      <w:r>
        <w:rPr/>
        <w:t>Suppose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𝛽</w:t>
      </w:r>
      <w:r>
        <w:rPr>
          <w:rFonts w:ascii="Cambria Math" w:hAnsi="Cambria Math" w:eastAsia="Cambria Math"/>
          <w:spacing w:val="18"/>
        </w:rPr>
        <w:t> </w:t>
      </w:r>
      <w:r>
        <w:rPr/>
        <w:t>and</w:t>
      </w:r>
      <w:r>
        <w:rPr>
          <w:spacing w:val="3"/>
        </w:rPr>
        <w:t> </w:t>
      </w:r>
      <w:r>
        <w:rPr/>
        <w:t>δ</w:t>
      </w:r>
      <w:r>
        <w:rPr>
          <w:spacing w:val="3"/>
        </w:rPr>
        <w:t> </w:t>
      </w:r>
      <w:r>
        <w:rPr/>
        <w:t>have</w:t>
      </w:r>
      <w:r>
        <w:rPr>
          <w:spacing w:val="2"/>
        </w:rPr>
        <w:t> </w:t>
      </w:r>
      <w:r>
        <w:rPr/>
        <w:t>average</w:t>
      </w:r>
      <w:r>
        <w:rPr>
          <w:spacing w:val="2"/>
        </w:rPr>
        <w:t> </w:t>
      </w:r>
      <w:r>
        <w:rPr/>
        <w:t>mean</w:t>
      </w:r>
      <w:r>
        <w:rPr>
          <w:spacing w:val="6"/>
        </w:rPr>
        <w:t> </w:t>
      </w:r>
      <w:r>
        <w:rPr>
          <w:rFonts w:ascii="Cambria Math" w:hAnsi="Cambria Math" w:eastAsia="Cambria Math"/>
        </w:rPr>
        <w:t>𝛽</w:t>
      </w:r>
      <w:r>
        <w:rPr>
          <w:rFonts w:ascii="Cambria Math" w:hAnsi="Cambria Math" w:eastAsia="Cambria Math"/>
          <w:position w:val="5"/>
        </w:rPr>
        <w:t>̅</w:t>
      </w:r>
      <w:r>
        <w:rPr>
          <w:rFonts w:ascii="Cambria Math" w:hAnsi="Cambria Math" w:eastAsia="Cambria Math"/>
          <w:spacing w:val="22"/>
          <w:position w:val="5"/>
        </w:rPr>
        <w:t> </w:t>
      </w:r>
      <w:r>
        <w:rPr/>
        <w:t>and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𝛿</w:t>
      </w:r>
      <w:r>
        <w:rPr>
          <w:rFonts w:ascii="Cambria Math" w:hAnsi="Cambria Math" w:eastAsia="Cambria Math"/>
          <w:position w:val="5"/>
        </w:rPr>
        <w:t>̅</w:t>
      </w:r>
      <w:r>
        <w:rPr>
          <w:rFonts w:ascii="Cambria Math" w:hAnsi="Cambria Math" w:eastAsia="Cambria Math"/>
          <w:spacing w:val="13"/>
          <w:position w:val="5"/>
        </w:rPr>
        <w:t> </w:t>
      </w:r>
      <w:r>
        <w:rPr/>
        <w:t>respectively,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variance-covariance</w:t>
      </w:r>
      <w:r>
        <w:rPr>
          <w:spacing w:val="2"/>
        </w:rPr>
        <w:t> </w:t>
      </w:r>
      <w:r>
        <w:rPr/>
        <w:t>matrixes</w:t>
      </w:r>
      <w:r>
        <w:rPr>
          <w:spacing w:val="-57"/>
        </w:rPr>
        <w:t> </w:t>
      </w:r>
      <w:r>
        <w:rPr/>
        <w:t>of</w:t>
      </w:r>
      <w:r>
        <w:rPr>
          <w:spacing w:val="-4"/>
        </w:rPr>
        <w:t> </w:t>
      </w:r>
      <w:r>
        <w:rPr>
          <w:rFonts w:ascii="Cambria Math" w:hAnsi="Cambria Math" w:eastAsia="Cambria Math"/>
        </w:rPr>
        <w:t>Ώ</w:t>
      </w:r>
      <w:r>
        <w:rPr>
          <w:rFonts w:ascii="Cambria Math" w:hAnsi="Cambria Math" w:eastAsia="Cambria Math"/>
          <w:vertAlign w:val="subscript"/>
        </w:rPr>
        <w:t>𝛽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Ώ</w:t>
      </w:r>
      <w:r>
        <w:rPr>
          <w:rFonts w:ascii="Cambria Math" w:hAnsi="Cambria Math" w:eastAsia="Cambria Math"/>
          <w:vertAlign w:val="subscript"/>
        </w:rPr>
        <w:t>𝛿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-3"/>
          <w:vertAlign w:val="baseline"/>
        </w:rPr>
        <w:t> </w:t>
      </w:r>
      <w:r>
        <w:rPr>
          <w:vertAlign w:val="baseline"/>
        </w:rPr>
        <w:t>then</w:t>
      </w:r>
      <w:r>
        <w:rPr>
          <w:spacing w:val="-2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(4.16b)</w:t>
      </w:r>
      <w:r>
        <w:rPr>
          <w:spacing w:val="-4"/>
          <w:vertAlign w:val="baseline"/>
        </w:rPr>
        <w:t> </w:t>
      </w:r>
      <w:r>
        <w:rPr>
          <w:vertAlign w:val="baseline"/>
        </w:rPr>
        <w:t>generates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heteroskedastic</w:t>
      </w:r>
      <w:r>
        <w:rPr>
          <w:spacing w:val="-3"/>
          <w:vertAlign w:val="baseline"/>
        </w:rPr>
        <w:t> </w:t>
      </w:r>
      <w:r>
        <w:rPr>
          <w:vertAlign w:val="baseline"/>
        </w:rPr>
        <w:t>regression</w:t>
      </w:r>
      <w:r>
        <w:rPr>
          <w:spacing w:val="-3"/>
          <w:vertAlign w:val="baseline"/>
        </w:rPr>
        <w:t> </w:t>
      </w:r>
      <w:r>
        <w:rPr>
          <w:vertAlign w:val="baseline"/>
        </w:rPr>
        <w:t>model:</w:t>
      </w:r>
    </w:p>
    <w:p>
      <w:pPr>
        <w:pStyle w:val="BodyText"/>
        <w:tabs>
          <w:tab w:pos="8741" w:val="left" w:leader="none"/>
        </w:tabs>
        <w:spacing w:line="372" w:lineRule="auto" w:before="22"/>
        <w:ind w:left="100" w:right="115" w:firstLine="719"/>
      </w:pPr>
      <w:r>
        <w:rPr/>
        <w:t>V</w:t>
      </w:r>
      <w:r>
        <w:rPr>
          <w:spacing w:val="11"/>
        </w:rPr>
        <w:t> </w:t>
      </w:r>
      <w:r>
        <w:rPr/>
        <w:t>(</w:t>
      </w: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vertAlign w:val="baseline"/>
        </w:rPr>
        <w:t>=</w:t>
      </w:r>
      <w:r>
        <w:rPr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2𝜎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32"/>
          <w:vertAlign w:val="baseline"/>
        </w:rPr>
        <w:t> </w:t>
      </w:r>
      <w:r>
        <w:rPr>
          <w:vertAlign w:val="baseline"/>
        </w:rPr>
        <w:t>+</w:t>
      </w:r>
      <w:r>
        <w:rPr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Ώ</w:t>
      </w:r>
      <w:r>
        <w:rPr>
          <w:rFonts w:ascii="Cambria Math" w:hAnsi="Cambria Math" w:eastAsia="Cambria Math"/>
          <w:vertAlign w:val="subscript"/>
        </w:rPr>
        <w:t>𝛽</w:t>
      </w:r>
      <w:r>
        <w:rPr>
          <w:rFonts w:ascii="Cambria Math" w:hAnsi="Cambria Math" w:eastAsia="Cambria Math"/>
          <w:spacing w:val="34"/>
          <w:vertAlign w:val="baseline"/>
        </w:rPr>
        <w:t> </w:t>
      </w:r>
      <w:r>
        <w:rPr>
          <w:vertAlign w:val="baseline"/>
        </w:rPr>
        <w:t>+</w:t>
      </w:r>
      <w:r>
        <w:rPr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spacing w:val="3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Ώ</w:t>
      </w:r>
      <w:r>
        <w:rPr>
          <w:rFonts w:ascii="Cambria Math" w:hAnsi="Cambria Math" w:eastAsia="Cambria Math"/>
          <w:vertAlign w:val="subscript"/>
        </w:rPr>
        <w:t>𝛿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(4.17)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22"/>
          <w:vertAlign w:val="baseline"/>
        </w:rPr>
        <w:t> </w:t>
      </w:r>
      <w:r>
        <w:rPr>
          <w:vertAlign w:val="baseline"/>
        </w:rPr>
        <w:t>(4.19)</w:t>
      </w:r>
      <w:r>
        <w:rPr>
          <w:spacing w:val="22"/>
          <w:vertAlign w:val="baseline"/>
        </w:rPr>
        <w:t> </w:t>
      </w:r>
      <w:r>
        <w:rPr>
          <w:vertAlign w:val="baseline"/>
        </w:rPr>
        <w:t>motivate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23"/>
          <w:vertAlign w:val="baseline"/>
        </w:rPr>
        <w:t> </w:t>
      </w:r>
      <w:r>
        <w:rPr>
          <w:vertAlign w:val="baseline"/>
        </w:rPr>
        <w:t>test</w:t>
      </w:r>
      <w:r>
        <w:rPr>
          <w:spacing w:val="23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22"/>
          <w:vertAlign w:val="baseline"/>
        </w:rPr>
        <w:t> </w:t>
      </w:r>
      <w:r>
        <w:rPr>
          <w:vertAlign w:val="baseline"/>
        </w:rPr>
        <w:t>for</w:t>
      </w:r>
      <w:r>
        <w:rPr>
          <w:spacing w:val="21"/>
          <w:vertAlign w:val="baseline"/>
        </w:rPr>
        <w:t> </w:t>
      </w:r>
      <w:r>
        <w:rPr>
          <w:vertAlign w:val="baseline"/>
        </w:rPr>
        <w:t>heteroskedascity</w:t>
      </w:r>
      <w:r>
        <w:rPr>
          <w:spacing w:val="21"/>
          <w:vertAlign w:val="baseline"/>
        </w:rPr>
        <w:t> </w:t>
      </w:r>
      <w:r>
        <w:rPr>
          <w:vertAlign w:val="baseline"/>
        </w:rPr>
        <w:t>such</w:t>
      </w:r>
      <w:r>
        <w:rPr>
          <w:spacing w:val="22"/>
          <w:vertAlign w:val="baseline"/>
        </w:rPr>
        <w:t> </w:t>
      </w:r>
      <w:r>
        <w:rPr>
          <w:vertAlign w:val="baseline"/>
        </w:rPr>
        <w:t>as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Breusch-</w:t>
      </w:r>
      <w:r>
        <w:rPr>
          <w:spacing w:val="-57"/>
          <w:vertAlign w:val="baseline"/>
        </w:rPr>
        <w:t> </w:t>
      </w:r>
      <w:r>
        <w:rPr>
          <w:vertAlign w:val="baseline"/>
        </w:rPr>
        <w:t>Pagan</w:t>
      </w:r>
      <w:r>
        <w:rPr>
          <w:spacing w:val="1"/>
          <w:vertAlign w:val="baseline"/>
        </w:rPr>
        <w:t> </w:t>
      </w:r>
      <w:r>
        <w:rPr>
          <w:vertAlign w:val="baseline"/>
        </w:rPr>
        <w:t>(1979) test as</w:t>
      </w:r>
      <w:r>
        <w:rPr>
          <w:spacing w:val="2"/>
          <w:vertAlign w:val="baseline"/>
        </w:rPr>
        <w:t> </w:t>
      </w:r>
      <w:r>
        <w:rPr>
          <w:vertAlign w:val="baseline"/>
        </w:rPr>
        <w:t>also employed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this study.</w:t>
      </w:r>
    </w:p>
    <w:p>
      <w:pPr>
        <w:pStyle w:val="BodyText"/>
        <w:spacing w:line="362" w:lineRule="auto" w:before="101"/>
        <w:ind w:left="100" w:right="113"/>
        <w:jc w:val="both"/>
      </w:pPr>
      <w:r>
        <w:rPr/>
        <w:t>The POLS residuals from the regression with suspected heteroskedascity are first normalized by</w:t>
      </w:r>
      <w:r>
        <w:rPr>
          <w:spacing w:val="1"/>
        </w:rPr>
        <w:t> </w:t>
      </w:r>
      <w:r>
        <w:rPr/>
        <w:t>division (Deaton, 2018:105-108). Therefore, to check the homogeneity or heterogeneity for this</w:t>
      </w:r>
      <w:r>
        <w:rPr>
          <w:spacing w:val="1"/>
        </w:rPr>
        <w:t> </w:t>
      </w:r>
      <w:r>
        <w:rPr/>
        <w:t>thesis,</w:t>
      </w:r>
      <w:r>
        <w:rPr>
          <w:spacing w:val="-8"/>
        </w:rPr>
        <w:t> </w:t>
      </w:r>
      <w:r>
        <w:rPr/>
        <w:t>Breusch-Pagan</w:t>
      </w:r>
      <w:r>
        <w:rPr>
          <w:spacing w:val="-5"/>
        </w:rPr>
        <w:t> </w:t>
      </w:r>
      <w:r>
        <w:rPr/>
        <w:t>Lagrange</w:t>
      </w:r>
      <w:r>
        <w:rPr>
          <w:spacing w:val="-9"/>
        </w:rPr>
        <w:t> </w:t>
      </w:r>
      <w:r>
        <w:rPr/>
        <w:t>Multiplier</w:t>
      </w:r>
      <w:r>
        <w:rPr>
          <w:spacing w:val="-9"/>
        </w:rPr>
        <w:t> </w:t>
      </w:r>
      <w:r>
        <w:rPr/>
        <w:t>test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employed.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null</w:t>
      </w:r>
      <w:r>
        <w:rPr>
          <w:spacing w:val="-7"/>
        </w:rPr>
        <w:t> </w:t>
      </w:r>
      <w:r>
        <w:rPr/>
        <w:t>hypothesis</w:t>
      </w:r>
      <w:r>
        <w:rPr>
          <w:spacing w:val="-8"/>
        </w:rPr>
        <w:t> </w:t>
      </w:r>
      <w:r>
        <w:rPr/>
        <w:t>(H</w:t>
      </w:r>
      <w:r>
        <w:rPr>
          <w:vertAlign w:val="subscript"/>
        </w:rPr>
        <w:t>o</w:t>
      </w:r>
      <w:r>
        <w:rPr>
          <w:vertAlign w:val="baseline"/>
        </w:rPr>
        <w:t>)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test</w:t>
      </w:r>
      <w:r>
        <w:rPr>
          <w:spacing w:val="-58"/>
          <w:vertAlign w:val="baseline"/>
        </w:rPr>
        <w:t> </w:t>
      </w:r>
      <w:r>
        <w:rPr>
          <w:vertAlign w:val="baseline"/>
        </w:rPr>
        <w:t>is </w:t>
      </w:r>
      <w:r>
        <w:rPr>
          <w:i/>
          <w:vertAlign w:val="baseline"/>
        </w:rPr>
        <w:t>‘</w:t>
      </w:r>
      <w:r>
        <w:rPr>
          <w:vertAlign w:val="baseline"/>
        </w:rPr>
        <w:t>homoskedasticity of households and states in Nigeria, that is, POLS might be the appropriate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model’.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makes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model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comparable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possible</w:t>
      </w:r>
      <w:r>
        <w:rPr>
          <w:spacing w:val="-1"/>
          <w:vertAlign w:val="baseline"/>
        </w:rPr>
        <w:t> </w:t>
      </w:r>
      <w:r>
        <w:rPr>
          <w:vertAlign w:val="baseline"/>
        </w:rPr>
        <w:t>to FE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RE.</w:t>
      </w:r>
    </w:p>
    <w:p>
      <w:pPr>
        <w:pStyle w:val="Heading5"/>
        <w:numPr>
          <w:ilvl w:val="2"/>
          <w:numId w:val="12"/>
        </w:numPr>
        <w:tabs>
          <w:tab w:pos="821" w:val="left" w:leader="none"/>
        </w:tabs>
        <w:spacing w:line="240" w:lineRule="auto" w:before="224" w:after="0"/>
        <w:ind w:left="820" w:right="0" w:hanging="721"/>
        <w:jc w:val="both"/>
      </w:pPr>
      <w:bookmarkStart w:name="_TOC_250038" w:id="39"/>
      <w:r>
        <w:rPr/>
        <w:t>Hausman</w:t>
      </w:r>
      <w:r>
        <w:rPr>
          <w:spacing w:val="-4"/>
        </w:rPr>
        <w:t> </w:t>
      </w:r>
      <w:r>
        <w:rPr/>
        <w:t>Specification</w:t>
      </w:r>
      <w:r>
        <w:rPr>
          <w:spacing w:val="-2"/>
        </w:rPr>
        <w:t> </w:t>
      </w:r>
      <w:bookmarkEnd w:id="39"/>
      <w:r>
        <w:rPr/>
        <w:t>Test</w:t>
      </w:r>
    </w:p>
    <w:p>
      <w:pPr>
        <w:pStyle w:val="BodyText"/>
        <w:spacing w:line="360" w:lineRule="auto" w:before="19"/>
        <w:ind w:left="100" w:right="118"/>
        <w:jc w:val="both"/>
      </w:pPr>
      <w:r>
        <w:rPr/>
        <w:t>It is a standard approach in econometrics literature to estimate the panel data model in a fixed</w:t>
      </w:r>
      <w:r>
        <w:rPr>
          <w:spacing w:val="1"/>
        </w:rPr>
        <w:t> </w:t>
      </w:r>
      <w:r>
        <w:rPr/>
        <w:t>effect (FE) or random effect (RE) framework (Baltagi, 2013; Greene, 2011; Wooldridge, 2010).</w:t>
      </w:r>
      <w:r>
        <w:rPr>
          <w:spacing w:val="1"/>
        </w:rPr>
        <w:t> </w:t>
      </w:r>
      <w:r>
        <w:rPr/>
        <w:t>Thus, to test for the appropriateness of FE and RE models, Durbin-Wu-Hausman (simply refer to</w:t>
      </w:r>
      <w:r>
        <w:rPr>
          <w:spacing w:val="-57"/>
        </w:rPr>
        <w:t> </w:t>
      </w:r>
      <w:r>
        <w:rPr/>
        <w:t>as Hausman) test as proposed by James Durbin (1954) and Jerry A. Hausman (1978) was used.</w:t>
      </w:r>
      <w:r>
        <w:rPr>
          <w:spacing w:val="1"/>
        </w:rPr>
        <w:t> </w:t>
      </w:r>
      <w:r>
        <w:rPr/>
        <w:t>The test evaluates the consistency of an estimator when compared to an alternative, less efficient</w:t>
      </w:r>
      <w:r>
        <w:rPr>
          <w:spacing w:val="1"/>
        </w:rPr>
        <w:t> </w:t>
      </w:r>
      <w:r>
        <w:rPr/>
        <w:t>estimator</w:t>
      </w:r>
      <w:r>
        <w:rPr>
          <w:spacing w:val="-2"/>
        </w:rPr>
        <w:t> </w:t>
      </w:r>
      <w:r>
        <w:rPr/>
        <w:t>which is already</w:t>
      </w:r>
      <w:r>
        <w:rPr>
          <w:spacing w:val="-3"/>
        </w:rPr>
        <w:t> </w:t>
      </w:r>
      <w:r>
        <w:rPr/>
        <w:t>known to be</w:t>
      </w:r>
      <w:r>
        <w:rPr>
          <w:spacing w:val="1"/>
        </w:rPr>
        <w:t> </w:t>
      </w:r>
      <w:r>
        <w:rPr/>
        <w:t>consistent (Baltagi, 2013).</w:t>
      </w:r>
    </w:p>
    <w:p>
      <w:pPr>
        <w:pStyle w:val="BodyText"/>
        <w:spacing w:line="362" w:lineRule="auto" w:before="185"/>
        <w:ind w:left="100" w:right="114"/>
        <w:jc w:val="both"/>
      </w:pPr>
      <w:r>
        <w:rPr/>
        <w:t>The null hypotheses (H</w:t>
      </w:r>
      <w:r>
        <w:rPr>
          <w:vertAlign w:val="subscript"/>
        </w:rPr>
        <w:t>o</w:t>
      </w:r>
      <w:r>
        <w:rPr>
          <w:vertAlign w:val="baseline"/>
        </w:rPr>
        <w:t>) for Hausman test is that RE model is appropriate and consistent 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 p-value is high, against the alternate </w:t>
      </w:r>
      <w:r>
        <w:rPr>
          <w:rFonts w:ascii="Cambria Math"/>
          <w:vertAlign w:val="baseline"/>
        </w:rPr>
        <w:t>(H</w:t>
      </w:r>
      <w:r>
        <w:rPr>
          <w:rFonts w:ascii="Cambria Math"/>
          <w:vertAlign w:val="subscript"/>
        </w:rPr>
        <w:t>1</w:t>
      </w:r>
      <w:r>
        <w:rPr>
          <w:vertAlign w:val="baseline"/>
        </w:rPr>
        <w:t>) of FE model is consistent when p-value is close to</w:t>
      </w:r>
      <w:r>
        <w:rPr>
          <w:spacing w:val="1"/>
          <w:vertAlign w:val="baseline"/>
        </w:rPr>
        <w:t> </w:t>
      </w:r>
      <w:r>
        <w:rPr>
          <w:vertAlign w:val="baseline"/>
        </w:rPr>
        <w:t>zero.</w:t>
      </w:r>
    </w:p>
    <w:p>
      <w:pPr>
        <w:spacing w:after="0" w:line="362" w:lineRule="auto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pStyle w:val="Heading5"/>
        <w:numPr>
          <w:ilvl w:val="2"/>
          <w:numId w:val="12"/>
        </w:numPr>
        <w:tabs>
          <w:tab w:pos="820" w:val="left" w:leader="none"/>
          <w:tab w:pos="821" w:val="left" w:leader="none"/>
        </w:tabs>
        <w:spacing w:line="240" w:lineRule="auto" w:before="79" w:after="0"/>
        <w:ind w:left="820" w:right="0" w:hanging="721"/>
        <w:jc w:val="left"/>
      </w:pPr>
      <w:bookmarkStart w:name="_TOC_250037" w:id="40"/>
      <w:r>
        <w:rPr/>
        <w:t>Other</w:t>
      </w:r>
      <w:r>
        <w:rPr>
          <w:spacing w:val="-2"/>
        </w:rPr>
        <w:t> </w:t>
      </w:r>
      <w:bookmarkEnd w:id="40"/>
      <w:r>
        <w:rPr/>
        <w:t>Estimation Issues</w:t>
      </w:r>
    </w:p>
    <w:p>
      <w:pPr>
        <w:pStyle w:val="BodyText"/>
        <w:spacing w:line="360" w:lineRule="auto" w:before="132"/>
        <w:ind w:left="100"/>
      </w:pPr>
      <w:r>
        <w:rPr/>
        <w:t>Since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dependent</w:t>
      </w:r>
      <w:r>
        <w:rPr>
          <w:spacing w:val="8"/>
        </w:rPr>
        <w:t> </w:t>
      </w:r>
      <w:r>
        <w:rPr/>
        <w:t>variables</w:t>
      </w:r>
      <w:r>
        <w:rPr>
          <w:spacing w:val="9"/>
        </w:rPr>
        <w:t> </w:t>
      </w:r>
      <w:r>
        <w:rPr/>
        <w:t>are</w:t>
      </w:r>
      <w:r>
        <w:rPr>
          <w:spacing w:val="6"/>
        </w:rPr>
        <w:t> </w:t>
      </w:r>
      <w:r>
        <w:rPr/>
        <w:t>treated</w:t>
      </w:r>
      <w:r>
        <w:rPr>
          <w:spacing w:val="7"/>
        </w:rPr>
        <w:t> </w:t>
      </w:r>
      <w:r>
        <w:rPr/>
        <w:t>as</w:t>
      </w:r>
      <w:r>
        <w:rPr>
          <w:spacing w:val="9"/>
        </w:rPr>
        <w:t> </w:t>
      </w:r>
      <w:r>
        <w:rPr/>
        <w:t>binary</w:t>
      </w:r>
      <w:r>
        <w:rPr>
          <w:spacing w:val="5"/>
        </w:rPr>
        <w:t> </w:t>
      </w:r>
      <w:r>
        <w:rPr/>
        <w:t>factor.</w:t>
      </w:r>
      <w:r>
        <w:rPr>
          <w:spacing w:val="8"/>
        </w:rPr>
        <w:t> </w:t>
      </w:r>
      <w:r>
        <w:rPr/>
        <w:t>Therefore,</w:t>
      </w:r>
      <w:r>
        <w:rPr>
          <w:spacing w:val="9"/>
        </w:rPr>
        <w:t> </w:t>
      </w:r>
      <w:r>
        <w:rPr/>
        <w:t>their</w:t>
      </w:r>
      <w:r>
        <w:rPr>
          <w:spacing w:val="9"/>
        </w:rPr>
        <w:t> </w:t>
      </w:r>
      <w:r>
        <w:rPr/>
        <w:t>probabilities</w:t>
      </w:r>
      <w:r>
        <w:rPr>
          <w:spacing w:val="10"/>
        </w:rPr>
        <w:t> </w:t>
      </w:r>
      <w:r>
        <w:rPr/>
        <w:t>could</w:t>
      </w:r>
      <w:r>
        <w:rPr>
          <w:spacing w:val="9"/>
        </w:rPr>
        <w:t> </w:t>
      </w:r>
      <w:r>
        <w:rPr/>
        <w:t>be</w:t>
      </w:r>
      <w:r>
        <w:rPr>
          <w:spacing w:val="-57"/>
        </w:rPr>
        <w:t> </w:t>
      </w:r>
      <w:r>
        <w:rPr/>
        <w:t>given as:</w:t>
      </w:r>
    </w:p>
    <w:p>
      <w:pPr>
        <w:pStyle w:val="BodyText"/>
        <w:tabs>
          <w:tab w:pos="8741" w:val="left" w:leader="none"/>
        </w:tabs>
        <w:spacing w:line="280" w:lineRule="exact"/>
        <w:ind w:left="1540"/>
      </w:pPr>
      <w:r>
        <w:rPr>
          <w:rFonts w:ascii="Cambria Math" w:hAnsi="Cambria Math" w:eastAsia="Cambria Math"/>
        </w:rPr>
        <w:t>𝑃𝑟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3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𝑜𝑟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</w:t>
      </w:r>
      <w:r>
        <w:rPr>
          <w:rFonts w:ascii="Cambria Math" w:hAnsi="Cambria Math" w:eastAsia="Cambria Math"/>
          <w:position w:val="1"/>
          <w:vertAlign w:val="baseline"/>
        </w:rPr>
        <w:t>|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position w:val="1"/>
          <w:vertAlign w:val="baseline"/>
        </w:rPr>
        <w:t>)</w:t>
        <w:tab/>
      </w:r>
      <w:r>
        <w:rPr>
          <w:w w:val="105"/>
          <w:vertAlign w:val="baseline"/>
        </w:rPr>
        <w:t>(4.18)</w:t>
      </w:r>
    </w:p>
    <w:p>
      <w:pPr>
        <w:pStyle w:val="BodyText"/>
        <w:spacing w:before="142"/>
        <w:ind w:left="100"/>
      </w:pPr>
      <w:r>
        <w:rPr/>
        <w:t>The</w:t>
      </w:r>
      <w:r>
        <w:rPr>
          <w:spacing w:val="-3"/>
        </w:rPr>
        <w:t> </w:t>
      </w:r>
      <w:r>
        <w:rPr/>
        <w:t>odd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(</w:t>
      </w:r>
      <w:r>
        <w:rPr>
          <w:i/>
        </w:rPr>
        <w:t>OR</w:t>
      </w:r>
      <w:r>
        <w:rPr/>
        <w:t>) being:</w:t>
      </w:r>
    </w:p>
    <w:p>
      <w:pPr>
        <w:spacing w:after="0"/>
        <w:sectPr>
          <w:pgSz w:w="12240" w:h="15840"/>
          <w:pgMar w:header="0" w:footer="1015" w:top="1360" w:bottom="1200" w:left="1340" w:right="1320"/>
        </w:sectPr>
      </w:pPr>
    </w:p>
    <w:p>
      <w:pPr>
        <w:pStyle w:val="BodyText"/>
        <w:spacing w:line="141" w:lineRule="auto" w:before="144"/>
        <w:ind w:left="820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-14"/>
        </w:rPr>
        <w:t>𝑂𝑑𝑑</w:t>
      </w:r>
      <w:r>
        <w:rPr>
          <w:rFonts w:ascii="Cambria Math" w:hAnsi="Cambria Math" w:eastAsia="Cambria Math"/>
          <w:spacing w:val="14"/>
          <w:position w:val="-14"/>
        </w:rPr>
        <w:t> </w:t>
      </w:r>
      <w:r>
        <w:rPr>
          <w:rFonts w:ascii="Cambria Math" w:hAnsi="Cambria Math" w:eastAsia="Cambria Math"/>
          <w:position w:val="-14"/>
        </w:rPr>
        <w:t>𝑅𝑎𝑡𝑖𝑜</w:t>
      </w:r>
      <w:r>
        <w:rPr>
          <w:rFonts w:ascii="Cambria Math" w:hAnsi="Cambria Math" w:eastAsia="Cambria Math"/>
          <w:spacing w:val="29"/>
          <w:position w:val="-14"/>
        </w:rPr>
        <w:t> </w:t>
      </w:r>
      <w:r>
        <w:rPr>
          <w:rFonts w:ascii="Cambria Math" w:hAnsi="Cambria Math" w:eastAsia="Cambria Math"/>
          <w:position w:val="-14"/>
        </w:rPr>
        <w:t>=</w:t>
      </w:r>
      <w:r>
        <w:rPr>
          <w:rFonts w:ascii="Cambria Math" w:hAnsi="Cambria Math" w:eastAsia="Cambria Math"/>
          <w:u w:val="single"/>
        </w:rPr>
        <w:t>  </w:t>
      </w:r>
      <w:r>
        <w:rPr>
          <w:rFonts w:ascii="Cambria Math" w:hAnsi="Cambria Math" w:eastAsia="Cambria Math"/>
          <w:spacing w:val="10"/>
          <w:u w:val="single"/>
        </w:rPr>
        <w:t> </w:t>
      </w:r>
      <w:r>
        <w:rPr>
          <w:rFonts w:ascii="Cambria Math" w:hAnsi="Cambria Math" w:eastAsia="Cambria Math"/>
          <w:sz w:val="17"/>
          <w:u w:val="single"/>
        </w:rPr>
        <w:t>𝑃𝑟(</w:t>
      </w:r>
      <w:r>
        <w:rPr>
          <w:rFonts w:ascii="Cambria Math" w:hAnsi="Cambria Math" w:eastAsia="Cambria Math"/>
          <w:u w:val="single"/>
        </w:rPr>
        <w:t>𝐻</w:t>
      </w:r>
      <w:r>
        <w:rPr>
          <w:rFonts w:ascii="Cambria Math" w:hAnsi="Cambria Math" w:eastAsia="Cambria Math"/>
          <w:u w:val="single"/>
          <w:vertAlign w:val="subscript"/>
        </w:rPr>
        <w:t>ℎ</w:t>
      </w:r>
      <w:r>
        <w:rPr>
          <w:rFonts w:ascii="Cambria Math" w:hAnsi="Cambria Math" w:eastAsia="Cambria Math"/>
          <w:spacing w:val="38"/>
          <w:u w:val="single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=</w:t>
      </w:r>
      <w:r>
        <w:rPr>
          <w:rFonts w:ascii="Cambria Math" w:hAnsi="Cambria Math" w:eastAsia="Cambria Math"/>
          <w:spacing w:val="24"/>
          <w:u w:val="single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1</w:t>
      </w:r>
      <w:r>
        <w:rPr>
          <w:rFonts w:ascii="Cambria Math" w:hAnsi="Cambria Math" w:eastAsia="Cambria Math"/>
          <w:sz w:val="17"/>
          <w:u w:val="single"/>
          <w:vertAlign w:val="baseline"/>
        </w:rPr>
        <w:t>|</w:t>
      </w:r>
      <w:r>
        <w:rPr>
          <w:rFonts w:ascii="Cambria Math" w:hAnsi="Cambria Math" w:eastAsia="Cambria Math"/>
          <w:u w:val="single"/>
          <w:vertAlign w:val="baseline"/>
        </w:rPr>
        <w:t>𝑋</w:t>
      </w:r>
      <w:r>
        <w:rPr>
          <w:rFonts w:ascii="Cambria Math" w:hAnsi="Cambria Math" w:eastAsia="Cambria Math"/>
          <w:u w:val="single"/>
          <w:vertAlign w:val="subscript"/>
        </w:rPr>
        <w:t>ℎ𝑡</w:t>
      </w:r>
      <w:r>
        <w:rPr>
          <w:rFonts w:ascii="Cambria Math" w:hAnsi="Cambria Math" w:eastAsia="Cambria Math"/>
          <w:u w:val="single"/>
          <w:vertAlign w:val="baseline"/>
        </w:rPr>
        <w:t>,</w:t>
      </w:r>
      <w:r>
        <w:rPr>
          <w:rFonts w:ascii="Cambria Math" w:hAnsi="Cambria Math" w:eastAsia="Cambria Math"/>
          <w:spacing w:val="-9"/>
          <w:u w:val="single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𝑌</w:t>
      </w:r>
      <w:r>
        <w:rPr>
          <w:rFonts w:ascii="Cambria Math" w:hAnsi="Cambria Math" w:eastAsia="Cambria Math"/>
          <w:u w:val="single"/>
          <w:vertAlign w:val="subscript"/>
        </w:rPr>
        <w:t>ℎ𝑡</w:t>
      </w:r>
      <w:r>
        <w:rPr>
          <w:rFonts w:ascii="Cambria Math" w:hAnsi="Cambria Math" w:eastAsia="Cambria Math"/>
          <w:u w:val="single"/>
          <w:vertAlign w:val="baseline"/>
        </w:rPr>
        <w:t>,</w:t>
      </w:r>
      <w:r>
        <w:rPr>
          <w:rFonts w:ascii="Cambria Math" w:hAnsi="Cambria Math" w:eastAsia="Cambria Math"/>
          <w:spacing w:val="-9"/>
          <w:u w:val="single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𝑍</w:t>
      </w:r>
      <w:r>
        <w:rPr>
          <w:rFonts w:ascii="Cambria Math" w:hAnsi="Cambria Math" w:eastAsia="Cambria Math"/>
          <w:u w:val="single"/>
          <w:vertAlign w:val="subscript"/>
        </w:rPr>
        <w:t>𝑡</w:t>
      </w:r>
      <w:r>
        <w:rPr>
          <w:rFonts w:ascii="Cambria Math" w:hAnsi="Cambria Math" w:eastAsia="Cambria Math"/>
          <w:sz w:val="17"/>
          <w:u w:val="single"/>
          <w:vertAlign w:val="baseline"/>
        </w:rPr>
        <w:t>)</w:t>
      </w:r>
      <w:r>
        <w:rPr>
          <w:rFonts w:ascii="Cambria Math" w:hAnsi="Cambria Math" w:eastAsia="Cambria Math"/>
          <w:spacing w:val="17"/>
          <w:sz w:val="17"/>
          <w:u w:val="single"/>
          <w:vertAlign w:val="baseline"/>
        </w:rPr>
        <w:t> </w:t>
      </w:r>
    </w:p>
    <w:p>
      <w:pPr>
        <w:spacing w:line="234" w:lineRule="exact" w:before="0"/>
        <w:ind w:left="2224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1−</w:t>
      </w:r>
      <w:r>
        <w:rPr>
          <w:rFonts w:ascii="Cambria Math" w:hAnsi="Cambria Math" w:eastAsia="Cambria Math"/>
          <w:spacing w:val="8"/>
          <w:sz w:val="17"/>
        </w:rPr>
        <w:t> </w:t>
      </w:r>
      <w:r>
        <w:rPr>
          <w:rFonts w:ascii="Cambria Math" w:hAnsi="Cambria Math" w:eastAsia="Cambria Math"/>
          <w:sz w:val="17"/>
        </w:rPr>
        <w:t>𝑃𝑟(</w:t>
      </w:r>
      <w:r>
        <w:rPr>
          <w:rFonts w:ascii="Cambria Math" w:hAnsi="Cambria Math" w:eastAsia="Cambria Math"/>
          <w:sz w:val="24"/>
        </w:rPr>
        <w:t>𝐻</w:t>
      </w:r>
      <w:r>
        <w:rPr>
          <w:rFonts w:ascii="Cambria Math" w:hAnsi="Cambria Math" w:eastAsia="Cambria Math"/>
          <w:position w:val="-4"/>
          <w:sz w:val="17"/>
        </w:rPr>
        <w:t>ℎ</w:t>
      </w:r>
      <w:r>
        <w:rPr>
          <w:rFonts w:ascii="Cambria Math" w:hAnsi="Cambria Math" w:eastAsia="Cambria Math"/>
          <w:spacing w:val="19"/>
          <w:position w:val="-4"/>
          <w:sz w:val="17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27"/>
          <w:sz w:val="24"/>
        </w:rPr>
        <w:t> </w:t>
      </w:r>
      <w:r>
        <w:rPr>
          <w:rFonts w:ascii="Cambria Math" w:hAnsi="Cambria Math" w:eastAsia="Cambria Math"/>
          <w:sz w:val="24"/>
        </w:rPr>
        <w:t>0</w:t>
      </w:r>
      <w:r>
        <w:rPr>
          <w:rFonts w:ascii="Cambria Math" w:hAnsi="Cambria Math" w:eastAsia="Cambria Math"/>
          <w:sz w:val="17"/>
        </w:rPr>
        <w:t>|</w:t>
      </w:r>
      <w:r>
        <w:rPr>
          <w:rFonts w:ascii="Cambria Math" w:hAnsi="Cambria Math" w:eastAsia="Cambria Math"/>
          <w:sz w:val="24"/>
        </w:rPr>
        <w:t>𝑋</w:t>
      </w:r>
      <w:r>
        <w:rPr>
          <w:rFonts w:ascii="Cambria Math" w:hAnsi="Cambria Math" w:eastAsia="Cambria Math"/>
          <w:position w:val="-4"/>
          <w:sz w:val="17"/>
        </w:rPr>
        <w:t>ℎ𝑡</w:t>
      </w:r>
      <w:r>
        <w:rPr>
          <w:rFonts w:ascii="Cambria Math" w:hAnsi="Cambria Math" w:eastAsia="Cambria Math"/>
          <w:sz w:val="24"/>
        </w:rPr>
        <w:t>,</w:t>
      </w:r>
      <w:r>
        <w:rPr>
          <w:rFonts w:ascii="Cambria Math" w:hAnsi="Cambria Math" w:eastAsia="Cambria Math"/>
          <w:spacing w:val="-7"/>
          <w:sz w:val="24"/>
        </w:rPr>
        <w:t> </w:t>
      </w:r>
      <w:r>
        <w:rPr>
          <w:rFonts w:ascii="Cambria Math" w:hAnsi="Cambria Math" w:eastAsia="Cambria Math"/>
          <w:sz w:val="24"/>
        </w:rPr>
        <w:t>𝑌</w:t>
      </w:r>
      <w:r>
        <w:rPr>
          <w:rFonts w:ascii="Cambria Math" w:hAnsi="Cambria Math" w:eastAsia="Cambria Math"/>
          <w:position w:val="-4"/>
          <w:sz w:val="17"/>
        </w:rPr>
        <w:t>ℎ𝑡</w:t>
      </w:r>
      <w:r>
        <w:rPr>
          <w:rFonts w:ascii="Cambria Math" w:hAnsi="Cambria Math" w:eastAsia="Cambria Math"/>
          <w:sz w:val="24"/>
        </w:rPr>
        <w:t>,</w:t>
      </w:r>
      <w:r>
        <w:rPr>
          <w:rFonts w:ascii="Cambria Math" w:hAnsi="Cambria Math" w:eastAsia="Cambria Math"/>
          <w:spacing w:val="-8"/>
          <w:sz w:val="24"/>
        </w:rPr>
        <w:t> </w:t>
      </w:r>
      <w:r>
        <w:rPr>
          <w:rFonts w:ascii="Cambria Math" w:hAnsi="Cambria Math" w:eastAsia="Cambria Math"/>
          <w:sz w:val="24"/>
        </w:rPr>
        <w:t>𝑍</w:t>
      </w:r>
      <w:r>
        <w:rPr>
          <w:rFonts w:ascii="Cambria Math" w:hAnsi="Cambria Math" w:eastAsia="Cambria Math"/>
          <w:position w:val="-4"/>
          <w:sz w:val="17"/>
        </w:rPr>
        <w:t>𝑡</w:t>
      </w:r>
      <w:r>
        <w:rPr>
          <w:rFonts w:ascii="Cambria Math" w:hAnsi="Cambria Math" w:eastAsia="Cambria Math"/>
          <w:sz w:val="17"/>
        </w:rPr>
        <w:t>)</w:t>
      </w:r>
    </w:p>
    <w:p>
      <w:pPr>
        <w:pStyle w:val="BodyText"/>
        <w:spacing w:before="101"/>
        <w:ind w:left="100"/>
      </w:pPr>
      <w:r>
        <w:rPr/>
        <w:t>where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64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vector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3"/>
          <w:vertAlign w:val="baseline"/>
        </w:rPr>
        <w:t> </w:t>
      </w:r>
      <w:r>
        <w:rPr>
          <w:vertAlign w:val="baseline"/>
        </w:rPr>
        <w:t>variables.</w:t>
      </w:r>
    </w:p>
    <w:p>
      <w:pPr>
        <w:pStyle w:val="BodyText"/>
        <w:spacing w:before="9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00"/>
      </w:pPr>
      <w:r>
        <w:rPr/>
        <w:t>(4.19)</w:t>
      </w:r>
    </w:p>
    <w:p>
      <w:pPr>
        <w:spacing w:after="0"/>
        <w:sectPr>
          <w:type w:val="continuous"/>
          <w:pgSz w:w="12240" w:h="15840"/>
          <w:pgMar w:top="1380" w:bottom="280" w:left="1340" w:right="1320"/>
          <w:cols w:num="2" w:equalWidth="0">
            <w:col w:w="5799" w:space="2842"/>
            <w:col w:w="939"/>
          </w:cols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00" w:right="119"/>
      </w:pPr>
      <w:r>
        <w:rPr/>
        <w:t>Hence,</w:t>
      </w:r>
      <w:r>
        <w:rPr>
          <w:spacing w:val="21"/>
        </w:rPr>
        <w:t> </w:t>
      </w:r>
      <w:r>
        <w:rPr/>
        <w:t>Equation</w:t>
      </w:r>
      <w:r>
        <w:rPr>
          <w:spacing w:val="20"/>
        </w:rPr>
        <w:t> </w:t>
      </w:r>
      <w:r>
        <w:rPr/>
        <w:t>(4.19)</w:t>
      </w:r>
      <w:r>
        <w:rPr>
          <w:spacing w:val="22"/>
        </w:rPr>
        <w:t> </w:t>
      </w:r>
      <w:r>
        <w:rPr/>
        <w:t>show</w:t>
      </w:r>
      <w:r>
        <w:rPr>
          <w:spacing w:val="20"/>
        </w:rPr>
        <w:t> </w:t>
      </w:r>
      <w:r>
        <w:rPr/>
        <w:t>how</w:t>
      </w:r>
      <w:r>
        <w:rPr>
          <w:spacing w:val="19"/>
        </w:rPr>
        <w:t> </w:t>
      </w:r>
      <w:r>
        <w:rPr/>
        <w:t>frequent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household</w:t>
      </w:r>
      <w:r>
        <w:rPr>
          <w:spacing w:val="20"/>
        </w:rPr>
        <w:t> </w:t>
      </w:r>
      <w:r>
        <w:rPr/>
        <w:t>members</w:t>
      </w:r>
      <w:r>
        <w:rPr>
          <w:spacing w:val="22"/>
        </w:rPr>
        <w:t> </w:t>
      </w:r>
      <w:r>
        <w:rPr/>
        <w:t>experiences</w:t>
      </w:r>
      <w:r>
        <w:rPr>
          <w:spacing w:val="20"/>
        </w:rPr>
        <w:t> </w:t>
      </w:r>
      <w:r>
        <w:rPr/>
        <w:t>illness</w:t>
      </w:r>
      <w:r>
        <w:rPr>
          <w:spacing w:val="20"/>
        </w:rPr>
        <w:t> </w:t>
      </w:r>
      <w:r>
        <w:rPr/>
        <w:t>or</w:t>
      </w:r>
      <w:r>
        <w:rPr>
          <w:spacing w:val="21"/>
        </w:rPr>
        <w:t> </w:t>
      </w:r>
      <w:r>
        <w:rPr/>
        <w:t>seek</w:t>
      </w:r>
      <w:r>
        <w:rPr>
          <w:spacing w:val="-57"/>
        </w:rPr>
        <w:t> </w:t>
      </w:r>
      <w:r>
        <w:rPr/>
        <w:t>healthcare</w:t>
      </w:r>
      <w:r>
        <w:rPr>
          <w:spacing w:val="-2"/>
        </w:rPr>
        <w:t> </w:t>
      </w:r>
      <w:r>
        <w:rPr/>
        <w:t>services, relative to how</w:t>
      </w:r>
      <w:r>
        <w:rPr>
          <w:spacing w:val="-1"/>
        </w:rPr>
        <w:t> </w:t>
      </w:r>
      <w:r>
        <w:rPr/>
        <w:t>often it does not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certain circumstance.</w:t>
      </w:r>
    </w:p>
    <w:p>
      <w:pPr>
        <w:pStyle w:val="BodyText"/>
        <w:spacing w:before="184"/>
        <w:ind w:left="100"/>
      </w:pPr>
      <w:r>
        <w:rPr/>
        <w:t>By</w:t>
      </w:r>
      <w:r>
        <w:rPr>
          <w:spacing w:val="-6"/>
        </w:rPr>
        <w:t> </w:t>
      </w:r>
      <w:r>
        <w:rPr/>
        <w:t>taking</w:t>
      </w:r>
      <w:r>
        <w:rPr>
          <w:spacing w:val="-3"/>
        </w:rPr>
        <w:t> </w:t>
      </w:r>
      <w:r>
        <w:rPr/>
        <w:t>logit</w:t>
      </w:r>
      <w:r>
        <w:rPr>
          <w:spacing w:val="1"/>
        </w:rPr>
        <w:t> </w:t>
      </w:r>
      <w:r>
        <w:rPr/>
        <w:t>transformation of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(4.19), the</w:t>
      </w:r>
      <w:r>
        <w:rPr>
          <w:spacing w:val="-1"/>
        </w:rPr>
        <w:t> </w:t>
      </w:r>
      <w:r>
        <w:rPr/>
        <w:t>linear model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thesis is written as:</w:t>
      </w:r>
    </w:p>
    <w:p>
      <w:pPr>
        <w:tabs>
          <w:tab w:pos="8741" w:val="left" w:leader="none"/>
        </w:tabs>
        <w:spacing w:line="141" w:lineRule="auto" w:before="150"/>
        <w:ind w:left="1540" w:right="0" w:firstLine="0"/>
        <w:jc w:val="left"/>
        <w:rPr>
          <w:sz w:val="24"/>
        </w:rPr>
      </w:pPr>
      <w:r>
        <w:rPr>
          <w:i/>
          <w:position w:val="-14"/>
          <w:sz w:val="26"/>
        </w:rPr>
        <w:t>In</w:t>
      </w:r>
      <w:r>
        <w:rPr>
          <w:i/>
          <w:spacing w:val="2"/>
          <w:position w:val="-14"/>
          <w:sz w:val="26"/>
        </w:rPr>
        <w:t> </w:t>
      </w:r>
      <w:r>
        <w:rPr>
          <w:i/>
          <w:position w:val="-14"/>
          <w:sz w:val="26"/>
        </w:rPr>
        <w:t>[</w:t>
      </w:r>
      <w:r>
        <w:rPr>
          <w:i/>
          <w:spacing w:val="77"/>
          <w:sz w:val="26"/>
          <w:u w:val="single"/>
        </w:rPr>
        <w:t> </w:t>
      </w:r>
      <w:r>
        <w:rPr>
          <w:rFonts w:ascii="Cambria Math" w:hAnsi="Cambria Math" w:eastAsia="Cambria Math"/>
          <w:sz w:val="17"/>
          <w:u w:val="single"/>
        </w:rPr>
        <w:t>𝑃𝑟(</w:t>
      </w:r>
      <w:r>
        <w:rPr>
          <w:rFonts w:ascii="Cambria Math" w:hAnsi="Cambria Math" w:eastAsia="Cambria Math"/>
          <w:sz w:val="24"/>
          <w:u w:val="single"/>
        </w:rPr>
        <w:t>𝐻</w:t>
      </w:r>
      <w:r>
        <w:rPr>
          <w:rFonts w:ascii="Cambria Math" w:hAnsi="Cambria Math" w:eastAsia="Cambria Math"/>
          <w:sz w:val="24"/>
          <w:u w:val="single"/>
          <w:vertAlign w:val="subscript"/>
        </w:rPr>
        <w:t>ℎ</w:t>
      </w:r>
      <w:r>
        <w:rPr>
          <w:rFonts w:ascii="Cambria Math" w:hAnsi="Cambria Math" w:eastAsia="Cambria Math"/>
          <w:spacing w:val="36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baseline"/>
        </w:rPr>
        <w:t>=</w:t>
      </w:r>
      <w:r>
        <w:rPr>
          <w:rFonts w:ascii="Cambria Math" w:hAnsi="Cambria Math" w:eastAsia="Cambria Math"/>
          <w:spacing w:val="18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baseline"/>
        </w:rPr>
        <w:t>1</w:t>
      </w:r>
      <w:r>
        <w:rPr>
          <w:rFonts w:ascii="Cambria Math" w:hAnsi="Cambria Math" w:eastAsia="Cambria Math"/>
          <w:sz w:val="17"/>
          <w:u w:val="single"/>
          <w:vertAlign w:val="baseline"/>
        </w:rPr>
        <w:t>|</w:t>
      </w:r>
      <w:r>
        <w:rPr>
          <w:rFonts w:ascii="Cambria Math" w:hAnsi="Cambria Math" w:eastAsia="Cambria Math"/>
          <w:sz w:val="24"/>
          <w:u w:val="single"/>
          <w:vertAlign w:val="baseline"/>
        </w:rPr>
        <w:t>𝑋</w:t>
      </w:r>
      <w:r>
        <w:rPr>
          <w:rFonts w:ascii="Cambria Math" w:hAnsi="Cambria Math" w:eastAsia="Cambria Math"/>
          <w:sz w:val="24"/>
          <w:u w:val="single"/>
          <w:vertAlign w:val="subscript"/>
        </w:rPr>
        <w:t>ℎ𝑡</w:t>
      </w:r>
      <w:r>
        <w:rPr>
          <w:rFonts w:ascii="Cambria Math" w:hAnsi="Cambria Math" w:eastAsia="Cambria Math"/>
          <w:sz w:val="24"/>
          <w:u w:val="single"/>
          <w:vertAlign w:val="baseline"/>
        </w:rPr>
        <w:t>,</w:t>
      </w:r>
      <w:r>
        <w:rPr>
          <w:rFonts w:ascii="Cambria Math" w:hAnsi="Cambria Math" w:eastAsia="Cambria Math"/>
          <w:spacing w:val="-12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baseline"/>
        </w:rPr>
        <w:t>𝑌</w:t>
      </w:r>
      <w:r>
        <w:rPr>
          <w:rFonts w:ascii="Cambria Math" w:hAnsi="Cambria Math" w:eastAsia="Cambria Math"/>
          <w:sz w:val="24"/>
          <w:u w:val="single"/>
          <w:vertAlign w:val="subscript"/>
        </w:rPr>
        <w:t>ℎ𝑡</w:t>
      </w:r>
      <w:r>
        <w:rPr>
          <w:rFonts w:ascii="Cambria Math" w:hAnsi="Cambria Math" w:eastAsia="Cambria Math"/>
          <w:sz w:val="24"/>
          <w:u w:val="single"/>
          <w:vertAlign w:val="baseline"/>
        </w:rPr>
        <w:t>,</w:t>
      </w:r>
      <w:r>
        <w:rPr>
          <w:rFonts w:ascii="Cambria Math" w:hAnsi="Cambria Math" w:eastAsia="Cambria Math"/>
          <w:spacing w:val="-10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baseline"/>
        </w:rPr>
        <w:t>𝑍</w:t>
      </w:r>
      <w:r>
        <w:rPr>
          <w:rFonts w:ascii="Cambria Math" w:hAnsi="Cambria Math" w:eastAsia="Cambria Math"/>
          <w:sz w:val="24"/>
          <w:u w:val="single"/>
          <w:vertAlign w:val="subscript"/>
        </w:rPr>
        <w:t>𝑡</w:t>
      </w:r>
      <w:r>
        <w:rPr>
          <w:rFonts w:ascii="Cambria Math" w:hAnsi="Cambria Math" w:eastAsia="Cambria Math"/>
          <w:sz w:val="17"/>
          <w:u w:val="single"/>
          <w:vertAlign w:val="baseline"/>
        </w:rPr>
        <w:t>)  </w:t>
      </w:r>
      <w:r>
        <w:rPr>
          <w:rFonts w:ascii="Cambria Math" w:hAnsi="Cambria Math" w:eastAsia="Cambria Math"/>
          <w:spacing w:val="29"/>
          <w:sz w:val="17"/>
          <w:u w:val="single"/>
          <w:vertAlign w:val="baseline"/>
        </w:rPr>
        <w:t> </w:t>
      </w:r>
      <w:r>
        <w:rPr>
          <w:i/>
          <w:position w:val="-14"/>
          <w:sz w:val="26"/>
          <w:vertAlign w:val="baseline"/>
        </w:rPr>
        <w:t>]</w:t>
      </w:r>
      <w:r>
        <w:rPr>
          <w:i/>
          <w:spacing w:val="11"/>
          <w:position w:val="-14"/>
          <w:sz w:val="26"/>
          <w:vertAlign w:val="baseline"/>
        </w:rPr>
        <w:t> </w:t>
      </w:r>
      <w:r>
        <w:rPr>
          <w:i/>
          <w:position w:val="-14"/>
          <w:sz w:val="26"/>
          <w:vertAlign w:val="baseline"/>
        </w:rPr>
        <w:t>=</w:t>
      </w:r>
      <w:r>
        <w:rPr>
          <w:i/>
          <w:spacing w:val="5"/>
          <w:position w:val="-14"/>
          <w:sz w:val="26"/>
          <w:vertAlign w:val="baseline"/>
        </w:rPr>
        <w:t> </w:t>
      </w:r>
      <w:r>
        <w:rPr>
          <w:i/>
          <w:position w:val="-14"/>
          <w:sz w:val="26"/>
          <w:vertAlign w:val="baseline"/>
        </w:rPr>
        <w:t>X</w:t>
      </w:r>
      <w:r>
        <w:rPr>
          <w:i/>
          <w:spacing w:val="5"/>
          <w:position w:val="-14"/>
          <w:sz w:val="26"/>
          <w:vertAlign w:val="baseline"/>
        </w:rPr>
        <w:t> </w:t>
      </w:r>
      <w:r>
        <w:rPr>
          <w:i/>
          <w:position w:val="-14"/>
          <w:sz w:val="26"/>
          <w:vertAlign w:val="baseline"/>
        </w:rPr>
        <w:t>θ</w:t>
        <w:tab/>
      </w:r>
      <w:r>
        <w:rPr>
          <w:position w:val="-14"/>
          <w:sz w:val="24"/>
          <w:vertAlign w:val="baseline"/>
        </w:rPr>
        <w:t>(4.20)</w:t>
      </w:r>
    </w:p>
    <w:p>
      <w:pPr>
        <w:spacing w:line="232" w:lineRule="exact" w:before="0"/>
        <w:ind w:left="1922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1−</w:t>
      </w:r>
      <w:r>
        <w:rPr>
          <w:rFonts w:ascii="Cambria Math" w:hAnsi="Cambria Math" w:eastAsia="Cambria Math"/>
          <w:spacing w:val="7"/>
          <w:sz w:val="17"/>
        </w:rPr>
        <w:t> </w:t>
      </w:r>
      <w:r>
        <w:rPr>
          <w:rFonts w:ascii="Cambria Math" w:hAnsi="Cambria Math" w:eastAsia="Cambria Math"/>
          <w:sz w:val="17"/>
        </w:rPr>
        <w:t>𝑃𝑟(</w:t>
      </w:r>
      <w:r>
        <w:rPr>
          <w:rFonts w:ascii="Cambria Math" w:hAnsi="Cambria Math" w:eastAsia="Cambria Math"/>
          <w:sz w:val="24"/>
        </w:rPr>
        <w:t>𝐻</w:t>
      </w:r>
      <w:r>
        <w:rPr>
          <w:rFonts w:ascii="Cambria Math" w:hAnsi="Cambria Math" w:eastAsia="Cambria Math"/>
          <w:position w:val="-4"/>
          <w:sz w:val="17"/>
        </w:rPr>
        <w:t>ℎ</w:t>
      </w:r>
      <w:r>
        <w:rPr>
          <w:rFonts w:ascii="Cambria Math" w:hAnsi="Cambria Math" w:eastAsia="Cambria Math"/>
          <w:spacing w:val="22"/>
          <w:position w:val="-4"/>
          <w:sz w:val="17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24"/>
          <w:sz w:val="24"/>
        </w:rPr>
        <w:t> </w:t>
      </w:r>
      <w:r>
        <w:rPr>
          <w:rFonts w:ascii="Cambria Math" w:hAnsi="Cambria Math" w:eastAsia="Cambria Math"/>
          <w:sz w:val="24"/>
        </w:rPr>
        <w:t>0</w:t>
      </w:r>
      <w:r>
        <w:rPr>
          <w:rFonts w:ascii="Cambria Math" w:hAnsi="Cambria Math" w:eastAsia="Cambria Math"/>
          <w:sz w:val="17"/>
        </w:rPr>
        <w:t>|</w:t>
      </w:r>
      <w:r>
        <w:rPr>
          <w:rFonts w:ascii="Cambria Math" w:hAnsi="Cambria Math" w:eastAsia="Cambria Math"/>
          <w:sz w:val="24"/>
        </w:rPr>
        <w:t>𝑋</w:t>
      </w:r>
      <w:r>
        <w:rPr>
          <w:rFonts w:ascii="Cambria Math" w:hAnsi="Cambria Math" w:eastAsia="Cambria Math"/>
          <w:position w:val="-4"/>
          <w:sz w:val="17"/>
        </w:rPr>
        <w:t>ℎ𝑡</w:t>
      </w:r>
      <w:r>
        <w:rPr>
          <w:rFonts w:ascii="Cambria Math" w:hAnsi="Cambria Math" w:eastAsia="Cambria Math"/>
          <w:sz w:val="24"/>
        </w:rPr>
        <w:t>,</w:t>
      </w:r>
      <w:r>
        <w:rPr>
          <w:rFonts w:ascii="Cambria Math" w:hAnsi="Cambria Math" w:eastAsia="Cambria Math"/>
          <w:spacing w:val="-9"/>
          <w:sz w:val="24"/>
        </w:rPr>
        <w:t> </w:t>
      </w:r>
      <w:r>
        <w:rPr>
          <w:rFonts w:ascii="Cambria Math" w:hAnsi="Cambria Math" w:eastAsia="Cambria Math"/>
          <w:sz w:val="24"/>
        </w:rPr>
        <w:t>𝑌</w:t>
      </w:r>
      <w:r>
        <w:rPr>
          <w:rFonts w:ascii="Cambria Math" w:hAnsi="Cambria Math" w:eastAsia="Cambria Math"/>
          <w:position w:val="-4"/>
          <w:sz w:val="17"/>
        </w:rPr>
        <w:t>ℎ𝑡</w:t>
      </w:r>
      <w:r>
        <w:rPr>
          <w:rFonts w:ascii="Cambria Math" w:hAnsi="Cambria Math" w:eastAsia="Cambria Math"/>
          <w:sz w:val="24"/>
        </w:rPr>
        <w:t>,</w:t>
      </w:r>
      <w:r>
        <w:rPr>
          <w:rFonts w:ascii="Cambria Math" w:hAnsi="Cambria Math" w:eastAsia="Cambria Math"/>
          <w:spacing w:val="-7"/>
          <w:sz w:val="24"/>
        </w:rPr>
        <w:t> </w:t>
      </w:r>
      <w:r>
        <w:rPr>
          <w:rFonts w:ascii="Cambria Math" w:hAnsi="Cambria Math" w:eastAsia="Cambria Math"/>
          <w:sz w:val="24"/>
        </w:rPr>
        <w:t>𝑍</w:t>
      </w:r>
      <w:r>
        <w:rPr>
          <w:rFonts w:ascii="Cambria Math" w:hAnsi="Cambria Math" w:eastAsia="Cambria Math"/>
          <w:position w:val="-4"/>
          <w:sz w:val="17"/>
        </w:rPr>
        <w:t>𝑡</w:t>
      </w:r>
      <w:r>
        <w:rPr>
          <w:rFonts w:ascii="Cambria Math" w:hAnsi="Cambria Math" w:eastAsia="Cambria Math"/>
          <w:sz w:val="17"/>
        </w:rPr>
        <w:t>)</w:t>
      </w:r>
    </w:p>
    <w:p>
      <w:pPr>
        <w:pStyle w:val="BodyText"/>
        <w:spacing w:before="110"/>
        <w:ind w:left="100"/>
      </w:pPr>
      <w:r>
        <w:rPr/>
        <w:t>where</w:t>
      </w:r>
      <w:r>
        <w:rPr>
          <w:spacing w:val="-3"/>
        </w:rPr>
        <w:t> </w:t>
      </w:r>
      <w:r>
        <w:rPr>
          <w:i/>
        </w:rPr>
        <w:t>θ</w:t>
      </w:r>
      <w:r>
        <w:rPr>
          <w:i/>
          <w:spacing w:val="-1"/>
        </w:rPr>
        <w:t> </w:t>
      </w:r>
      <w:r>
        <w:rPr/>
        <w:t>is vector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parameters.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100"/>
      </w:pPr>
      <w:r>
        <w:rPr/>
        <w:t>The</w:t>
      </w:r>
      <w:r>
        <w:rPr>
          <w:spacing w:val="-3"/>
        </w:rPr>
        <w:t> </w:t>
      </w:r>
      <w:r>
        <w:rPr/>
        <w:t>logistic panel</w:t>
      </w:r>
      <w:r>
        <w:rPr>
          <w:spacing w:val="-1"/>
        </w:rPr>
        <w:t> </w:t>
      </w:r>
      <w:r>
        <w:rPr/>
        <w:t>regression equation</w:t>
      </w:r>
      <w:r>
        <w:rPr>
          <w:spacing w:val="-1"/>
        </w:rPr>
        <w:t> </w:t>
      </w:r>
      <w:r>
        <w:rPr/>
        <w:t>from which</w:t>
      </w:r>
      <w:r>
        <w:rPr>
          <w:spacing w:val="-1"/>
        </w:rPr>
        <w:t> </w:t>
      </w:r>
      <w:r>
        <w:rPr/>
        <w:t>the prob.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ℎ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is predicted</w:t>
      </w:r>
      <w:r>
        <w:rPr>
          <w:spacing w:val="-1"/>
          <w:vertAlign w:val="baseline"/>
        </w:rPr>
        <w:t> </w:t>
      </w:r>
      <w:r>
        <w:rPr>
          <w:vertAlign w:val="baseline"/>
        </w:rPr>
        <w:t>is expressed</w:t>
      </w:r>
      <w:r>
        <w:rPr>
          <w:spacing w:val="-1"/>
          <w:vertAlign w:val="baseline"/>
        </w:rPr>
        <w:t> </w:t>
      </w:r>
      <w:r>
        <w:rPr>
          <w:vertAlign w:val="baseline"/>
        </w:rPr>
        <w:t>as:</w:t>
      </w:r>
    </w:p>
    <w:p>
      <w:pPr>
        <w:spacing w:after="0"/>
        <w:sectPr>
          <w:type w:val="continuous"/>
          <w:pgSz w:w="12240" w:h="15840"/>
          <w:pgMar w:top="1380" w:bottom="280" w:left="1340" w:right="1320"/>
        </w:sectPr>
      </w:pPr>
    </w:p>
    <w:p>
      <w:pPr>
        <w:pStyle w:val="BodyText"/>
        <w:spacing w:before="201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Pr(</w:t>
      </w:r>
      <w:r>
        <w:rPr>
          <w:rFonts w:ascii="Cambria Math" w:hAnsi="Cambria Math" w:eastAsia="Cambria Math"/>
          <w:spacing w:val="1"/>
          <w:w w:val="110"/>
        </w:rPr>
        <w:t> </w:t>
      </w:r>
      <w:r>
        <w:rPr>
          <w:rFonts w:ascii="Cambria Math" w:hAnsi="Cambria Math" w:eastAsia="Cambria Math"/>
          <w:spacing w:val="-66"/>
          <w:w w:val="110"/>
        </w:rPr>
        <w:t>𝐻</w:t>
      </w:r>
      <w:r>
        <w:rPr>
          <w:rFonts w:ascii="Cambria Math" w:hAnsi="Cambria Math" w:eastAsia="Cambria Math"/>
          <w:spacing w:val="-66"/>
          <w:w w:val="110"/>
          <w:vertAlign w:val="subscript"/>
        </w:rPr>
        <w:t>ℎ𝑡</w:t>
      </w:r>
    </w:p>
    <w:p>
      <w:pPr>
        <w:pStyle w:val="BodyText"/>
        <w:tabs>
          <w:tab w:pos="2091" w:val="left" w:leader="none"/>
        </w:tabs>
        <w:spacing w:line="290" w:lineRule="exact" w:before="128"/>
        <w:ind w:left="40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𝑜𝑟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0)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=</w:t>
        <w:tab/>
      </w:r>
      <w:r>
        <w:rPr>
          <w:rFonts w:ascii="Cambria Math" w:eastAsia="Cambria Math"/>
          <w:position w:val="14"/>
          <w:sz w:val="17"/>
        </w:rPr>
        <w:t>1</w:t>
      </w:r>
    </w:p>
    <w:p>
      <w:pPr>
        <w:spacing w:line="100" w:lineRule="auto" w:before="0"/>
        <w:ind w:left="1356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214.729996pt;margin-top:-2.697317pt;width:82.32pt;height:.84pt;mso-position-horizontal-relative:page;mso-position-vertical-relative:paragraph;z-index:-4306380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  <w:position w:val="-6"/>
          <w:sz w:val="17"/>
        </w:rPr>
        <w:t>1+ 𝑒</w:t>
      </w:r>
      <w:r>
        <w:rPr>
          <w:rFonts w:ascii="Cambria Math" w:hAnsi="Cambria Math" w:eastAsia="Cambria Math"/>
          <w:w w:val="110"/>
          <w:sz w:val="14"/>
        </w:rPr>
        <w:t>−</w:t>
      </w:r>
      <w:r>
        <w:rPr>
          <w:rFonts w:ascii="Cambria Math" w:hAnsi="Cambria Math" w:eastAsia="Cambria Math"/>
          <w:spacing w:val="-1"/>
          <w:w w:val="110"/>
          <w:sz w:val="14"/>
        </w:rPr>
        <w:t> </w:t>
      </w:r>
      <w:r>
        <w:rPr>
          <w:rFonts w:ascii="Cambria Math" w:hAnsi="Cambria Math" w:eastAsia="Cambria Math"/>
          <w:w w:val="110"/>
          <w:sz w:val="14"/>
        </w:rPr>
        <w:t>(𝑎</w:t>
      </w:r>
      <w:r>
        <w:rPr>
          <w:rFonts w:ascii="Cambria Math" w:hAnsi="Cambria Math" w:eastAsia="Cambria Math"/>
          <w:w w:val="110"/>
          <w:position w:val="-4"/>
          <w:sz w:val="14"/>
        </w:rPr>
        <w:t>𝑖</w:t>
      </w:r>
      <w:r>
        <w:rPr>
          <w:rFonts w:ascii="Cambria Math" w:hAnsi="Cambria Math" w:eastAsia="Cambria Math"/>
          <w:w w:val="110"/>
          <w:sz w:val="14"/>
        </w:rPr>
        <w:t>+𝑋</w:t>
      </w:r>
      <w:r>
        <w:rPr>
          <w:rFonts w:ascii="Cambria Math" w:hAnsi="Cambria Math" w:eastAsia="Cambria Math"/>
          <w:w w:val="110"/>
          <w:position w:val="-4"/>
          <w:sz w:val="14"/>
        </w:rPr>
        <w:t>𝑖𝑡</w:t>
      </w:r>
      <w:r>
        <w:rPr>
          <w:rFonts w:ascii="Cambria Math" w:hAnsi="Cambria Math" w:eastAsia="Cambria Math"/>
          <w:w w:val="110"/>
          <w:sz w:val="14"/>
        </w:rPr>
        <w:t>𝛽+</w:t>
      </w:r>
      <w:r>
        <w:rPr>
          <w:rFonts w:ascii="Cambria Math" w:hAnsi="Cambria Math" w:eastAsia="Cambria Math"/>
          <w:spacing w:val="1"/>
          <w:w w:val="110"/>
          <w:sz w:val="14"/>
        </w:rPr>
        <w:t> </w:t>
      </w:r>
      <w:r>
        <w:rPr>
          <w:rFonts w:ascii="Cambria Math" w:hAnsi="Cambria Math" w:eastAsia="Cambria Math"/>
          <w:w w:val="110"/>
          <w:sz w:val="14"/>
        </w:rPr>
        <w:t>𝜇</w:t>
      </w:r>
      <w:r>
        <w:rPr>
          <w:rFonts w:ascii="Cambria Math" w:hAnsi="Cambria Math" w:eastAsia="Cambria Math"/>
          <w:w w:val="110"/>
          <w:position w:val="-4"/>
          <w:sz w:val="14"/>
        </w:rPr>
        <w:t>𝑖𝑡</w:t>
      </w:r>
      <w:r>
        <w:rPr>
          <w:rFonts w:ascii="Cambria Math" w:hAnsi="Cambria Math" w:eastAsia="Cambria Math"/>
          <w:spacing w:val="6"/>
          <w:w w:val="110"/>
          <w:position w:val="-4"/>
          <w:sz w:val="14"/>
        </w:rPr>
        <w:t> </w:t>
      </w:r>
      <w:r>
        <w:rPr>
          <w:rFonts w:ascii="Cambria Math" w:hAnsi="Cambria Math" w:eastAsia="Cambria Math"/>
          <w:w w:val="110"/>
          <w:sz w:val="14"/>
        </w:rPr>
        <w:t>)</w:t>
      </w:r>
    </w:p>
    <w:p>
      <w:pPr>
        <w:pStyle w:val="BodyText"/>
        <w:spacing w:before="205"/>
        <w:ind w:left="880"/>
      </w:pPr>
      <w:r>
        <w:rPr/>
        <w:br w:type="column"/>
      </w:r>
      <w:r>
        <w:rPr/>
        <w:t>(4.21)</w:t>
      </w:r>
    </w:p>
    <w:p>
      <w:pPr>
        <w:spacing w:after="0"/>
        <w:sectPr>
          <w:type w:val="continuous"/>
          <w:pgSz w:w="12240" w:h="15840"/>
          <w:pgMar w:top="1380" w:bottom="280" w:left="1340" w:right="1320"/>
          <w:cols w:num="3" w:equalWidth="0">
            <w:col w:w="1597" w:space="40"/>
            <w:col w:w="3001" w:space="3224"/>
            <w:col w:w="1718"/>
          </w:cols>
        </w:sectPr>
      </w:pPr>
    </w:p>
    <w:p>
      <w:pPr>
        <w:pStyle w:val="BodyText"/>
        <w:spacing w:line="360" w:lineRule="auto" w:before="145"/>
        <w:ind w:left="100" w:right="109"/>
      </w:pPr>
      <w:r>
        <w:rPr/>
        <w:t>where </w:t>
      </w:r>
      <w:r>
        <w:rPr>
          <w:rFonts w:ascii="Cambria Math" w:hAnsi="Cambria Math" w:eastAsia="Cambria Math"/>
        </w:rPr>
        <w:t>Pr( 𝐻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 = 1 𝑜𝑟 0) </w:t>
      </w:r>
      <w:r>
        <w:rPr>
          <w:vertAlign w:val="baseline"/>
        </w:rPr>
        <w:t>is the probability of health issues of household </w:t>
      </w:r>
      <w:r>
        <w:rPr>
          <w:b/>
          <w:i/>
          <w:vertAlign w:val="baseline"/>
        </w:rPr>
        <w:t>h</w:t>
      </w:r>
      <w:r>
        <w:rPr>
          <w:vertAlign w:val="baseline"/>
        </w:rPr>
        <w:t>, </w:t>
      </w:r>
      <w:r>
        <w:rPr>
          <w:b/>
          <w:i/>
          <w:vertAlign w:val="baseline"/>
        </w:rPr>
        <w:t>e </w:t>
      </w:r>
      <w:r>
        <w:rPr>
          <w:vertAlign w:val="baseline"/>
        </w:rPr>
        <w:t>is the base of natural</w:t>
      </w:r>
      <w:r>
        <w:rPr>
          <w:spacing w:val="-57"/>
          <w:vertAlign w:val="baseline"/>
        </w:rPr>
        <w:t> </w:t>
      </w:r>
      <w:r>
        <w:rPr>
          <w:vertAlign w:val="baseline"/>
        </w:rPr>
        <w:t>logarithm,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𝑖𝑡</w:t>
      </w:r>
      <w:r>
        <w:rPr>
          <w:rFonts w:ascii="Cambria Math" w:hAnsi="Cambria Math" w:eastAsia="Cambria Math"/>
          <w:vertAlign w:val="baseline"/>
        </w:rPr>
        <w:t>𝛽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𝜇</w:t>
      </w:r>
      <w:r>
        <w:rPr>
          <w:rFonts w:ascii="Cambria Math" w:hAnsi="Cambria Math" w:eastAsia="Cambria Math"/>
          <w:vertAlign w:val="subscript"/>
        </w:rPr>
        <w:t>𝑖𝑡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are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coefficients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</w:t>
      </w:r>
      <w:r>
        <w:rPr>
          <w:spacing w:val="2"/>
          <w:vertAlign w:val="baseline"/>
        </w:rPr>
        <w:t> </w:t>
      </w:r>
      <w:r>
        <w:rPr>
          <w:vertAlign w:val="baseline"/>
        </w:rPr>
        <w:t>combination.</w:t>
      </w:r>
    </w:p>
    <w:p>
      <w:pPr>
        <w:pStyle w:val="BodyText"/>
        <w:spacing w:before="2"/>
      </w:pPr>
    </w:p>
    <w:p>
      <w:pPr>
        <w:pStyle w:val="BodyText"/>
        <w:spacing w:before="1"/>
        <w:ind w:left="100"/>
      </w:pPr>
      <w:r>
        <w:rPr/>
        <w:t>By</w:t>
      </w:r>
      <w:r>
        <w:rPr>
          <w:spacing w:val="-6"/>
        </w:rPr>
        <w:t> </w:t>
      </w:r>
      <w:r>
        <w:rPr/>
        <w:t>taking</w:t>
      </w:r>
      <w:r>
        <w:rPr>
          <w:spacing w:val="-3"/>
        </w:rPr>
        <w:t> </w:t>
      </w:r>
      <w:r>
        <w:rPr/>
        <w:t>logit</w:t>
      </w:r>
      <w:r>
        <w:rPr>
          <w:spacing w:val="-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of equation</w:t>
      </w:r>
      <w:r>
        <w:rPr>
          <w:spacing w:val="-1"/>
        </w:rPr>
        <w:t> </w:t>
      </w:r>
      <w:r>
        <w:rPr/>
        <w:t>(4.21), the</w:t>
      </w:r>
      <w:r>
        <w:rPr>
          <w:spacing w:val="-2"/>
        </w:rPr>
        <w:t> </w:t>
      </w:r>
      <w:r>
        <w:rPr/>
        <w:t>linear logistic</w:t>
      </w:r>
      <w:r>
        <w:rPr>
          <w:spacing w:val="-1"/>
        </w:rPr>
        <w:t> </w:t>
      </w:r>
      <w:r>
        <w:rPr/>
        <w:t>panel model</w:t>
      </w:r>
      <w:r>
        <w:rPr>
          <w:spacing w:val="-1"/>
        </w:rPr>
        <w:t> </w:t>
      </w:r>
      <w:r>
        <w:rPr/>
        <w:t>is:</w:t>
      </w:r>
    </w:p>
    <w:p>
      <w:pPr>
        <w:spacing w:after="0"/>
        <w:sectPr>
          <w:type w:val="continuous"/>
          <w:pgSz w:w="12240" w:h="15840"/>
          <w:pgMar w:top="1380" w:bottom="280" w:left="1340" w:right="132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82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In[Pr(</w:t>
      </w:r>
      <w:r>
        <w:rPr>
          <w:rFonts w:ascii="Cambria Math" w:hAnsi="Cambria Math" w:eastAsia="Cambria Math"/>
          <w:spacing w:val="1"/>
          <w:w w:val="110"/>
        </w:rPr>
        <w:t> </w:t>
      </w:r>
      <w:r>
        <w:rPr>
          <w:rFonts w:ascii="Cambria Math" w:hAnsi="Cambria Math" w:eastAsia="Cambria Math"/>
          <w:spacing w:val="-66"/>
          <w:w w:val="110"/>
        </w:rPr>
        <w:t>𝐻</w:t>
      </w:r>
      <w:r>
        <w:rPr>
          <w:rFonts w:ascii="Cambria Math" w:hAnsi="Cambria Math" w:eastAsia="Cambria Math"/>
          <w:spacing w:val="-66"/>
          <w:w w:val="110"/>
          <w:vertAlign w:val="subscript"/>
        </w:rPr>
        <w:t>ℎ𝑡</w:t>
      </w:r>
    </w:p>
    <w:p>
      <w:pPr>
        <w:spacing w:line="349" w:lineRule="exact" w:before="105"/>
        <w:ind w:left="40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6"/>
          <w:sz w:val="24"/>
        </w:rPr>
        <w:t> </w:t>
      </w:r>
      <w:r>
        <w:rPr>
          <w:rFonts w:ascii="Cambria Math" w:hAnsi="Cambria Math" w:eastAsia="Cambria Math"/>
          <w:sz w:val="24"/>
        </w:rPr>
        <w:t>1</w:t>
      </w:r>
      <w:r>
        <w:rPr>
          <w:rFonts w:ascii="Cambria Math" w:hAnsi="Cambria Math" w:eastAsia="Cambria Math"/>
          <w:spacing w:val="2"/>
          <w:sz w:val="24"/>
        </w:rPr>
        <w:t> </w:t>
      </w:r>
      <w:r>
        <w:rPr>
          <w:rFonts w:ascii="Cambria Math" w:hAnsi="Cambria Math" w:eastAsia="Cambria Math"/>
          <w:sz w:val="24"/>
        </w:rPr>
        <w:t>𝑜𝑟</w:t>
      </w:r>
      <w:r>
        <w:rPr>
          <w:rFonts w:ascii="Cambria Math" w:hAnsi="Cambria Math" w:eastAsia="Cambria Math"/>
          <w:spacing w:val="10"/>
          <w:sz w:val="24"/>
        </w:rPr>
        <w:t> </w:t>
      </w:r>
      <w:r>
        <w:rPr>
          <w:rFonts w:ascii="Cambria Math" w:hAnsi="Cambria Math" w:eastAsia="Cambria Math"/>
          <w:sz w:val="24"/>
        </w:rPr>
        <w:t>0)</w:t>
      </w:r>
      <w:r>
        <w:rPr>
          <w:sz w:val="24"/>
        </w:rPr>
        <w:t>]</w:t>
      </w:r>
      <w:r>
        <w:rPr>
          <w:spacing w:val="4"/>
          <w:sz w:val="24"/>
        </w:rPr>
        <w:t> </w:t>
      </w:r>
      <w:r>
        <w:rPr>
          <w:sz w:val="24"/>
        </w:rPr>
        <w:t>=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[</w:t>
      </w:r>
      <w:r>
        <w:rPr>
          <w:spacing w:val="78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superscript"/>
        </w:rPr>
        <w:t>𝑃𝑟</w:t>
      </w:r>
      <w:r>
        <w:rPr>
          <w:rFonts w:ascii="Cambria Math" w:hAnsi="Cambria Math" w:eastAsia="Cambria Math"/>
          <w:position w:val="15"/>
          <w:sz w:val="17"/>
          <w:u w:val="single"/>
          <w:vertAlign w:val="baseline"/>
        </w:rPr>
        <w:t>(</w:t>
      </w:r>
      <w:r>
        <w:rPr>
          <w:rFonts w:ascii="Cambria Math" w:hAnsi="Cambria Math" w:eastAsia="Cambria Math"/>
          <w:position w:val="15"/>
          <w:sz w:val="24"/>
          <w:u w:val="single"/>
          <w:vertAlign w:val="baseline"/>
        </w:rPr>
        <w:t>𝐻</w:t>
      </w:r>
      <w:r>
        <w:rPr>
          <w:rFonts w:ascii="Cambria Math" w:hAnsi="Cambria Math" w:eastAsia="Cambria Math"/>
          <w:position w:val="10"/>
          <w:sz w:val="17"/>
          <w:u w:val="single"/>
          <w:vertAlign w:val="baseline"/>
        </w:rPr>
        <w:t>ℎ</w:t>
      </w:r>
      <w:r>
        <w:rPr>
          <w:rFonts w:ascii="Cambria Math" w:hAnsi="Cambria Math" w:eastAsia="Cambria Math"/>
          <w:spacing w:val="48"/>
          <w:position w:val="10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5"/>
          <w:sz w:val="24"/>
          <w:u w:val="single"/>
          <w:vertAlign w:val="baseline"/>
        </w:rPr>
        <w:t>=</w:t>
      </w:r>
      <w:r>
        <w:rPr>
          <w:rFonts w:ascii="Cambria Math" w:hAnsi="Cambria Math" w:eastAsia="Cambria Math"/>
          <w:spacing w:val="16"/>
          <w:position w:val="15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5"/>
          <w:sz w:val="24"/>
          <w:u w:val="single"/>
          <w:vertAlign w:val="baseline"/>
        </w:rPr>
        <w:t>1</w:t>
      </w:r>
      <w:r>
        <w:rPr>
          <w:rFonts w:ascii="Cambria Math" w:hAnsi="Cambria Math" w:eastAsia="Cambria Math"/>
          <w:position w:val="15"/>
          <w:sz w:val="17"/>
          <w:u w:val="single"/>
          <w:vertAlign w:val="baseline"/>
        </w:rPr>
        <w:t>|</w:t>
      </w:r>
      <w:r>
        <w:rPr>
          <w:rFonts w:ascii="Cambria Math" w:hAnsi="Cambria Math" w:eastAsia="Cambria Math"/>
          <w:position w:val="15"/>
          <w:sz w:val="24"/>
          <w:u w:val="single"/>
          <w:vertAlign w:val="baseline"/>
        </w:rPr>
        <w:t>𝑋</w:t>
      </w:r>
      <w:r>
        <w:rPr>
          <w:rFonts w:ascii="Cambria Math" w:hAnsi="Cambria Math" w:eastAsia="Cambria Math"/>
          <w:position w:val="10"/>
          <w:sz w:val="17"/>
          <w:u w:val="single"/>
          <w:vertAlign w:val="baseline"/>
        </w:rPr>
        <w:t>ℎ𝑡</w:t>
      </w:r>
      <w:r>
        <w:rPr>
          <w:rFonts w:ascii="Cambria Math" w:hAnsi="Cambria Math" w:eastAsia="Cambria Math"/>
          <w:position w:val="15"/>
          <w:sz w:val="24"/>
          <w:u w:val="single"/>
          <w:vertAlign w:val="baseline"/>
        </w:rPr>
        <w:t>,</w:t>
      </w:r>
      <w:r>
        <w:rPr>
          <w:rFonts w:ascii="Cambria Math" w:hAnsi="Cambria Math" w:eastAsia="Cambria Math"/>
          <w:spacing w:val="-11"/>
          <w:position w:val="15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5"/>
          <w:sz w:val="24"/>
          <w:u w:val="single"/>
          <w:vertAlign w:val="baseline"/>
        </w:rPr>
        <w:t>𝑌</w:t>
      </w:r>
      <w:r>
        <w:rPr>
          <w:rFonts w:ascii="Cambria Math" w:hAnsi="Cambria Math" w:eastAsia="Cambria Math"/>
          <w:position w:val="10"/>
          <w:sz w:val="17"/>
          <w:u w:val="single"/>
          <w:vertAlign w:val="baseline"/>
        </w:rPr>
        <w:t>ℎ𝑡</w:t>
      </w:r>
      <w:r>
        <w:rPr>
          <w:rFonts w:ascii="Cambria Math" w:hAnsi="Cambria Math" w:eastAsia="Cambria Math"/>
          <w:position w:val="15"/>
          <w:sz w:val="24"/>
          <w:u w:val="single"/>
          <w:vertAlign w:val="baseline"/>
        </w:rPr>
        <w:t>,</w:t>
      </w:r>
      <w:r>
        <w:rPr>
          <w:rFonts w:ascii="Cambria Math" w:hAnsi="Cambria Math" w:eastAsia="Cambria Math"/>
          <w:spacing w:val="-12"/>
          <w:position w:val="15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position w:val="15"/>
          <w:sz w:val="24"/>
          <w:u w:val="single"/>
          <w:vertAlign w:val="baseline"/>
        </w:rPr>
        <w:t>𝑍</w:t>
      </w:r>
      <w:r>
        <w:rPr>
          <w:rFonts w:ascii="Cambria Math" w:hAnsi="Cambria Math" w:eastAsia="Cambria Math"/>
          <w:position w:val="10"/>
          <w:sz w:val="17"/>
          <w:u w:val="single"/>
          <w:vertAlign w:val="baseline"/>
        </w:rPr>
        <w:t>𝑡</w:t>
      </w:r>
      <w:r>
        <w:rPr>
          <w:rFonts w:ascii="Cambria Math" w:hAnsi="Cambria Math" w:eastAsia="Cambria Math"/>
          <w:position w:val="15"/>
          <w:sz w:val="17"/>
          <w:u w:val="single"/>
          <w:vertAlign w:val="baseline"/>
        </w:rPr>
        <w:t>)  </w:t>
      </w:r>
      <w:r>
        <w:rPr>
          <w:rFonts w:ascii="Cambria Math" w:hAnsi="Cambria Math" w:eastAsia="Cambria Math"/>
          <w:spacing w:val="28"/>
          <w:position w:val="15"/>
          <w:sz w:val="17"/>
          <w:u w:val="single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]</w:t>
      </w:r>
      <w:r>
        <w:rPr>
          <w:rFonts w:ascii="Cambria Math" w:hAnsi="Cambria Math" w:eastAsia="Cambria Math"/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4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𝑎</w:t>
      </w:r>
    </w:p>
    <w:p>
      <w:pPr>
        <w:tabs>
          <w:tab w:pos="4594" w:val="left" w:leader="none"/>
        </w:tabs>
        <w:spacing w:line="237" w:lineRule="exact" w:before="0"/>
        <w:ind w:left="1678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1−</w:t>
      </w:r>
      <w:r>
        <w:rPr>
          <w:rFonts w:ascii="Cambria Math" w:hAnsi="Cambria Math" w:eastAsia="Cambria Math"/>
          <w:spacing w:val="6"/>
          <w:sz w:val="17"/>
        </w:rPr>
        <w:t> </w:t>
      </w:r>
      <w:r>
        <w:rPr>
          <w:rFonts w:ascii="Cambria Math" w:hAnsi="Cambria Math" w:eastAsia="Cambria Math"/>
          <w:sz w:val="17"/>
        </w:rPr>
        <w:t>𝑃𝑟(</w:t>
      </w:r>
      <w:r>
        <w:rPr>
          <w:rFonts w:ascii="Cambria Math" w:hAnsi="Cambria Math" w:eastAsia="Cambria Math"/>
          <w:sz w:val="24"/>
        </w:rPr>
        <w:t>𝐻</w:t>
      </w:r>
      <w:r>
        <w:rPr>
          <w:rFonts w:ascii="Cambria Math" w:hAnsi="Cambria Math" w:eastAsia="Cambria Math"/>
          <w:position w:val="-4"/>
          <w:sz w:val="17"/>
        </w:rPr>
        <w:t>ℎ</w:t>
      </w:r>
      <w:r>
        <w:rPr>
          <w:rFonts w:ascii="Cambria Math" w:hAnsi="Cambria Math" w:eastAsia="Cambria Math"/>
          <w:spacing w:val="54"/>
          <w:position w:val="-4"/>
          <w:sz w:val="17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20"/>
          <w:sz w:val="24"/>
        </w:rPr>
        <w:t> </w:t>
      </w:r>
      <w:r>
        <w:rPr>
          <w:rFonts w:ascii="Cambria Math" w:hAnsi="Cambria Math" w:eastAsia="Cambria Math"/>
          <w:sz w:val="24"/>
        </w:rPr>
        <w:t>0</w:t>
      </w:r>
      <w:r>
        <w:rPr>
          <w:rFonts w:ascii="Cambria Math" w:hAnsi="Cambria Math" w:eastAsia="Cambria Math"/>
          <w:sz w:val="17"/>
        </w:rPr>
        <w:t>|</w:t>
      </w:r>
      <w:r>
        <w:rPr>
          <w:rFonts w:ascii="Cambria Math" w:hAnsi="Cambria Math" w:eastAsia="Cambria Math"/>
          <w:sz w:val="24"/>
        </w:rPr>
        <w:t>𝑋</w:t>
      </w:r>
      <w:r>
        <w:rPr>
          <w:rFonts w:ascii="Cambria Math" w:hAnsi="Cambria Math" w:eastAsia="Cambria Math"/>
          <w:position w:val="-4"/>
          <w:sz w:val="17"/>
        </w:rPr>
        <w:t>ℎ𝑡</w:t>
      </w:r>
      <w:r>
        <w:rPr>
          <w:rFonts w:ascii="Cambria Math" w:hAnsi="Cambria Math" w:eastAsia="Cambria Math"/>
          <w:sz w:val="24"/>
        </w:rPr>
        <w:t>,</w:t>
      </w:r>
      <w:r>
        <w:rPr>
          <w:rFonts w:ascii="Cambria Math" w:hAnsi="Cambria Math" w:eastAsia="Cambria Math"/>
          <w:spacing w:val="-9"/>
          <w:sz w:val="24"/>
        </w:rPr>
        <w:t> </w:t>
      </w:r>
      <w:r>
        <w:rPr>
          <w:rFonts w:ascii="Cambria Math" w:hAnsi="Cambria Math" w:eastAsia="Cambria Math"/>
          <w:sz w:val="24"/>
        </w:rPr>
        <w:t>𝑌</w:t>
      </w:r>
      <w:r>
        <w:rPr>
          <w:rFonts w:ascii="Cambria Math" w:hAnsi="Cambria Math" w:eastAsia="Cambria Math"/>
          <w:position w:val="-4"/>
          <w:sz w:val="17"/>
        </w:rPr>
        <w:t>ℎ𝑡</w:t>
      </w:r>
      <w:r>
        <w:rPr>
          <w:rFonts w:ascii="Cambria Math" w:hAnsi="Cambria Math" w:eastAsia="Cambria Math"/>
          <w:sz w:val="24"/>
        </w:rPr>
        <w:t>,</w:t>
      </w:r>
      <w:r>
        <w:rPr>
          <w:rFonts w:ascii="Cambria Math" w:hAnsi="Cambria Math" w:eastAsia="Cambria Math"/>
          <w:spacing w:val="-9"/>
          <w:sz w:val="24"/>
        </w:rPr>
        <w:t> </w:t>
      </w:r>
      <w:r>
        <w:rPr>
          <w:rFonts w:ascii="Cambria Math" w:hAnsi="Cambria Math" w:eastAsia="Cambria Math"/>
          <w:sz w:val="24"/>
        </w:rPr>
        <w:t>𝑍</w:t>
      </w:r>
      <w:r>
        <w:rPr>
          <w:rFonts w:ascii="Cambria Math" w:hAnsi="Cambria Math" w:eastAsia="Cambria Math"/>
          <w:position w:val="-4"/>
          <w:sz w:val="17"/>
        </w:rPr>
        <w:t>𝑡</w:t>
      </w:r>
      <w:r>
        <w:rPr>
          <w:rFonts w:ascii="Cambria Math" w:hAnsi="Cambria Math" w:eastAsia="Cambria Math"/>
          <w:sz w:val="17"/>
        </w:rPr>
        <w:t>)</w:t>
        <w:tab/>
      </w:r>
      <w:r>
        <w:rPr>
          <w:rFonts w:ascii="Cambria Math" w:hAnsi="Cambria Math" w:eastAsia="Cambria Math"/>
          <w:spacing w:val="-159"/>
          <w:w w:val="105"/>
          <w:position w:val="7"/>
          <w:sz w:val="17"/>
        </w:rPr>
        <w:t>𝑖</w:t>
      </w:r>
    </w:p>
    <w:p>
      <w:pPr>
        <w:pStyle w:val="BodyText"/>
        <w:spacing w:before="8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pStyle w:val="BodyText"/>
        <w:spacing w:before="1"/>
        <w:ind w:left="27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+</w:t>
      </w:r>
      <w:r>
        <w:rPr>
          <w:rFonts w:ascii="Cambria Math" w:eastAsia="Cambria Math"/>
          <w:spacing w:val="1"/>
          <w:w w:val="110"/>
        </w:rPr>
        <w:t> </w:t>
      </w:r>
      <w:r>
        <w:rPr>
          <w:rFonts w:ascii="Cambria Math" w:eastAsia="Cambria Math"/>
          <w:spacing w:val="-55"/>
          <w:w w:val="110"/>
        </w:rPr>
        <w:t>𝑋</w:t>
      </w:r>
      <w:r>
        <w:rPr>
          <w:rFonts w:ascii="Cambria Math" w:eastAsia="Cambria Math"/>
          <w:spacing w:val="-55"/>
          <w:w w:val="110"/>
          <w:vertAlign w:val="subscript"/>
        </w:rPr>
        <w:t>𝑖𝑡</w:t>
      </w:r>
    </w:p>
    <w:p>
      <w:pPr>
        <w:pStyle w:val="BodyText"/>
        <w:spacing w:before="8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pStyle w:val="BodyText"/>
        <w:spacing w:before="1"/>
        <w:ind w:left="-27"/>
        <w:rPr>
          <w:rFonts w:ascii="Cambria Math" w:eastAsia="Cambria Math"/>
        </w:rPr>
      </w:pPr>
      <w:r>
        <w:rPr>
          <w:rFonts w:ascii="Cambria Math" w:eastAsia="Cambria Math"/>
        </w:rPr>
        <w:t>𝛽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54"/>
        </w:rPr>
        <w:t> </w:t>
      </w:r>
      <w:r>
        <w:rPr>
          <w:rFonts w:ascii="Cambria Math" w:eastAsia="Cambria Math"/>
          <w:spacing w:val="-174"/>
        </w:rPr>
        <w:t>𝜇</w:t>
      </w:r>
    </w:p>
    <w:p>
      <w:pPr>
        <w:pStyle w:val="BodyTex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sz w:val="16"/>
        </w:rPr>
      </w:r>
    </w:p>
    <w:p>
      <w:pPr>
        <w:pStyle w:val="BodyText"/>
        <w:spacing w:before="6"/>
        <w:rPr>
          <w:rFonts w:ascii="Cambria Math"/>
          <w:sz w:val="15"/>
        </w:rPr>
      </w:pPr>
    </w:p>
    <w:p>
      <w:pPr>
        <w:spacing w:before="0"/>
        <w:ind w:left="-4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𝑖𝑡</w:t>
      </w:r>
    </w:p>
    <w:p>
      <w:pPr>
        <w:pStyle w:val="BodyText"/>
        <w:spacing w:before="1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ind w:left="820"/>
      </w:pPr>
      <w:r>
        <w:rPr/>
        <w:t>(4.22)</w:t>
      </w:r>
    </w:p>
    <w:p>
      <w:pPr>
        <w:spacing w:after="0"/>
        <w:sectPr>
          <w:type w:val="continuous"/>
          <w:pgSz w:w="12240" w:h="15840"/>
          <w:pgMar w:top="1380" w:bottom="280" w:left="1340" w:right="1320"/>
          <w:cols w:num="6" w:equalWidth="0">
            <w:col w:w="1834" w:space="40"/>
            <w:col w:w="4655" w:space="39"/>
            <w:col w:w="542" w:space="40"/>
            <w:col w:w="596" w:space="40"/>
            <w:col w:w="96" w:space="39"/>
            <w:col w:w="1659"/>
          </w:cols>
        </w:sectPr>
      </w:pPr>
    </w:p>
    <w:p>
      <w:pPr>
        <w:pStyle w:val="BodyText"/>
        <w:tabs>
          <w:tab w:pos="8741" w:val="left" w:leader="none"/>
        </w:tabs>
        <w:spacing w:before="106"/>
        <w:ind w:left="820"/>
      </w:pPr>
      <w:r>
        <w:rPr/>
        <w:t>In</w:t>
      </w:r>
      <w:r>
        <w:rPr>
          <w:rFonts w:ascii="Cambria Math" w:hAnsi="Cambria Math" w:eastAsia="Cambria Math"/>
        </w:rPr>
        <w:t>[Pr(</w:t>
      </w:r>
      <w:r>
        <w:rPr>
          <w:rFonts w:ascii="Cambria Math" w:hAnsi="Cambria Math" w:eastAsia="Cambria Math"/>
          <w:spacing w:val="-8"/>
        </w:rPr>
        <w:t> </w:t>
      </w: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spacing w:val="3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𝑜𝑟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0)</w:t>
      </w:r>
      <w:r>
        <w:rPr>
          <w:vertAlign w:val="baseline"/>
        </w:rPr>
        <w:t>]</w:t>
      </w:r>
      <w:r>
        <w:rPr>
          <w:spacing w:val="6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𝛽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𝑌</w:t>
      </w:r>
      <w:r>
        <w:rPr>
          <w:rFonts w:ascii="Cambria Math" w:hAnsi="Cambria Math" w:eastAsia="Cambria Math"/>
          <w:vertAlign w:val="subscript"/>
        </w:rPr>
        <w:t>ℎ𝑡</w:t>
      </w:r>
      <w:r>
        <w:rPr>
          <w:rFonts w:ascii="Cambria Math" w:hAnsi="Cambria Math" w:eastAsia="Cambria Math"/>
          <w:vertAlign w:val="baseline"/>
        </w:rPr>
        <w:t>𝛿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𝑡</w:t>
      </w:r>
      <w:r>
        <w:rPr>
          <w:rFonts w:ascii="Cambria Math" w:hAnsi="Cambria Math" w:eastAsia="Cambria Math"/>
          <w:vertAlign w:val="baseline"/>
        </w:rPr>
        <w:t>𝛾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𝜇</w:t>
      </w:r>
      <w:r>
        <w:rPr>
          <w:rFonts w:ascii="Cambria Math" w:hAnsi="Cambria Math" w:eastAsia="Cambria Math"/>
          <w:vertAlign w:val="subscript"/>
        </w:rPr>
        <w:t>𝑖𝑡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(4.23)</w:t>
      </w:r>
    </w:p>
    <w:p>
      <w:pPr>
        <w:pStyle w:val="BodyText"/>
        <w:rPr>
          <w:sz w:val="30"/>
        </w:rPr>
      </w:pPr>
    </w:p>
    <w:p>
      <w:pPr>
        <w:pStyle w:val="Heading5"/>
        <w:numPr>
          <w:ilvl w:val="2"/>
          <w:numId w:val="12"/>
        </w:numPr>
        <w:tabs>
          <w:tab w:pos="821" w:val="left" w:leader="none"/>
        </w:tabs>
        <w:spacing w:line="240" w:lineRule="auto" w:before="214" w:after="0"/>
        <w:ind w:left="820" w:right="0" w:hanging="721"/>
        <w:jc w:val="both"/>
      </w:pPr>
      <w:bookmarkStart w:name="_TOC_250036" w:id="41"/>
      <w:r>
        <w:rPr/>
        <w:t>Test</w:t>
      </w:r>
      <w:r>
        <w:rPr>
          <w:spacing w:val="-1"/>
        </w:rPr>
        <w:t> </w:t>
      </w:r>
      <w:r>
        <w:rPr/>
        <w:t>for Significance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41"/>
      <w:r>
        <w:rPr/>
        <w:t>Model Parameters</w:t>
      </w:r>
    </w:p>
    <w:p>
      <w:pPr>
        <w:pStyle w:val="BodyText"/>
        <w:spacing w:line="360" w:lineRule="auto" w:before="134"/>
        <w:ind w:left="100" w:right="116"/>
        <w:jc w:val="both"/>
      </w:pPr>
      <w:r>
        <w:rPr/>
        <w:t>In</w:t>
      </w:r>
      <w:r>
        <w:rPr>
          <w:spacing w:val="-12"/>
        </w:rPr>
        <w:t> </w:t>
      </w:r>
      <w:r>
        <w:rPr/>
        <w:t>logit</w:t>
      </w:r>
      <w:r>
        <w:rPr>
          <w:spacing w:val="-10"/>
        </w:rPr>
        <w:t> </w:t>
      </w:r>
      <w:r>
        <w:rPr/>
        <w:t>models,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better</w:t>
      </w:r>
      <w:r>
        <w:rPr>
          <w:spacing w:val="-7"/>
        </w:rPr>
        <w:t> </w:t>
      </w:r>
      <w:r>
        <w:rPr/>
        <w:t>explain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significance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independent</w:t>
      </w:r>
      <w:r>
        <w:rPr>
          <w:spacing w:val="-11"/>
        </w:rPr>
        <w:t> </w:t>
      </w:r>
      <w:r>
        <w:rPr/>
        <w:t>variables,</w:t>
      </w:r>
      <w:r>
        <w:rPr>
          <w:spacing w:val="-11"/>
        </w:rPr>
        <w:t> </w:t>
      </w:r>
      <w:r>
        <w:rPr/>
        <w:t>Wald</w:t>
      </w:r>
      <w:r>
        <w:rPr>
          <w:spacing w:val="-11"/>
        </w:rPr>
        <w:t> </w:t>
      </w:r>
      <w:r>
        <w:rPr/>
        <w:t>or</w:t>
      </w:r>
      <w:r>
        <w:rPr>
          <w:spacing w:val="-9"/>
        </w:rPr>
        <w:t> </w:t>
      </w:r>
      <w:r>
        <w:rPr/>
        <w:t>Likelihood</w:t>
      </w:r>
      <w:r>
        <w:rPr>
          <w:spacing w:val="-58"/>
        </w:rPr>
        <w:t> </w:t>
      </w:r>
      <w:r>
        <w:rPr/>
        <w:t>test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significance</w:t>
      </w:r>
      <w:r>
        <w:rPr>
          <w:spacing w:val="-10"/>
        </w:rPr>
        <w:t> </w:t>
      </w:r>
      <w:r>
        <w:rPr/>
        <w:t>could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use.</w:t>
      </w:r>
      <w:r>
        <w:rPr>
          <w:spacing w:val="-9"/>
        </w:rPr>
        <w:t> </w:t>
      </w:r>
      <w:r>
        <w:rPr/>
        <w:t>Although,</w:t>
      </w:r>
      <w:r>
        <w:rPr>
          <w:spacing w:val="-10"/>
        </w:rPr>
        <w:t> </w:t>
      </w:r>
      <w:r>
        <w:rPr/>
        <w:t>some</w:t>
      </w:r>
      <w:r>
        <w:rPr>
          <w:spacing w:val="-9"/>
        </w:rPr>
        <w:t> </w:t>
      </w:r>
      <w:r>
        <w:rPr/>
        <w:t>studies</w:t>
      </w:r>
      <w:r>
        <w:rPr>
          <w:spacing w:val="-8"/>
        </w:rPr>
        <w:t> </w:t>
      </w:r>
      <w:r>
        <w:rPr/>
        <w:t>employed</w:t>
      </w:r>
      <w:r>
        <w:rPr>
          <w:spacing w:val="-10"/>
        </w:rPr>
        <w:t> </w:t>
      </w:r>
      <w:r>
        <w:rPr/>
        <w:t>Wald</w:t>
      </w:r>
      <w:r>
        <w:rPr>
          <w:spacing w:val="-8"/>
        </w:rPr>
        <w:t> </w:t>
      </w:r>
      <w:r>
        <w:rPr/>
        <w:t>test,</w:t>
      </w:r>
      <w:r>
        <w:rPr>
          <w:spacing w:val="-9"/>
        </w:rPr>
        <w:t> </w:t>
      </w:r>
      <w:r>
        <w:rPr/>
        <w:t>while</w:t>
      </w:r>
      <w:r>
        <w:rPr>
          <w:spacing w:val="-6"/>
        </w:rPr>
        <w:t> </w:t>
      </w:r>
      <w:r>
        <w:rPr/>
        <w:t>several</w:t>
      </w:r>
      <w:r>
        <w:rPr>
          <w:spacing w:val="-8"/>
        </w:rPr>
        <w:t> </w:t>
      </w:r>
      <w:r>
        <w:rPr/>
        <w:t>others</w:t>
      </w:r>
      <w:r>
        <w:rPr>
          <w:spacing w:val="-58"/>
        </w:rPr>
        <w:t> </w:t>
      </w:r>
      <w:r>
        <w:rPr/>
        <w:t>use the likelihood ratio test (see Adjaye-Gbewonjo </w:t>
      </w:r>
      <w:r>
        <w:rPr>
          <w:i/>
        </w:rPr>
        <w:t>et al. </w:t>
      </w:r>
      <w:r>
        <w:rPr/>
        <w:t>2018). However, this study employed</w:t>
      </w:r>
      <w:r>
        <w:rPr>
          <w:spacing w:val="1"/>
        </w:rPr>
        <w:t> </w:t>
      </w:r>
      <w:r>
        <w:rPr/>
        <w:t>both. The Wald test is a method to test whether the coefficients are significantly different from</w:t>
      </w:r>
      <w:r>
        <w:rPr>
          <w:spacing w:val="1"/>
        </w:rPr>
        <w:t> </w:t>
      </w:r>
      <w:r>
        <w:rPr/>
        <w:t>zero.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often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test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statistical</w:t>
      </w:r>
      <w:r>
        <w:rPr>
          <w:spacing w:val="-6"/>
        </w:rPr>
        <w:t> </w:t>
      </w:r>
      <w:r>
        <w:rPr/>
        <w:t>significance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each</w:t>
      </w:r>
      <w:r>
        <w:rPr>
          <w:spacing w:val="-6"/>
        </w:rPr>
        <w:t> </w:t>
      </w:r>
      <w:r>
        <w:rPr/>
        <w:t>coefficient</w:t>
      </w:r>
      <w:r>
        <w:rPr>
          <w:spacing w:val="-7"/>
        </w:rPr>
        <w:t> </w:t>
      </w:r>
      <w:r>
        <w:rPr/>
        <w:t>(</w:t>
      </w:r>
      <w:r>
        <w:rPr>
          <w:b/>
          <w:i/>
        </w:rPr>
        <w:t>β</w:t>
      </w:r>
      <w:r>
        <w:rPr/>
        <w:t>)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model.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280" w:left="1340" w:right="1320"/>
        </w:sectPr>
      </w:pPr>
    </w:p>
    <w:p>
      <w:pPr>
        <w:pStyle w:val="BodyText"/>
        <w:spacing w:before="74"/>
        <w:ind w:left="100"/>
      </w:pPr>
      <w:r>
        <w:rPr/>
        <w:t>Like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t-statistics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panel</w:t>
      </w:r>
      <w:r>
        <w:rPr>
          <w:spacing w:val="-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model,</w:t>
      </w:r>
      <w:r>
        <w:rPr>
          <w:spacing w:val="-1"/>
        </w:rPr>
        <w:t> </w:t>
      </w:r>
      <w:r>
        <w:rPr/>
        <w:t>a Wald</w:t>
      </w:r>
      <w:r>
        <w:rPr>
          <w:spacing w:val="-1"/>
        </w:rPr>
        <w:t> </w:t>
      </w:r>
      <w:r>
        <w:rPr/>
        <w:t>test calculates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Z-statistics</w:t>
      </w:r>
      <w:r>
        <w:rPr>
          <w:spacing w:val="-1"/>
        </w:rPr>
        <w:t> </w:t>
      </w:r>
      <w:r>
        <w:rPr/>
        <w:t>as:</w:t>
      </w:r>
    </w:p>
    <w:p>
      <w:pPr>
        <w:spacing w:line="168" w:lineRule="auto" w:before="158"/>
        <w:ind w:left="1540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position w:val="-13"/>
          <w:sz w:val="24"/>
        </w:rPr>
        <w:t>𝑍</w:t>
      </w:r>
      <w:r>
        <w:rPr>
          <w:rFonts w:ascii="Cambria Math" w:eastAsia="Cambria Math"/>
          <w:spacing w:val="13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position w:val="-13"/>
          <w:sz w:val="24"/>
        </w:rPr>
        <w:t>=</w:t>
      </w:r>
      <w:r>
        <w:rPr>
          <w:rFonts w:ascii="Cambria Math" w:eastAsia="Cambria Math"/>
          <w:w w:val="105"/>
          <w:sz w:val="24"/>
          <w:u w:val="single"/>
        </w:rPr>
        <w:t> </w:t>
      </w:r>
      <w:r>
        <w:rPr>
          <w:rFonts w:ascii="Cambria Math" w:eastAsia="Cambria Math"/>
          <w:spacing w:val="24"/>
          <w:w w:val="105"/>
          <w:sz w:val="24"/>
          <w:u w:val="single"/>
        </w:rPr>
        <w:t> </w:t>
      </w:r>
      <w:r>
        <w:rPr>
          <w:rFonts w:ascii="Cambria Math" w:eastAsia="Cambria Math"/>
          <w:w w:val="105"/>
          <w:sz w:val="17"/>
          <w:u w:val="single"/>
        </w:rPr>
        <w:t>𝛽</w:t>
      </w:r>
      <w:r>
        <w:rPr>
          <w:rFonts w:ascii="Cambria Math" w:eastAsia="Cambria Math"/>
          <w:w w:val="105"/>
          <w:position w:val="-3"/>
          <w:sz w:val="14"/>
          <w:u w:val="single"/>
        </w:rPr>
        <w:t>𝑖</w:t>
      </w:r>
      <w:r>
        <w:rPr>
          <w:rFonts w:ascii="Cambria Math" w:eastAsia="Cambria Math"/>
          <w:spacing w:val="11"/>
          <w:position w:val="-3"/>
          <w:sz w:val="14"/>
          <w:u w:val="single"/>
        </w:rPr>
        <w:t> </w:t>
      </w:r>
    </w:p>
    <w:p>
      <w:pPr>
        <w:spacing w:line="182" w:lineRule="auto" w:before="0"/>
        <w:ind w:left="2001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𝑠.𝑒</w:t>
      </w:r>
      <w:r>
        <w:rPr>
          <w:rFonts w:ascii="Cambria Math" w:eastAsia="Cambria Math"/>
          <w:spacing w:val="-2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𝛽</w:t>
      </w:r>
      <w:r>
        <w:rPr>
          <w:rFonts w:ascii="Cambria Math" w:eastAsia="Cambria Math"/>
          <w:w w:val="110"/>
          <w:position w:val="-3"/>
          <w:sz w:val="14"/>
        </w:rPr>
        <w:t>𝑖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0"/>
        <w:rPr>
          <w:rFonts w:ascii="Cambria Math"/>
          <w:sz w:val="21"/>
        </w:rPr>
      </w:pPr>
    </w:p>
    <w:p>
      <w:pPr>
        <w:pStyle w:val="BodyText"/>
        <w:spacing w:before="1"/>
        <w:ind w:left="100"/>
      </w:pPr>
      <w:r>
        <w:rPr/>
        <w:t>(4.24)</w:t>
      </w:r>
    </w:p>
    <w:p>
      <w:pPr>
        <w:spacing w:after="0"/>
        <w:sectPr>
          <w:pgSz w:w="12240" w:h="15840"/>
          <w:pgMar w:header="0" w:footer="1015" w:top="1360" w:bottom="1200" w:left="1340" w:right="1320"/>
          <w:cols w:num="2" w:equalWidth="0">
            <w:col w:w="8312" w:space="329"/>
            <w:col w:w="939"/>
          </w:cols>
        </w:sectPr>
      </w:pPr>
    </w:p>
    <w:p>
      <w:pPr>
        <w:pStyle w:val="BodyText"/>
        <w:spacing w:line="360" w:lineRule="auto" w:before="117"/>
        <w:ind w:left="100" w:right="116"/>
        <w:jc w:val="both"/>
      </w:pPr>
      <w:r>
        <w:rPr/>
        <w:t>This Z-value is then squared yielding Wald statistics with a chi-square distribution. Unlike this,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likelihood-ratio</w:t>
      </w:r>
      <w:r>
        <w:rPr>
          <w:spacing w:val="-9"/>
        </w:rPr>
        <w:t> </w:t>
      </w:r>
      <w:r>
        <w:rPr/>
        <w:t>test</w:t>
      </w:r>
      <w:r>
        <w:rPr>
          <w:spacing w:val="-7"/>
        </w:rPr>
        <w:t> </w:t>
      </w:r>
      <w:r>
        <w:rPr/>
        <w:t>uses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ratio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maximized</w:t>
      </w:r>
      <w:r>
        <w:rPr>
          <w:spacing w:val="-9"/>
        </w:rPr>
        <w:t> </w:t>
      </w:r>
      <w:r>
        <w:rPr/>
        <w:t>value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likelihood</w:t>
      </w:r>
      <w:r>
        <w:rPr>
          <w:spacing w:val="-9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full</w:t>
      </w:r>
      <w:r>
        <w:rPr>
          <w:spacing w:val="-58"/>
        </w:rPr>
        <w:t> </w:t>
      </w:r>
      <w:r>
        <w:rPr>
          <w:position w:val="2"/>
        </w:rPr>
        <w:t>model</w:t>
      </w:r>
      <w:r>
        <w:rPr>
          <w:spacing w:val="-1"/>
          <w:position w:val="2"/>
        </w:rPr>
        <w:t> </w:t>
      </w:r>
      <w:r>
        <w:rPr>
          <w:position w:val="2"/>
        </w:rPr>
        <w:t>(L</w:t>
      </w:r>
      <w:r>
        <w:rPr>
          <w:sz w:val="16"/>
        </w:rPr>
        <w:t>1</w:t>
      </w:r>
      <w:r>
        <w:rPr>
          <w:position w:val="2"/>
        </w:rPr>
        <w:t>) over the</w:t>
      </w:r>
      <w:r>
        <w:rPr>
          <w:spacing w:val="-2"/>
          <w:position w:val="2"/>
        </w:rPr>
        <w:t> </w:t>
      </w:r>
      <w:r>
        <w:rPr>
          <w:position w:val="2"/>
        </w:rPr>
        <w:t>maximized value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2"/>
          <w:position w:val="2"/>
        </w:rPr>
        <w:t> </w:t>
      </w:r>
      <w:r>
        <w:rPr>
          <w:position w:val="2"/>
        </w:rPr>
        <w:t>the likelihood function for the</w:t>
      </w:r>
      <w:r>
        <w:rPr>
          <w:spacing w:val="-3"/>
          <w:position w:val="2"/>
        </w:rPr>
        <w:t> </w:t>
      </w:r>
      <w:r>
        <w:rPr>
          <w:position w:val="2"/>
        </w:rPr>
        <w:t>simpler</w:t>
      </w:r>
      <w:r>
        <w:rPr>
          <w:spacing w:val="-2"/>
          <w:position w:val="2"/>
        </w:rPr>
        <w:t> </w:t>
      </w:r>
      <w:r>
        <w:rPr>
          <w:position w:val="2"/>
        </w:rPr>
        <w:t>model (L</w:t>
      </w:r>
      <w:r>
        <w:rPr>
          <w:sz w:val="16"/>
        </w:rPr>
        <w:t>o</w:t>
      </w:r>
      <w:r>
        <w:rPr>
          <w:position w:val="2"/>
        </w:rPr>
        <w:t>).</w:t>
      </w:r>
    </w:p>
    <w:p>
      <w:pPr>
        <w:pStyle w:val="BodyText"/>
        <w:spacing w:before="90"/>
        <w:ind w:left="100"/>
        <w:jc w:val="both"/>
      </w:pPr>
      <w:r>
        <w:rPr/>
        <w:t>The</w:t>
      </w:r>
      <w:r>
        <w:rPr>
          <w:spacing w:val="-4"/>
        </w:rPr>
        <w:t> </w:t>
      </w:r>
      <w:r>
        <w:rPr/>
        <w:t>likelihood-ratio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statistic</w:t>
      </w:r>
      <w:r>
        <w:rPr>
          <w:spacing w:val="-2"/>
        </w:rPr>
        <w:t> </w:t>
      </w:r>
      <w:r>
        <w:rPr/>
        <w:t>equals:</w:t>
      </w:r>
    </w:p>
    <w:p>
      <w:pPr>
        <w:tabs>
          <w:tab w:pos="8741" w:val="left" w:leader="none"/>
        </w:tabs>
        <w:spacing w:line="289" w:lineRule="exact" w:before="133"/>
        <w:ind w:left="1540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𝑍</w:t>
      </w:r>
      <w:r>
        <w:rPr>
          <w:rFonts w:ascii="Cambria Math" w:hAnsi="Cambria Math" w:eastAsia="Cambria Math"/>
          <w:spacing w:val="21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position w:val="14"/>
          <w:sz w:val="24"/>
          <w:u w:val="single"/>
        </w:rPr>
        <w:t>  </w:t>
      </w:r>
      <w:r>
        <w:rPr>
          <w:rFonts w:ascii="Cambria Math" w:hAnsi="Cambria Math" w:eastAsia="Cambria Math"/>
          <w:spacing w:val="47"/>
          <w:position w:val="14"/>
          <w:sz w:val="24"/>
          <w:u w:val="single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</w:rPr>
        <w:t>𝛽</w:t>
      </w:r>
      <w:r>
        <w:rPr>
          <w:rFonts w:ascii="Cambria Math" w:hAnsi="Cambria Math" w:eastAsia="Cambria Math"/>
          <w:position w:val="10"/>
          <w:sz w:val="14"/>
          <w:u w:val="single"/>
        </w:rPr>
        <w:t>𝑖    </w:t>
      </w:r>
      <w:r>
        <w:rPr>
          <w:rFonts w:ascii="Cambria Math" w:hAnsi="Cambria Math" w:eastAsia="Cambria Math"/>
          <w:position w:val="10"/>
          <w:sz w:val="14"/>
        </w:rPr>
        <w:t> </w:t>
      </w:r>
      <w:r>
        <w:rPr>
          <w:rFonts w:ascii="Cambria Math" w:hAnsi="Cambria Math" w:eastAsia="Cambria Math"/>
          <w:spacing w:val="7"/>
          <w:position w:val="10"/>
          <w:sz w:val="14"/>
        </w:rPr>
        <w:t> </w:t>
      </w:r>
      <w:r>
        <w:rPr>
          <w:sz w:val="24"/>
        </w:rPr>
        <w:t>–</w:t>
      </w:r>
      <w:r>
        <w:rPr>
          <w:spacing w:val="5"/>
          <w:sz w:val="24"/>
        </w:rPr>
        <w:t> </w:t>
      </w:r>
      <w:r>
        <w:rPr>
          <w:sz w:val="24"/>
        </w:rPr>
        <w:t>2Log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rFonts w:ascii="Cambria Math" w:hAnsi="Cambria Math" w:eastAsia="Cambria Math"/>
          <w:sz w:val="24"/>
          <w:u w:val="single"/>
          <w:vertAlign w:val="superscript"/>
        </w:rPr>
        <w:t>𝐿𝑜</w:t>
      </w:r>
      <w:r>
        <w:rPr>
          <w:rFonts w:ascii="Cambria Math" w:hAnsi="Cambria Math" w:eastAsia="Cambria Math"/>
          <w:spacing w:val="-29"/>
          <w:sz w:val="24"/>
          <w:vertAlign w:val="baseline"/>
        </w:rPr>
        <w:t> </w:t>
      </w:r>
      <w:r>
        <w:rPr>
          <w:sz w:val="24"/>
          <w:vertAlign w:val="baseline"/>
        </w:rPr>
        <w:t>)</w:t>
        <w:tab/>
        <w:t>(4.25)</w:t>
      </w:r>
    </w:p>
    <w:p>
      <w:pPr>
        <w:tabs>
          <w:tab w:pos="3348" w:val="left" w:leader="none"/>
        </w:tabs>
        <w:spacing w:line="176" w:lineRule="exact" w:before="0"/>
        <w:ind w:left="2001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𝑠.𝑒</w:t>
      </w:r>
      <w:r>
        <w:rPr>
          <w:rFonts w:ascii="Cambria Math" w:eastAsia="Cambria Math"/>
          <w:spacing w:val="5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𝛽</w:t>
      </w:r>
      <w:r>
        <w:rPr>
          <w:rFonts w:ascii="Cambria Math" w:eastAsia="Cambria Math"/>
          <w:w w:val="105"/>
          <w:position w:val="-3"/>
          <w:sz w:val="14"/>
        </w:rPr>
        <w:t>𝑖</w:t>
        <w:tab/>
      </w:r>
      <w:r>
        <w:rPr>
          <w:rFonts w:ascii="Cambria Math" w:eastAsia="Cambria Math"/>
          <w:w w:val="105"/>
          <w:sz w:val="17"/>
        </w:rPr>
        <w:t>𝐿</w:t>
      </w:r>
      <w:r>
        <w:rPr>
          <w:rFonts w:ascii="Cambria Math" w:eastAsia="Cambria Math"/>
          <w:w w:val="105"/>
          <w:position w:val="-2"/>
          <w:sz w:val="14"/>
        </w:rPr>
        <w:t>1</w:t>
      </w:r>
    </w:p>
    <w:p>
      <w:pPr>
        <w:tabs>
          <w:tab w:pos="7921" w:val="left" w:leader="none"/>
        </w:tabs>
        <w:spacing w:line="300" w:lineRule="exact" w:before="0"/>
        <w:ind w:left="0" w:right="256" w:firstLine="0"/>
        <w:jc w:val="right"/>
        <w:rPr>
          <w:sz w:val="24"/>
        </w:rPr>
      </w:pPr>
      <w:r>
        <w:rPr>
          <w:rFonts w:ascii="Cambria Math" w:hAnsi="Cambria Math" w:eastAsia="Cambria Math"/>
          <w:position w:val="2"/>
          <w:sz w:val="24"/>
        </w:rPr>
        <w:t>𝑍</w:t>
      </w:r>
      <w:r>
        <w:rPr>
          <w:rFonts w:ascii="Cambria Math" w:hAnsi="Cambria Math" w:eastAsia="Cambria Math"/>
          <w:spacing w:val="21"/>
          <w:position w:val="2"/>
          <w:sz w:val="24"/>
        </w:rPr>
        <w:t> </w:t>
      </w:r>
      <w:r>
        <w:rPr>
          <w:rFonts w:ascii="Cambria Math" w:hAnsi="Cambria Math" w:eastAsia="Cambria Math"/>
          <w:position w:val="2"/>
          <w:sz w:val="24"/>
        </w:rPr>
        <w:t>=</w:t>
      </w:r>
      <w:r>
        <w:rPr>
          <w:rFonts w:ascii="Cambria Math" w:hAnsi="Cambria Math" w:eastAsia="Cambria Math"/>
          <w:position w:val="16"/>
          <w:sz w:val="24"/>
          <w:u w:val="single"/>
        </w:rPr>
        <w:t>  </w:t>
      </w:r>
      <w:r>
        <w:rPr>
          <w:rFonts w:ascii="Cambria Math" w:hAnsi="Cambria Math" w:eastAsia="Cambria Math"/>
          <w:spacing w:val="47"/>
          <w:position w:val="16"/>
          <w:sz w:val="24"/>
          <w:u w:val="single"/>
        </w:rPr>
        <w:t> </w:t>
      </w:r>
      <w:r>
        <w:rPr>
          <w:rFonts w:ascii="Cambria Math" w:hAnsi="Cambria Math" w:eastAsia="Cambria Math"/>
          <w:position w:val="16"/>
          <w:sz w:val="17"/>
          <w:u w:val="single"/>
        </w:rPr>
        <w:t>𝛽</w:t>
      </w:r>
      <w:r>
        <w:rPr>
          <w:rFonts w:ascii="Cambria Math" w:hAnsi="Cambria Math" w:eastAsia="Cambria Math"/>
          <w:position w:val="12"/>
          <w:sz w:val="14"/>
          <w:u w:val="single"/>
        </w:rPr>
        <w:t>𝑖    </w:t>
      </w:r>
      <w:r>
        <w:rPr>
          <w:rFonts w:ascii="Cambria Math" w:hAnsi="Cambria Math" w:eastAsia="Cambria Math"/>
          <w:position w:val="12"/>
          <w:sz w:val="14"/>
        </w:rPr>
        <w:t> </w:t>
      </w:r>
      <w:r>
        <w:rPr>
          <w:rFonts w:ascii="Cambria Math" w:hAnsi="Cambria Math" w:eastAsia="Cambria Math"/>
          <w:spacing w:val="6"/>
          <w:position w:val="12"/>
          <w:sz w:val="14"/>
        </w:rPr>
        <w:t> </w:t>
      </w:r>
      <w:r>
        <w:rPr>
          <w:position w:val="2"/>
          <w:sz w:val="24"/>
        </w:rPr>
        <w:t>–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2[Log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(L</w:t>
      </w:r>
      <w:r>
        <w:rPr>
          <w:sz w:val="16"/>
        </w:rPr>
        <w:t>o</w:t>
      </w:r>
      <w:r>
        <w:rPr>
          <w:position w:val="2"/>
          <w:sz w:val="24"/>
        </w:rPr>
        <w:t>)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–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Log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(L</w:t>
      </w:r>
      <w:r>
        <w:rPr>
          <w:sz w:val="16"/>
        </w:rPr>
        <w:t>1</w:t>
      </w:r>
      <w:r>
        <w:rPr>
          <w:position w:val="2"/>
          <w:sz w:val="24"/>
        </w:rPr>
        <w:t>)]</w:t>
        <w:tab/>
        <w:t>(4.26)</w:t>
      </w:r>
    </w:p>
    <w:p>
      <w:pPr>
        <w:spacing w:line="168" w:lineRule="auto" w:before="0"/>
        <w:ind w:left="1281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𝑠.𝑒</w:t>
      </w:r>
      <w:r>
        <w:rPr>
          <w:rFonts w:ascii="Cambria Math" w:eastAsia="Cambria Math"/>
          <w:spacing w:val="-2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𝛽</w:t>
      </w:r>
      <w:r>
        <w:rPr>
          <w:rFonts w:ascii="Cambria Math" w:eastAsia="Cambria Math"/>
          <w:w w:val="110"/>
          <w:position w:val="-3"/>
          <w:sz w:val="14"/>
        </w:rPr>
        <w:t>𝑖</w:t>
      </w:r>
    </w:p>
    <w:p>
      <w:pPr>
        <w:tabs>
          <w:tab w:pos="7201" w:val="left" w:leader="none"/>
        </w:tabs>
        <w:spacing w:line="292" w:lineRule="exact" w:before="0"/>
        <w:ind w:left="0" w:right="256" w:firstLine="0"/>
        <w:jc w:val="right"/>
        <w:rPr>
          <w:sz w:val="24"/>
        </w:rPr>
      </w:pPr>
      <w:r>
        <w:rPr>
          <w:rFonts w:ascii="Cambria Math" w:hAnsi="Cambria Math" w:eastAsia="Cambria Math"/>
          <w:position w:val="2"/>
          <w:sz w:val="24"/>
        </w:rPr>
        <w:t>𝑍</w:t>
      </w:r>
      <w:r>
        <w:rPr>
          <w:rFonts w:ascii="Cambria Math" w:hAnsi="Cambria Math" w:eastAsia="Cambria Math"/>
          <w:spacing w:val="21"/>
          <w:position w:val="2"/>
          <w:sz w:val="24"/>
        </w:rPr>
        <w:t> </w:t>
      </w:r>
      <w:r>
        <w:rPr>
          <w:rFonts w:ascii="Cambria Math" w:hAnsi="Cambria Math" w:eastAsia="Cambria Math"/>
          <w:position w:val="2"/>
          <w:sz w:val="24"/>
        </w:rPr>
        <w:t>=</w:t>
      </w:r>
      <w:r>
        <w:rPr>
          <w:rFonts w:ascii="Cambria Math" w:hAnsi="Cambria Math" w:eastAsia="Cambria Math"/>
          <w:position w:val="16"/>
          <w:sz w:val="24"/>
          <w:u w:val="single"/>
        </w:rPr>
        <w:t>  </w:t>
      </w:r>
      <w:r>
        <w:rPr>
          <w:rFonts w:ascii="Cambria Math" w:hAnsi="Cambria Math" w:eastAsia="Cambria Math"/>
          <w:spacing w:val="47"/>
          <w:position w:val="16"/>
          <w:sz w:val="24"/>
          <w:u w:val="single"/>
        </w:rPr>
        <w:t> </w:t>
      </w:r>
      <w:r>
        <w:rPr>
          <w:rFonts w:ascii="Cambria Math" w:hAnsi="Cambria Math" w:eastAsia="Cambria Math"/>
          <w:position w:val="16"/>
          <w:sz w:val="17"/>
          <w:u w:val="single"/>
        </w:rPr>
        <w:t>𝛽</w:t>
      </w:r>
      <w:r>
        <w:rPr>
          <w:rFonts w:ascii="Cambria Math" w:hAnsi="Cambria Math" w:eastAsia="Cambria Math"/>
          <w:position w:val="12"/>
          <w:sz w:val="14"/>
          <w:u w:val="single"/>
        </w:rPr>
        <w:t>𝑖    </w:t>
      </w:r>
      <w:r>
        <w:rPr>
          <w:rFonts w:ascii="Cambria Math" w:hAnsi="Cambria Math" w:eastAsia="Cambria Math"/>
          <w:position w:val="12"/>
          <w:sz w:val="14"/>
        </w:rPr>
        <w:t> </w:t>
      </w:r>
      <w:r>
        <w:rPr>
          <w:rFonts w:ascii="Cambria Math" w:hAnsi="Cambria Math" w:eastAsia="Cambria Math"/>
          <w:spacing w:val="7"/>
          <w:position w:val="12"/>
          <w:sz w:val="14"/>
        </w:rPr>
        <w:t> </w:t>
      </w:r>
      <w:r>
        <w:rPr>
          <w:position w:val="2"/>
          <w:sz w:val="24"/>
        </w:rPr>
        <w:t>–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2[L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L</w:t>
      </w:r>
      <w:r>
        <w:rPr>
          <w:sz w:val="16"/>
        </w:rPr>
        <w:t>1</w:t>
      </w:r>
      <w:r>
        <w:rPr>
          <w:position w:val="2"/>
          <w:sz w:val="24"/>
        </w:rPr>
        <w:t>]</w:t>
        <w:tab/>
        <w:t>(4.27)</w:t>
      </w:r>
    </w:p>
    <w:p>
      <w:pPr>
        <w:spacing w:line="168" w:lineRule="auto" w:before="0"/>
        <w:ind w:left="2001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𝑠.𝑒</w:t>
      </w:r>
      <w:r>
        <w:rPr>
          <w:rFonts w:ascii="Cambria Math" w:eastAsia="Cambria Math"/>
          <w:spacing w:val="-2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𝛽</w:t>
      </w:r>
      <w:r>
        <w:rPr>
          <w:rFonts w:ascii="Cambria Math" w:eastAsia="Cambria Math"/>
          <w:w w:val="110"/>
          <w:position w:val="-3"/>
          <w:sz w:val="14"/>
        </w:rPr>
        <w:t>𝑖</w:t>
      </w:r>
    </w:p>
    <w:p>
      <w:pPr>
        <w:pStyle w:val="BodyText"/>
        <w:spacing w:line="264" w:lineRule="exact"/>
        <w:ind w:left="100"/>
        <w:jc w:val="both"/>
      </w:pPr>
      <w:r>
        <w:rPr/>
        <w:t>This</w:t>
      </w:r>
      <w:r>
        <w:rPr>
          <w:spacing w:val="-2"/>
        </w:rPr>
        <w:t> </w:t>
      </w:r>
      <w:r>
        <w:rPr/>
        <w:t>log</w:t>
      </w:r>
      <w:r>
        <w:rPr>
          <w:spacing w:val="-4"/>
        </w:rPr>
        <w:t> </w:t>
      </w:r>
      <w:r>
        <w:rPr/>
        <w:t>transformation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yields</w:t>
      </w:r>
      <w:r>
        <w:rPr>
          <w:spacing w:val="-1"/>
        </w:rPr>
        <w:t> </w:t>
      </w:r>
      <w:r>
        <w:rPr/>
        <w:t>a chi-square</w:t>
      </w:r>
      <w:r>
        <w:rPr>
          <w:spacing w:val="-2"/>
        </w:rPr>
        <w:t> </w:t>
      </w:r>
      <w:r>
        <w:rPr/>
        <w:t>statistic.</w:t>
      </w:r>
    </w:p>
    <w:p>
      <w:pPr>
        <w:pStyle w:val="BodyText"/>
        <w:spacing w:before="2"/>
        <w:rPr>
          <w:sz w:val="28"/>
        </w:rPr>
      </w:pPr>
    </w:p>
    <w:p>
      <w:pPr>
        <w:pStyle w:val="Heading4"/>
        <w:numPr>
          <w:ilvl w:val="1"/>
          <w:numId w:val="12"/>
        </w:numPr>
        <w:tabs>
          <w:tab w:pos="821" w:val="left" w:leader="none"/>
        </w:tabs>
        <w:spacing w:line="240" w:lineRule="auto" w:before="1" w:after="0"/>
        <w:ind w:left="820" w:right="0" w:hanging="721"/>
        <w:jc w:val="both"/>
      </w:pPr>
      <w:bookmarkStart w:name="_TOC_250035" w:id="42"/>
      <w:r>
        <w:rPr/>
        <w:t>Data</w:t>
      </w:r>
      <w:r>
        <w:rPr>
          <w:spacing w:val="-2"/>
        </w:rPr>
        <w:t> </w:t>
      </w:r>
      <w:bookmarkEnd w:id="42"/>
      <w:r>
        <w:rPr/>
        <w:t>Issues</w:t>
      </w:r>
    </w:p>
    <w:p>
      <w:pPr>
        <w:pStyle w:val="BodyText"/>
        <w:spacing w:line="360" w:lineRule="auto" w:before="19"/>
        <w:ind w:left="100" w:right="114"/>
        <w:jc w:val="both"/>
      </w:pPr>
      <w:r>
        <w:rPr/>
        <w:t>The data for the study was collected from National Bureau of Statistics (NBS). These was based</w:t>
      </w:r>
      <w:r>
        <w:rPr>
          <w:spacing w:val="1"/>
        </w:rPr>
        <w:t> </w:t>
      </w:r>
      <w:r>
        <w:rPr/>
        <w:t>on the Nigerian General Household Panel Survey (NGHPS) that was carried out across all the 36</w:t>
      </w:r>
      <w:r>
        <w:rPr>
          <w:spacing w:val="-57"/>
        </w:rPr>
        <w:t> </w:t>
      </w:r>
      <w:r>
        <w:rPr/>
        <w:t>states and FCT Abuja. NGHPS is implemented in collaboration with the World Bank Living</w:t>
      </w:r>
      <w:r>
        <w:rPr>
          <w:spacing w:val="1"/>
        </w:rPr>
        <w:t> </w:t>
      </w:r>
      <w:r>
        <w:rPr>
          <w:spacing w:val="-1"/>
        </w:rPr>
        <w:t>Standards</w:t>
      </w:r>
      <w:r>
        <w:rPr>
          <w:spacing w:val="-11"/>
        </w:rPr>
        <w:t> </w:t>
      </w:r>
      <w:r>
        <w:rPr>
          <w:spacing w:val="-1"/>
        </w:rPr>
        <w:t>Measurement</w:t>
      </w:r>
      <w:r>
        <w:rPr>
          <w:spacing w:val="-6"/>
        </w:rPr>
        <w:t> </w:t>
      </w:r>
      <w:r>
        <w:rPr/>
        <w:t>Study</w:t>
      </w:r>
      <w:r>
        <w:rPr>
          <w:spacing w:val="-15"/>
        </w:rPr>
        <w:t> </w:t>
      </w:r>
      <w:r>
        <w:rPr/>
        <w:t>(LSMS).</w:t>
      </w:r>
      <w:r>
        <w:rPr>
          <w:spacing w:val="-10"/>
        </w:rPr>
        <w:t> </w:t>
      </w:r>
      <w:r>
        <w:rPr/>
        <w:t>Thus</w:t>
      </w:r>
      <w:r>
        <w:rPr>
          <w:spacing w:val="-8"/>
        </w:rPr>
        <w:t> </w:t>
      </w:r>
      <w:r>
        <w:rPr/>
        <w:t>far,</w:t>
      </w:r>
      <w:r>
        <w:rPr>
          <w:spacing w:val="-7"/>
        </w:rPr>
        <w:t> </w:t>
      </w:r>
      <w:r>
        <w:rPr/>
        <w:t>four</w:t>
      </w:r>
      <w:r>
        <w:rPr>
          <w:spacing w:val="-11"/>
        </w:rPr>
        <w:t> </w:t>
      </w:r>
      <w:r>
        <w:rPr/>
        <w:t>waves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NGHPS</w:t>
      </w:r>
      <w:r>
        <w:rPr>
          <w:spacing w:val="-8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6"/>
        </w:rPr>
        <w:t> </w:t>
      </w:r>
      <w:r>
        <w:rPr/>
        <w:t>conducted:</w:t>
      </w:r>
      <w:r>
        <w:rPr>
          <w:spacing w:val="-58"/>
        </w:rPr>
        <w:t> </w:t>
      </w:r>
      <w:r>
        <w:rPr/>
        <w:t>Wave</w:t>
      </w:r>
      <w:r>
        <w:rPr>
          <w:spacing w:val="-12"/>
        </w:rPr>
        <w:t> </w:t>
      </w:r>
      <w:r>
        <w:rPr/>
        <w:t>1</w:t>
      </w:r>
      <w:r>
        <w:rPr>
          <w:spacing w:val="-10"/>
        </w:rPr>
        <w:t> </w:t>
      </w:r>
      <w:r>
        <w:rPr/>
        <w:t>(in</w:t>
      </w:r>
      <w:r>
        <w:rPr>
          <w:spacing w:val="-11"/>
        </w:rPr>
        <w:t> </w:t>
      </w:r>
      <w:r>
        <w:rPr/>
        <w:t>2010),</w:t>
      </w:r>
      <w:r>
        <w:rPr>
          <w:spacing w:val="-12"/>
        </w:rPr>
        <w:t> </w:t>
      </w:r>
      <w:r>
        <w:rPr/>
        <w:t>Wave</w:t>
      </w:r>
      <w:r>
        <w:rPr>
          <w:spacing w:val="-11"/>
        </w:rPr>
        <w:t> </w:t>
      </w:r>
      <w:r>
        <w:rPr/>
        <w:t>2</w:t>
      </w:r>
      <w:r>
        <w:rPr>
          <w:spacing w:val="-11"/>
        </w:rPr>
        <w:t> </w:t>
      </w:r>
      <w:r>
        <w:rPr/>
        <w:t>(2013),</w:t>
      </w:r>
      <w:r>
        <w:rPr>
          <w:spacing w:val="-11"/>
        </w:rPr>
        <w:t> </w:t>
      </w:r>
      <w:r>
        <w:rPr/>
        <w:t>Wave</w:t>
      </w:r>
      <w:r>
        <w:rPr>
          <w:spacing w:val="-12"/>
        </w:rPr>
        <w:t> </w:t>
      </w:r>
      <w:r>
        <w:rPr/>
        <w:t>3</w:t>
      </w:r>
      <w:r>
        <w:rPr>
          <w:spacing w:val="-10"/>
        </w:rPr>
        <w:t> </w:t>
      </w:r>
      <w:r>
        <w:rPr/>
        <w:t>(2016)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Wave</w:t>
      </w:r>
      <w:r>
        <w:rPr>
          <w:spacing w:val="-11"/>
        </w:rPr>
        <w:t> </w:t>
      </w:r>
      <w:r>
        <w:rPr/>
        <w:t>4</w:t>
      </w:r>
      <w:r>
        <w:rPr>
          <w:spacing w:val="-10"/>
        </w:rPr>
        <w:t> </w:t>
      </w:r>
      <w:r>
        <w:rPr/>
        <w:t>(2019).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objectives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survey</w:t>
      </w:r>
      <w:r>
        <w:rPr>
          <w:spacing w:val="-58"/>
        </w:rPr>
        <w:t> </w:t>
      </w:r>
      <w:r>
        <w:rPr/>
        <w:t>include</w:t>
      </w:r>
      <w:r>
        <w:rPr>
          <w:spacing w:val="-2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welfare</w:t>
      </w:r>
      <w:r>
        <w:rPr>
          <w:spacing w:val="-2"/>
        </w:rPr>
        <w:t> </w:t>
      </w:r>
      <w:r>
        <w:rPr/>
        <w:t>indicators</w:t>
      </w:r>
      <w:r>
        <w:rPr>
          <w:spacing w:val="-1"/>
        </w:rPr>
        <w:t> </w:t>
      </w:r>
      <w:r>
        <w:rPr/>
        <w:t>and socio-economic</w:t>
      </w:r>
      <w:r>
        <w:rPr>
          <w:spacing w:val="-2"/>
        </w:rPr>
        <w:t> </w:t>
      </w:r>
      <w:r>
        <w:rPr/>
        <w:t>characteristics.</w:t>
      </w:r>
    </w:p>
    <w:p>
      <w:pPr>
        <w:pStyle w:val="Heading5"/>
        <w:numPr>
          <w:ilvl w:val="2"/>
          <w:numId w:val="12"/>
        </w:numPr>
        <w:tabs>
          <w:tab w:pos="821" w:val="left" w:leader="none"/>
        </w:tabs>
        <w:spacing w:line="240" w:lineRule="auto" w:before="180" w:after="0"/>
        <w:ind w:left="820" w:right="0" w:hanging="721"/>
        <w:jc w:val="both"/>
      </w:pPr>
      <w:bookmarkStart w:name="_TOC_250034" w:id="43"/>
      <w:bookmarkEnd w:id="43"/>
      <w:r>
        <w:rPr/>
        <w:t>Sampling</w:t>
      </w:r>
    </w:p>
    <w:p>
      <w:pPr>
        <w:pStyle w:val="BodyText"/>
        <w:spacing w:line="360" w:lineRule="auto" w:before="20"/>
        <w:ind w:left="100" w:right="116"/>
        <w:jc w:val="both"/>
      </w:pPr>
      <w:r>
        <w:rPr/>
        <w:t>The NGHPS is based on the Master Sample frame of the 2006 Housing and Population Census</w:t>
      </w:r>
      <w:r>
        <w:rPr>
          <w:spacing w:val="1"/>
        </w:rPr>
        <w:t> </w:t>
      </w:r>
      <w:r>
        <w:rPr/>
        <w:t>conducted</w:t>
      </w:r>
      <w:r>
        <w:rPr>
          <w:spacing w:val="11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National</w:t>
      </w:r>
      <w:r>
        <w:rPr>
          <w:spacing w:val="13"/>
        </w:rPr>
        <w:t> </w:t>
      </w:r>
      <w:r>
        <w:rPr/>
        <w:t>Population</w:t>
      </w:r>
      <w:r>
        <w:rPr>
          <w:spacing w:val="12"/>
        </w:rPr>
        <w:t> </w:t>
      </w:r>
      <w:r>
        <w:rPr/>
        <w:t>Commission.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sample</w:t>
      </w:r>
      <w:r>
        <w:rPr>
          <w:spacing w:val="10"/>
        </w:rPr>
        <w:t> </w:t>
      </w:r>
      <w:r>
        <w:rPr/>
        <w:t>frame</w:t>
      </w:r>
      <w:r>
        <w:rPr>
          <w:spacing w:val="11"/>
        </w:rPr>
        <w:t> </w:t>
      </w:r>
      <w:r>
        <w:rPr/>
        <w:t>includes</w:t>
      </w:r>
      <w:r>
        <w:rPr>
          <w:spacing w:val="12"/>
        </w:rPr>
        <w:t> </w:t>
      </w:r>
      <w:r>
        <w:rPr/>
        <w:t>all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thirty-six</w:t>
      </w:r>
    </w:p>
    <w:p>
      <w:pPr>
        <w:pStyle w:val="BodyText"/>
        <w:spacing w:line="360" w:lineRule="auto"/>
        <w:ind w:left="100" w:right="117"/>
        <w:jc w:val="both"/>
      </w:pPr>
      <w:r>
        <w:rPr/>
        <w:t>(36) states and FCT Abuja. A multi-stage stratified sample design was employed for the NGHPS.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sample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comprised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60</w:t>
      </w:r>
      <w:r>
        <w:rPr>
          <w:spacing w:val="-5"/>
        </w:rPr>
        <w:t> </w:t>
      </w:r>
      <w:r>
        <w:rPr/>
        <w:t>Primary</w:t>
      </w:r>
      <w:r>
        <w:rPr>
          <w:spacing w:val="-9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Units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Enumeration</w:t>
      </w:r>
      <w:r>
        <w:rPr>
          <w:spacing w:val="-5"/>
        </w:rPr>
        <w:t> </w:t>
      </w:r>
      <w:r>
        <w:rPr/>
        <w:t>Areas</w:t>
      </w:r>
      <w:r>
        <w:rPr>
          <w:spacing w:val="-6"/>
        </w:rPr>
        <w:t> </w:t>
      </w:r>
      <w:r>
        <w:rPr/>
        <w:t>(EAs)</w:t>
      </w:r>
      <w:r>
        <w:rPr>
          <w:spacing w:val="-3"/>
        </w:rPr>
        <w:t> </w:t>
      </w:r>
      <w:r>
        <w:rPr/>
        <w:t>chosen</w:t>
      </w:r>
      <w:r>
        <w:rPr>
          <w:spacing w:val="-4"/>
        </w:rPr>
        <w:t> </w:t>
      </w:r>
      <w:r>
        <w:rPr/>
        <w:t>from</w:t>
      </w:r>
      <w:r>
        <w:rPr>
          <w:spacing w:val="-57"/>
        </w:rPr>
        <w:t> </w:t>
      </w:r>
      <w:r>
        <w:rPr/>
        <w:t>each of the 36 states and FCT (Abuja) in Nigeria. A total of 2,220 EAs nationally, and each EA</w:t>
      </w:r>
      <w:r>
        <w:rPr>
          <w:spacing w:val="1"/>
        </w:rPr>
        <w:t> </w:t>
      </w:r>
      <w:r>
        <w:rPr/>
        <w:t>contributes</w:t>
      </w:r>
      <w:r>
        <w:rPr>
          <w:spacing w:val="-1"/>
        </w:rPr>
        <w:t> </w:t>
      </w:r>
      <w:r>
        <w:rPr/>
        <w:t>at least 10 households to the</w:t>
      </w:r>
      <w:r>
        <w:rPr>
          <w:spacing w:val="-1"/>
        </w:rPr>
        <w:t> </w:t>
      </w:r>
      <w:r>
        <w:rPr/>
        <w:t>NGHPS</w:t>
      </w:r>
      <w:r>
        <w:rPr>
          <w:spacing w:val="1"/>
        </w:rPr>
        <w:t> </w:t>
      </w:r>
      <w:r>
        <w:rPr/>
        <w:t>sample.</w:t>
      </w:r>
    </w:p>
    <w:p>
      <w:pPr>
        <w:pStyle w:val="BodyText"/>
        <w:spacing w:line="360" w:lineRule="auto" w:before="116"/>
        <w:ind w:left="100" w:right="114"/>
        <w:jc w:val="both"/>
      </w:pPr>
      <w:r>
        <w:rPr/>
        <w:t>Households were selected without replacement. Thus, 27,588 (post-planting) and 28,292 (post-</w:t>
      </w:r>
      <w:r>
        <w:rPr>
          <w:spacing w:val="1"/>
        </w:rPr>
        <w:t> </w:t>
      </w:r>
      <w:r>
        <w:rPr/>
        <w:t>harvest) individuals were interviewed in Wave 1. A total of 27,533 and 27,993 individuals were</w:t>
      </w:r>
      <w:r>
        <w:rPr>
          <w:spacing w:val="1"/>
        </w:rPr>
        <w:t> </w:t>
      </w:r>
      <w:r>
        <w:rPr/>
        <w:t>interviewed in post-planting and post-harvest for Wave 2, respectively. For Wave 3, the figures</w:t>
      </w:r>
      <w:r>
        <w:rPr>
          <w:spacing w:val="1"/>
        </w:rPr>
        <w:t> </w:t>
      </w:r>
      <w:r>
        <w:rPr/>
        <w:t>slightly reduce to 26,735 for post-planting, and 26,871 for post-harvest. Thus, given the panel</w:t>
      </w:r>
      <w:r>
        <w:rPr>
          <w:spacing w:val="1"/>
        </w:rPr>
        <w:t> </w:t>
      </w:r>
      <w:r>
        <w:rPr/>
        <w:t>nature of the survey, some households had moved from their location and were not able to be</w:t>
      </w:r>
      <w:r>
        <w:rPr>
          <w:spacing w:val="1"/>
        </w:rPr>
        <w:t> </w:t>
      </w:r>
      <w:r>
        <w:rPr/>
        <w:t>located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time</w:t>
      </w:r>
      <w:r>
        <w:rPr>
          <w:spacing w:val="-1"/>
        </w:rPr>
        <w:t> </w:t>
      </w:r>
      <w:r>
        <w:rPr/>
        <w:t>of the</w:t>
      </w:r>
      <w:r>
        <w:rPr>
          <w:spacing w:val="2"/>
        </w:rPr>
        <w:t> </w:t>
      </w:r>
      <w:r>
        <w:rPr/>
        <w:t>Wave</w:t>
      </w:r>
      <w:r>
        <w:rPr>
          <w:spacing w:val="-1"/>
        </w:rPr>
        <w:t> </w:t>
      </w:r>
      <w:r>
        <w:rPr/>
        <w:t>4 visit, resulting</w:t>
      </w:r>
      <w:r>
        <w:rPr>
          <w:spacing w:val="-3"/>
        </w:rPr>
        <w:t> </w:t>
      </w:r>
      <w:r>
        <w:rPr/>
        <w:t>in a slightly</w:t>
      </w:r>
      <w:r>
        <w:rPr>
          <w:spacing w:val="-5"/>
        </w:rPr>
        <w:t> </w:t>
      </w:r>
      <w:r>
        <w:rPr/>
        <w:t>smaller sample for Wave</w:t>
      </w:r>
      <w:r>
        <w:rPr>
          <w:spacing w:val="-1"/>
        </w:rPr>
        <w:t> </w:t>
      </w:r>
      <w:r>
        <w:rPr/>
        <w:t>3.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280" w:left="1340" w:right="1320"/>
        </w:sectPr>
      </w:pPr>
    </w:p>
    <w:p>
      <w:pPr>
        <w:pStyle w:val="Heading5"/>
        <w:numPr>
          <w:ilvl w:val="2"/>
          <w:numId w:val="12"/>
        </w:numPr>
        <w:tabs>
          <w:tab w:pos="821" w:val="left" w:leader="none"/>
        </w:tabs>
        <w:spacing w:line="240" w:lineRule="auto" w:before="77" w:after="0"/>
        <w:ind w:left="820" w:right="0" w:hanging="721"/>
        <w:jc w:val="both"/>
      </w:pPr>
      <w:bookmarkStart w:name="_TOC_250033" w:id="44"/>
      <w:r>
        <w:rPr/>
        <w:t>NGHPS</w:t>
      </w:r>
      <w:r>
        <w:rPr>
          <w:spacing w:val="-1"/>
        </w:rPr>
        <w:t> </w:t>
      </w:r>
      <w:bookmarkEnd w:id="44"/>
      <w:r>
        <w:rPr/>
        <w:t>Questionnaires</w:t>
      </w:r>
    </w:p>
    <w:p>
      <w:pPr>
        <w:pStyle w:val="BodyText"/>
        <w:spacing w:line="360" w:lineRule="auto" w:before="19"/>
        <w:ind w:left="100" w:right="120"/>
        <w:jc w:val="both"/>
      </w:pPr>
      <w:r>
        <w:rPr/>
        <w:t>The</w:t>
      </w:r>
      <w:r>
        <w:rPr>
          <w:spacing w:val="-6"/>
        </w:rPr>
        <w:t> </w:t>
      </w:r>
      <w:r>
        <w:rPr/>
        <w:t>NGHPS</w:t>
      </w:r>
      <w:r>
        <w:rPr>
          <w:spacing w:val="-4"/>
        </w:rPr>
        <w:t> </w:t>
      </w:r>
      <w:r>
        <w:rPr/>
        <w:t>consists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three</w:t>
      </w:r>
      <w:r>
        <w:rPr>
          <w:spacing w:val="-5"/>
        </w:rPr>
        <w:t> </w:t>
      </w:r>
      <w:r>
        <w:rPr/>
        <w:t>questionnaires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household,</w:t>
      </w:r>
      <w:r>
        <w:rPr>
          <w:spacing w:val="-4"/>
        </w:rPr>
        <w:t> </w:t>
      </w:r>
      <w:r>
        <w:rPr/>
        <w:t>agriculture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community.</w:t>
      </w:r>
      <w:r>
        <w:rPr>
          <w:spacing w:val="-4"/>
        </w:rPr>
        <w:t> </w:t>
      </w:r>
      <w:r>
        <w:rPr/>
        <w:t>Household</w:t>
      </w:r>
      <w:r>
        <w:rPr>
          <w:spacing w:val="-58"/>
        </w:rPr>
        <w:t> </w:t>
      </w:r>
      <w:r>
        <w:rPr/>
        <w:t>questionnaire provides detail information on demographics, education, health, labour, household</w:t>
      </w:r>
      <w:r>
        <w:rPr>
          <w:spacing w:val="1"/>
        </w:rPr>
        <w:t> </w:t>
      </w:r>
      <w:r>
        <w:rPr/>
        <w:t>non-farm income-generating activities, food security and shocks, safety nets, housing conditions,</w:t>
      </w:r>
      <w:r>
        <w:rPr>
          <w:spacing w:val="-57"/>
        </w:rPr>
        <w:t> </w:t>
      </w:r>
      <w:r>
        <w:rPr/>
        <w:t>assets and other sources of household income. The agriculture questionnaire solicits information</w:t>
      </w:r>
      <w:r>
        <w:rPr>
          <w:spacing w:val="1"/>
        </w:rPr>
        <w:t> </w:t>
      </w:r>
      <w:r>
        <w:rPr/>
        <w:t>on land ownership and use, farm labour, inputs use, agricultural capital, irrigation, crop harvest,</w:t>
      </w:r>
      <w:r>
        <w:rPr>
          <w:spacing w:val="1"/>
        </w:rPr>
        <w:t> </w:t>
      </w:r>
      <w:r>
        <w:rPr/>
        <w:t>animal holdings, and fishing activities. While community questionnaire provides information on</w:t>
      </w:r>
      <w:r>
        <w:rPr>
          <w:spacing w:val="1"/>
        </w:rPr>
        <w:t> </w:t>
      </w:r>
      <w:r>
        <w:rPr/>
        <w:t>access to infrastructure, community organizations, resource management, key events, changes in</w:t>
      </w:r>
      <w:r>
        <w:rPr>
          <w:spacing w:val="1"/>
        </w:rPr>
        <w:t> </w:t>
      </w:r>
      <w:r>
        <w:rPr/>
        <w:t>the community, community needs, actions/achievements, and local retail price information. The</w:t>
      </w:r>
      <w:r>
        <w:rPr>
          <w:spacing w:val="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questionnaire</w:t>
      </w:r>
      <w:r>
        <w:rPr>
          <w:spacing w:val="-2"/>
        </w:rPr>
        <w:t> </w:t>
      </w:r>
      <w:r>
        <w:rPr/>
        <w:t>context is indicated in Table</w:t>
      </w:r>
      <w:r>
        <w:rPr>
          <w:spacing w:val="-1"/>
        </w:rPr>
        <w:t> </w:t>
      </w:r>
      <w:r>
        <w:rPr/>
        <w:t>4.3.</w:t>
      </w:r>
    </w:p>
    <w:p>
      <w:pPr>
        <w:pStyle w:val="BodyText"/>
        <w:spacing w:before="4"/>
      </w:pPr>
    </w:p>
    <w:p>
      <w:pPr>
        <w:pStyle w:val="Heading4"/>
        <w:spacing w:before="1" w:after="44"/>
        <w:ind w:left="100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1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 Questionnaire</w:t>
      </w:r>
      <w:r>
        <w:rPr>
          <w:spacing w:val="-3"/>
        </w:rPr>
        <w:t> </w:t>
      </w:r>
      <w:r>
        <w:rPr/>
        <w:t>Context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NGHS waves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7"/>
        <w:gridCol w:w="6565"/>
      </w:tblGrid>
      <w:tr>
        <w:trPr>
          <w:trHeight w:val="316" w:hRule="atLeast"/>
        </w:trPr>
        <w:tc>
          <w:tcPr>
            <w:tcW w:w="278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Topic</w:t>
            </w:r>
          </w:p>
        </w:tc>
        <w:tc>
          <w:tcPr>
            <w:tcW w:w="6565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Information</w:t>
            </w:r>
          </w:p>
        </w:tc>
      </w:tr>
      <w:tr>
        <w:trPr>
          <w:trHeight w:val="318" w:hRule="atLeast"/>
        </w:trPr>
        <w:tc>
          <w:tcPr>
            <w:tcW w:w="278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Household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Composition</w:t>
            </w:r>
          </w:p>
        </w:tc>
        <w:tc>
          <w:tcPr>
            <w:tcW w:w="6565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Name,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age,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sex,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marital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status,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family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religion,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occupation,</w:t>
            </w:r>
          </w:p>
        </w:tc>
      </w:tr>
      <w:tr>
        <w:trPr>
          <w:trHeight w:val="316" w:hRule="atLeast"/>
        </w:trPr>
        <w:tc>
          <w:tcPr>
            <w:tcW w:w="278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Education</w:t>
            </w:r>
          </w:p>
        </w:tc>
        <w:tc>
          <w:tcPr>
            <w:tcW w:w="6565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attendance 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attainment,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literacy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level,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scholarship</w:t>
            </w:r>
          </w:p>
        </w:tc>
      </w:tr>
      <w:tr>
        <w:trPr>
          <w:trHeight w:val="635" w:hRule="atLeast"/>
        </w:trPr>
        <w:tc>
          <w:tcPr>
            <w:tcW w:w="278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Labour</w:t>
            </w:r>
          </w:p>
        </w:tc>
        <w:tc>
          <w:tcPr>
            <w:tcW w:w="6565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Nature</w:t>
            </w:r>
            <w:r>
              <w:rPr>
                <w:rFonts w:ascii="Times New Roman"/>
                <w:spacing w:val="4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4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occupation,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working</w:t>
            </w:r>
            <w:r>
              <w:rPr>
                <w:rFonts w:ascii="Times New Roman"/>
                <w:spacing w:val="4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hours,</w:t>
            </w:r>
            <w:r>
              <w:rPr>
                <w:rFonts w:ascii="Times New Roman"/>
                <w:spacing w:val="4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who/where</w:t>
            </w:r>
            <w:r>
              <w:rPr>
                <w:rFonts w:ascii="Times New Roman"/>
                <w:spacing w:val="4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4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job,</w:t>
            </w:r>
            <w:r>
              <w:rPr>
                <w:rFonts w:ascii="Times New Roman"/>
                <w:spacing w:val="4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how</w:t>
            </w:r>
          </w:p>
          <w:p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long,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salary/wages/incomes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activities</w:t>
            </w:r>
          </w:p>
        </w:tc>
      </w:tr>
      <w:tr>
        <w:trPr>
          <w:trHeight w:val="633" w:hRule="atLeast"/>
        </w:trPr>
        <w:tc>
          <w:tcPr>
            <w:tcW w:w="278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Health</w:t>
            </w:r>
          </w:p>
        </w:tc>
        <w:tc>
          <w:tcPr>
            <w:tcW w:w="6565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Suffering</w:t>
            </w:r>
            <w:r>
              <w:rPr>
                <w:rFonts w:ascii="Times New Roman"/>
                <w:spacing w:val="1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2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illness/injury,</w:t>
            </w:r>
            <w:r>
              <w:rPr>
                <w:rFonts w:ascii="Times New Roman"/>
                <w:spacing w:val="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healthcare</w:t>
            </w:r>
            <w:r>
              <w:rPr>
                <w:rFonts w:ascii="Times New Roman"/>
                <w:spacing w:val="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consultation</w:t>
            </w:r>
            <w:r>
              <w:rPr>
                <w:rFonts w:ascii="Times New Roman"/>
                <w:spacing w:val="2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2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where,</w:t>
            </w:r>
          </w:p>
          <w:p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payment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healthcare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services,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weight/length/height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children</w:t>
            </w:r>
          </w:p>
        </w:tc>
      </w:tr>
      <w:tr>
        <w:trPr>
          <w:trHeight w:val="318" w:hRule="atLeast"/>
        </w:trPr>
        <w:tc>
          <w:tcPr>
            <w:tcW w:w="278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Development</w:t>
            </w:r>
          </w:p>
        </w:tc>
        <w:tc>
          <w:tcPr>
            <w:tcW w:w="6565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Ability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read,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communicate,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smile, play,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walk,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dress</w:t>
            </w:r>
          </w:p>
        </w:tc>
      </w:tr>
      <w:tr>
        <w:trPr>
          <w:trHeight w:val="316" w:hRule="atLeast"/>
        </w:trPr>
        <w:tc>
          <w:tcPr>
            <w:tcW w:w="278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Housing</w:t>
            </w:r>
          </w:p>
        </w:tc>
        <w:tc>
          <w:tcPr>
            <w:tcW w:w="6565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Dwelling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nature,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rent/owned, access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water,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electricity,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toilet</w:t>
            </w:r>
          </w:p>
        </w:tc>
      </w:tr>
      <w:tr>
        <w:trPr>
          <w:trHeight w:val="316" w:hRule="atLeast"/>
        </w:trPr>
        <w:tc>
          <w:tcPr>
            <w:tcW w:w="278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Remittances</w:t>
            </w:r>
          </w:p>
        </w:tc>
        <w:tc>
          <w:tcPr>
            <w:tcW w:w="6565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Monetary/in-kind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gift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abroad,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amount/purpose</w:t>
            </w:r>
          </w:p>
        </w:tc>
      </w:tr>
      <w:tr>
        <w:trPr>
          <w:trHeight w:val="635" w:hRule="atLeast"/>
        </w:trPr>
        <w:tc>
          <w:tcPr>
            <w:tcW w:w="2787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Behavior</w:t>
            </w:r>
          </w:p>
        </w:tc>
        <w:tc>
          <w:tcPr>
            <w:tcW w:w="6565" w:type="dxa"/>
          </w:tcPr>
          <w:p>
            <w:pPr>
              <w:pStyle w:val="TableParagraph"/>
              <w:spacing w:line="273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Depression,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sleep</w:t>
            </w:r>
            <w:r>
              <w:rPr>
                <w:rFonts w:ascii="Times New Roman"/>
                <w:spacing w:val="6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restless,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loneliness,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feeling</w:t>
            </w:r>
            <w:r>
              <w:rPr>
                <w:rFonts w:ascii="Times New Roman"/>
                <w:spacing w:val="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happy,</w:t>
            </w:r>
            <w:r>
              <w:rPr>
                <w:rFonts w:ascii="Times New Roman"/>
                <w:spacing w:val="6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afraid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</w:p>
          <w:p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disturbed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what</w:t>
            </w:r>
          </w:p>
        </w:tc>
      </w:tr>
      <w:tr>
        <w:trPr>
          <w:trHeight w:val="316" w:hRule="atLeast"/>
        </w:trPr>
        <w:tc>
          <w:tcPr>
            <w:tcW w:w="278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Household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Assets</w:t>
            </w:r>
          </w:p>
        </w:tc>
        <w:tc>
          <w:tcPr>
            <w:tcW w:w="6565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Assets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households</w:t>
            </w:r>
          </w:p>
        </w:tc>
      </w:tr>
      <w:tr>
        <w:trPr>
          <w:trHeight w:val="635" w:hRule="atLeast"/>
        </w:trPr>
        <w:tc>
          <w:tcPr>
            <w:tcW w:w="2787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Household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Income</w:t>
            </w:r>
          </w:p>
        </w:tc>
        <w:tc>
          <w:tcPr>
            <w:tcW w:w="6565" w:type="dxa"/>
          </w:tcPr>
          <w:p>
            <w:pPr>
              <w:pStyle w:val="TableParagraph"/>
              <w:spacing w:line="273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Loans,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profit,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salaries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wages,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interest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investment,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income</w:t>
            </w:r>
          </w:p>
          <w:p>
            <w:pPr>
              <w:pStyle w:val="TableParagraph"/>
              <w:spacing w:before="4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rental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property,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sort 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property,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others</w:t>
            </w:r>
          </w:p>
        </w:tc>
      </w:tr>
      <w:tr>
        <w:trPr>
          <w:trHeight w:val="318" w:hRule="atLeast"/>
        </w:trPr>
        <w:tc>
          <w:tcPr>
            <w:tcW w:w="278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Safety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Nets</w:t>
            </w:r>
          </w:p>
        </w:tc>
        <w:tc>
          <w:tcPr>
            <w:tcW w:w="6565" w:type="dxa"/>
          </w:tcPr>
          <w:p>
            <w:pPr>
              <w:pStyle w:val="TableParagraph"/>
              <w:spacing w:line="270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Cash,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food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other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assistance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received,</w:t>
            </w:r>
          </w:p>
        </w:tc>
      </w:tr>
    </w:tbl>
    <w:p>
      <w:pPr>
        <w:spacing w:before="0"/>
        <w:ind w:left="10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2"/>
          <w:sz w:val="20"/>
        </w:rPr>
        <w:t> </w:t>
      </w:r>
      <w:r>
        <w:rPr>
          <w:sz w:val="20"/>
        </w:rPr>
        <w:t>Compiled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NBS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various</w:t>
      </w:r>
      <w:r>
        <w:rPr>
          <w:spacing w:val="-1"/>
          <w:sz w:val="20"/>
        </w:rPr>
        <w:t> </w:t>
      </w:r>
      <w:r>
        <w:rPr>
          <w:sz w:val="20"/>
        </w:rPr>
        <w:t>waves</w:t>
      </w:r>
    </w:p>
    <w:p>
      <w:pPr>
        <w:pStyle w:val="BodyText"/>
        <w:rPr>
          <w:sz w:val="22"/>
        </w:rPr>
      </w:pPr>
    </w:p>
    <w:p>
      <w:pPr>
        <w:pStyle w:val="Heading5"/>
        <w:numPr>
          <w:ilvl w:val="2"/>
          <w:numId w:val="12"/>
        </w:numPr>
        <w:tabs>
          <w:tab w:pos="821" w:val="left" w:leader="none"/>
        </w:tabs>
        <w:spacing w:line="240" w:lineRule="auto" w:before="157" w:after="0"/>
        <w:ind w:left="820" w:right="0" w:hanging="721"/>
        <w:jc w:val="both"/>
      </w:pPr>
      <w:bookmarkStart w:name="_TOC_250032" w:id="45"/>
      <w:r>
        <w:rPr/>
        <w:t>Data</w:t>
      </w:r>
      <w:r>
        <w:rPr>
          <w:spacing w:val="-1"/>
        </w:rPr>
        <w:t> </w:t>
      </w:r>
      <w:bookmarkEnd w:id="45"/>
      <w:r>
        <w:rPr/>
        <w:t>Quality</w:t>
      </w:r>
    </w:p>
    <w:p>
      <w:pPr>
        <w:pStyle w:val="BodyText"/>
        <w:spacing w:line="360" w:lineRule="auto" w:before="17"/>
        <w:ind w:left="100" w:right="115"/>
        <w:jc w:val="both"/>
      </w:pPr>
      <w:r>
        <w:rPr/>
        <w:t>Generally, ill-health issues among households often faced with data limitations, particularly in</w:t>
      </w:r>
      <w:r>
        <w:rPr>
          <w:spacing w:val="1"/>
        </w:rPr>
        <w:t> </w:t>
      </w:r>
      <w:r>
        <w:rPr/>
        <w:t>developing countries like Nigeria where poor health outcomes are regarded as a sad event that</w:t>
      </w:r>
      <w:r>
        <w:rPr>
          <w:spacing w:val="1"/>
        </w:rPr>
        <w:t> </w:t>
      </w:r>
      <w:r>
        <w:rPr/>
        <w:t>respondents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want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recall</w:t>
      </w:r>
      <w:r>
        <w:rPr>
          <w:spacing w:val="-7"/>
        </w:rPr>
        <w:t> </w:t>
      </w:r>
      <w:r>
        <w:rPr/>
        <w:t>(Adedini,</w:t>
      </w:r>
      <w:r>
        <w:rPr>
          <w:spacing w:val="-9"/>
        </w:rPr>
        <w:t> </w:t>
      </w:r>
      <w:r>
        <w:rPr/>
        <w:t>2013).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study</w:t>
      </w:r>
      <w:r>
        <w:rPr>
          <w:spacing w:val="-12"/>
        </w:rPr>
        <w:t> </w:t>
      </w:r>
      <w:r>
        <w:rPr/>
        <w:t>draws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cross-sectional</w:t>
      </w:r>
      <w:r>
        <w:rPr>
          <w:spacing w:val="-8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dataset; as a result, there is tendency for ill-health to be under-reported. Nonetheless, this will not</w:t>
      </w:r>
      <w:r>
        <w:rPr>
          <w:spacing w:val="-57"/>
        </w:rPr>
        <w:t> </w:t>
      </w:r>
      <w:r>
        <w:rPr/>
        <w:t>pose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serious</w:t>
      </w:r>
      <w:r>
        <w:rPr>
          <w:spacing w:val="5"/>
        </w:rPr>
        <w:t> </w:t>
      </w:r>
      <w:r>
        <w:rPr/>
        <w:t>challenge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this</w:t>
      </w:r>
      <w:r>
        <w:rPr>
          <w:spacing w:val="6"/>
        </w:rPr>
        <w:t> </w:t>
      </w:r>
      <w:r>
        <w:rPr/>
        <w:t>study,</w:t>
      </w:r>
      <w:r>
        <w:rPr>
          <w:spacing w:val="5"/>
        </w:rPr>
        <w:t> </w:t>
      </w:r>
      <w:r>
        <w:rPr/>
        <w:t>because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data</w:t>
      </w:r>
      <w:r>
        <w:rPr>
          <w:spacing w:val="5"/>
        </w:rPr>
        <w:t> </w:t>
      </w:r>
      <w:r>
        <w:rPr/>
        <w:t>quality</w:t>
      </w:r>
      <w:r>
        <w:rPr>
          <w:spacing w:val="3"/>
        </w:rPr>
        <w:t> </w:t>
      </w:r>
      <w:r>
        <w:rPr/>
        <w:t>assessment</w:t>
      </w:r>
      <w:r>
        <w:rPr>
          <w:spacing w:val="8"/>
        </w:rPr>
        <w:t> </w:t>
      </w:r>
      <w:r>
        <w:rPr/>
        <w:t>was</w:t>
      </w:r>
      <w:r>
        <w:rPr>
          <w:spacing w:val="14"/>
        </w:rPr>
        <w:t> </w:t>
      </w:r>
      <w:r>
        <w:rPr/>
        <w:t>done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NGHPS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pStyle w:val="BodyText"/>
        <w:spacing w:line="360" w:lineRule="auto" w:before="74"/>
        <w:ind w:left="100" w:right="120"/>
        <w:jc w:val="both"/>
      </w:pPr>
      <w:r>
        <w:rPr/>
        <w:t>(Wave</w:t>
      </w:r>
      <w:r>
        <w:rPr>
          <w:spacing w:val="-3"/>
        </w:rPr>
        <w:t> </w:t>
      </w:r>
      <w:r>
        <w:rPr/>
        <w:t>1,</w:t>
      </w:r>
      <w:r>
        <w:rPr>
          <w:spacing w:val="-1"/>
        </w:rPr>
        <w:t> </w:t>
      </w:r>
      <w:r>
        <w:rPr/>
        <w:t>2,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4). It</w:t>
      </w:r>
      <w:r>
        <w:rPr>
          <w:spacing w:val="-2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dataset yielded</w:t>
      </w:r>
      <w:r>
        <w:rPr>
          <w:spacing w:val="-1"/>
        </w:rPr>
        <w:t> </w:t>
      </w:r>
      <w:r>
        <w:rPr/>
        <w:t>far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reliable database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household</w:t>
      </w:r>
      <w:r>
        <w:rPr>
          <w:spacing w:val="-58"/>
        </w:rPr>
        <w:t> </w:t>
      </w:r>
      <w:r>
        <w:rPr/>
        <w:t>welfare</w:t>
      </w:r>
      <w:r>
        <w:rPr>
          <w:spacing w:val="-2"/>
        </w:rPr>
        <w:t> </w:t>
      </w:r>
      <w:r>
        <w:rPr/>
        <w:t>in Nigeria (Aigbohkan, 2017).</w:t>
      </w:r>
    </w:p>
    <w:p>
      <w:pPr>
        <w:pStyle w:val="BodyText"/>
        <w:spacing w:line="360" w:lineRule="auto" w:before="161"/>
        <w:ind w:left="100" w:right="115"/>
        <w:jc w:val="both"/>
      </w:pP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pertinent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note</w:t>
      </w:r>
      <w:r>
        <w:rPr>
          <w:spacing w:val="-13"/>
        </w:rPr>
        <w:t> </w:t>
      </w:r>
      <w:r>
        <w:rPr/>
        <w:t>that,</w:t>
      </w:r>
      <w:r>
        <w:rPr>
          <w:spacing w:val="-10"/>
        </w:rPr>
        <w:t> </w:t>
      </w:r>
      <w:r>
        <w:rPr/>
        <w:t>health</w:t>
      </w:r>
      <w:r>
        <w:rPr>
          <w:spacing w:val="-12"/>
        </w:rPr>
        <w:t> </w:t>
      </w:r>
      <w:r>
        <w:rPr/>
        <w:t>system</w:t>
      </w:r>
      <w:r>
        <w:rPr>
          <w:spacing w:val="-10"/>
        </w:rPr>
        <w:t> </w:t>
      </w:r>
      <w:r>
        <w:rPr/>
        <w:t>characteristics,</w:t>
      </w:r>
      <w:r>
        <w:rPr>
          <w:spacing w:val="-11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10"/>
        </w:rPr>
        <w:t> </w:t>
      </w:r>
      <w:r>
        <w:rPr/>
        <w:t>efficiency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medical-care</w:t>
      </w:r>
      <w:r>
        <w:rPr>
          <w:spacing w:val="-12"/>
        </w:rPr>
        <w:t> </w:t>
      </w:r>
      <w:r>
        <w:rPr/>
        <w:t>services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degree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private</w:t>
      </w:r>
      <w:r>
        <w:rPr>
          <w:spacing w:val="-12"/>
        </w:rPr>
        <w:t> </w:t>
      </w:r>
      <w:r>
        <w:rPr/>
        <w:t>provision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services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also</w:t>
      </w:r>
      <w:r>
        <w:rPr>
          <w:spacing w:val="-13"/>
        </w:rPr>
        <w:t> </w:t>
      </w:r>
      <w:r>
        <w:rPr/>
        <w:t>important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predicting</w:t>
      </w:r>
      <w:r>
        <w:rPr>
          <w:spacing w:val="-14"/>
        </w:rPr>
        <w:t> </w:t>
      </w:r>
      <w:r>
        <w:rPr/>
        <w:t>health</w:t>
      </w:r>
      <w:r>
        <w:rPr>
          <w:spacing w:val="-13"/>
        </w:rPr>
        <w:t> </w:t>
      </w:r>
      <w:r>
        <w:rPr/>
        <w:t>outcomes,</w:t>
      </w:r>
      <w:r>
        <w:rPr>
          <w:spacing w:val="-58"/>
        </w:rPr>
        <w:t> </w:t>
      </w:r>
      <w:r>
        <w:rPr/>
        <w:t>but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included</w:t>
      </w:r>
      <w:r>
        <w:rPr>
          <w:spacing w:val="-5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unavailability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data.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so,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impossible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compute</w:t>
      </w:r>
      <w:r>
        <w:rPr>
          <w:spacing w:val="-57"/>
        </w:rPr>
        <w:t> </w:t>
      </w:r>
      <w:r>
        <w:rPr/>
        <w:t>income</w:t>
      </w:r>
      <w:r>
        <w:rPr>
          <w:spacing w:val="-9"/>
        </w:rPr>
        <w:t> </w:t>
      </w:r>
      <w:r>
        <w:rPr/>
        <w:t>inequality</w:t>
      </w:r>
      <w:r>
        <w:rPr>
          <w:spacing w:val="-12"/>
        </w:rPr>
        <w:t> </w:t>
      </w:r>
      <w:r>
        <w:rPr/>
        <w:t>for</w:t>
      </w:r>
      <w:r>
        <w:rPr>
          <w:spacing w:val="-6"/>
        </w:rPr>
        <w:t> </w:t>
      </w:r>
      <w:r>
        <w:rPr/>
        <w:t>each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sampled</w:t>
      </w:r>
      <w:r>
        <w:rPr>
          <w:spacing w:val="-8"/>
        </w:rPr>
        <w:t> </w:t>
      </w:r>
      <w:r>
        <w:rPr/>
        <w:t>households</w:t>
      </w:r>
      <w:r>
        <w:rPr>
          <w:spacing w:val="-6"/>
        </w:rPr>
        <w:t> </w:t>
      </w:r>
      <w:r>
        <w:rPr/>
        <w:t>individually.</w:t>
      </w:r>
      <w:r>
        <w:rPr>
          <w:spacing w:val="-6"/>
        </w:rPr>
        <w:t> </w:t>
      </w:r>
      <w:r>
        <w:rPr/>
        <w:t>Thus,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9"/>
        </w:rPr>
        <w:t> </w:t>
      </w:r>
      <w:r>
        <w:rPr/>
        <w:t>compute</w:t>
      </w:r>
      <w:r>
        <w:rPr>
          <w:spacing w:val="-6"/>
        </w:rPr>
        <w:t> </w:t>
      </w:r>
      <w:r>
        <w:rPr/>
        <w:t>Gini-</w:t>
      </w:r>
      <w:r>
        <w:rPr>
          <w:spacing w:val="-57"/>
        </w:rPr>
        <w:t> </w:t>
      </w:r>
      <w:r>
        <w:rPr/>
        <w:t>coefficient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each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36</w:t>
      </w:r>
      <w:r>
        <w:rPr>
          <w:spacing w:val="-6"/>
        </w:rPr>
        <w:t> </w:t>
      </w:r>
      <w:r>
        <w:rPr/>
        <w:t>states</w:t>
      </w:r>
      <w:r>
        <w:rPr>
          <w:spacing w:val="-6"/>
        </w:rPr>
        <w:t> </w:t>
      </w:r>
      <w:r>
        <w:rPr/>
        <w:t>(and</w:t>
      </w:r>
      <w:r>
        <w:rPr>
          <w:spacing w:val="-4"/>
        </w:rPr>
        <w:t> </w:t>
      </w:r>
      <w:r>
        <w:rPr/>
        <w:t>FCT).</w:t>
      </w:r>
      <w:r>
        <w:rPr>
          <w:spacing w:val="-6"/>
        </w:rPr>
        <w:t> </w:t>
      </w:r>
      <w:r>
        <w:rPr/>
        <w:t>Overall,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NGHPS</w:t>
      </w:r>
      <w:r>
        <w:rPr>
          <w:spacing w:val="-5"/>
        </w:rPr>
        <w:t> </w:t>
      </w:r>
      <w:r>
        <w:rPr/>
        <w:t>dataset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reliable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kind</w:t>
      </w:r>
      <w:r>
        <w:rPr>
          <w:spacing w:val="-58"/>
        </w:rPr>
        <w:t> </w:t>
      </w:r>
      <w:r>
        <w:rPr/>
        <w:t>of analysis needed to cover in this study. For example, the data have the widest coverage across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six</w:t>
      </w:r>
      <w:r>
        <w:rPr>
          <w:spacing w:val="-12"/>
        </w:rPr>
        <w:t> </w:t>
      </w:r>
      <w:r>
        <w:rPr>
          <w:spacing w:val="-1"/>
        </w:rPr>
        <w:t>geo-political</w:t>
      </w:r>
      <w:r>
        <w:rPr>
          <w:spacing w:val="-13"/>
        </w:rPr>
        <w:t> </w:t>
      </w:r>
      <w:r>
        <w:rPr/>
        <w:t>zones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Nigeria.</w:t>
      </w:r>
      <w:r>
        <w:rPr>
          <w:spacing w:val="-12"/>
        </w:rPr>
        <w:t> </w:t>
      </w:r>
      <w:r>
        <w:rPr/>
        <w:t>Secondly,</w:t>
      </w:r>
      <w:r>
        <w:rPr>
          <w:spacing w:val="-11"/>
        </w:rPr>
        <w:t> </w:t>
      </w:r>
      <w:r>
        <w:rPr/>
        <w:t>it</w:t>
      </w:r>
      <w:r>
        <w:rPr>
          <w:spacing w:val="-12"/>
        </w:rPr>
        <w:t> </w:t>
      </w:r>
      <w:r>
        <w:rPr/>
        <w:t>provides</w:t>
      </w:r>
      <w:r>
        <w:rPr>
          <w:spacing w:val="-13"/>
        </w:rPr>
        <w:t> </w:t>
      </w:r>
      <w:r>
        <w:rPr/>
        <w:t>detail</w:t>
      </w:r>
      <w:r>
        <w:rPr>
          <w:spacing w:val="-12"/>
        </w:rPr>
        <w:t> </w:t>
      </w:r>
      <w:r>
        <w:rPr/>
        <w:t>statistical</w:t>
      </w:r>
      <w:r>
        <w:rPr>
          <w:spacing w:val="-15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welfare</w:t>
      </w:r>
      <w:r>
        <w:rPr>
          <w:spacing w:val="-57"/>
        </w:rPr>
        <w:t> </w:t>
      </w:r>
      <w:r>
        <w:rPr/>
        <w:t>trends</w:t>
      </w:r>
      <w:r>
        <w:rPr>
          <w:spacing w:val="-1"/>
        </w:rPr>
        <w:t> </w:t>
      </w:r>
      <w:r>
        <w:rPr/>
        <w:t>of households in all the 36 states and FCT.</w:t>
      </w:r>
    </w:p>
    <w:p>
      <w:pPr>
        <w:pStyle w:val="BodyText"/>
        <w:spacing w:line="360" w:lineRule="auto" w:before="208"/>
        <w:ind w:left="100" w:right="118"/>
        <w:jc w:val="both"/>
      </w:pPr>
      <w:r>
        <w:rPr>
          <w:spacing w:val="-1"/>
        </w:rPr>
        <w:t>Therefore,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line</w:t>
      </w:r>
      <w:r>
        <w:rPr>
          <w:spacing w:val="-16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studies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Tumen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Zeydanli</w:t>
      </w:r>
      <w:r>
        <w:rPr>
          <w:spacing w:val="-14"/>
        </w:rPr>
        <w:t> </w:t>
      </w:r>
      <w:r>
        <w:rPr/>
        <w:t>(2014),</w:t>
      </w:r>
      <w:r>
        <w:rPr>
          <w:spacing w:val="-16"/>
        </w:rPr>
        <w:t> </w:t>
      </w:r>
      <w:r>
        <w:rPr/>
        <w:t>Jabeen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Khan</w:t>
      </w:r>
      <w:r>
        <w:rPr>
          <w:spacing w:val="-15"/>
        </w:rPr>
        <w:t> </w:t>
      </w:r>
      <w:r>
        <w:rPr/>
        <w:t>(2016),</w:t>
      </w:r>
      <w:r>
        <w:rPr>
          <w:spacing w:val="-16"/>
        </w:rPr>
        <w:t> </w:t>
      </w:r>
      <w:r>
        <w:rPr/>
        <w:t>Bakkeli</w:t>
      </w:r>
      <w:r>
        <w:rPr>
          <w:spacing w:val="-57"/>
        </w:rPr>
        <w:t> </w:t>
      </w:r>
      <w:r>
        <w:rPr/>
        <w:t>(2016), and de-Roiste, Fasianos and Yao (2019), this study pooled NGHPS waves. These waves</w:t>
      </w:r>
      <w:r>
        <w:rPr>
          <w:spacing w:val="1"/>
        </w:rPr>
        <w:t> </w:t>
      </w:r>
      <w:r>
        <w:rPr/>
        <w:t>are</w:t>
      </w:r>
      <w:r>
        <w:rPr>
          <w:spacing w:val="13"/>
        </w:rPr>
        <w:t> </w:t>
      </w:r>
      <w:r>
        <w:rPr/>
        <w:t>Wave</w:t>
      </w:r>
      <w:r>
        <w:rPr>
          <w:spacing w:val="14"/>
        </w:rPr>
        <w:t> </w:t>
      </w:r>
      <w:r>
        <w:rPr/>
        <w:t>1</w:t>
      </w:r>
      <w:r>
        <w:rPr>
          <w:spacing w:val="16"/>
        </w:rPr>
        <w:t> </w:t>
      </w:r>
      <w:r>
        <w:rPr/>
        <w:t>(2010),</w:t>
      </w:r>
      <w:r>
        <w:rPr>
          <w:spacing w:val="14"/>
        </w:rPr>
        <w:t> </w:t>
      </w:r>
      <w:r>
        <w:rPr/>
        <w:t>Wave</w:t>
      </w:r>
      <w:r>
        <w:rPr>
          <w:spacing w:val="14"/>
        </w:rPr>
        <w:t> </w:t>
      </w:r>
      <w:r>
        <w:rPr/>
        <w:t>2</w:t>
      </w:r>
      <w:r>
        <w:rPr>
          <w:spacing w:val="16"/>
        </w:rPr>
        <w:t> </w:t>
      </w:r>
      <w:r>
        <w:rPr/>
        <w:t>(2013),</w:t>
      </w:r>
      <w:r>
        <w:rPr>
          <w:spacing w:val="14"/>
        </w:rPr>
        <w:t> </w:t>
      </w:r>
      <w:r>
        <w:rPr/>
        <w:t>Wave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/>
        <w:t>(2016),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Wave</w:t>
      </w:r>
      <w:r>
        <w:rPr>
          <w:spacing w:val="14"/>
        </w:rPr>
        <w:t> </w:t>
      </w:r>
      <w:r>
        <w:rPr/>
        <w:t>4</w:t>
      </w:r>
      <w:r>
        <w:rPr>
          <w:spacing w:val="16"/>
        </w:rPr>
        <w:t> </w:t>
      </w:r>
      <w:r>
        <w:rPr/>
        <w:t>(2019),</w:t>
      </w:r>
      <w:r>
        <w:rPr>
          <w:spacing w:val="20"/>
        </w:rPr>
        <w:t> </w:t>
      </w:r>
      <w:r>
        <w:rPr/>
        <w:t>which</w:t>
      </w:r>
      <w:r>
        <w:rPr>
          <w:spacing w:val="15"/>
        </w:rPr>
        <w:t> </w:t>
      </w:r>
      <w:r>
        <w:rPr/>
        <w:t>covered</w:t>
      </w:r>
      <w:r>
        <w:rPr>
          <w:spacing w:val="16"/>
        </w:rPr>
        <w:t> </w:t>
      </w:r>
      <w:r>
        <w:rPr/>
        <w:t>almost</w:t>
      </w:r>
    </w:p>
    <w:p>
      <w:pPr>
        <w:pStyle w:val="BodyText"/>
        <w:spacing w:before="1"/>
        <w:ind w:left="100"/>
        <w:jc w:val="both"/>
      </w:pPr>
      <w:r>
        <w:rPr/>
        <w:t>82,429</w:t>
      </w:r>
      <w:r>
        <w:rPr>
          <w:spacing w:val="-2"/>
        </w:rPr>
        <w:t> </w:t>
      </w:r>
      <w:r>
        <w:rPr/>
        <w:t>observations.</w:t>
      </w:r>
    </w:p>
    <w:p>
      <w:pPr>
        <w:pStyle w:val="BodyText"/>
        <w:spacing w:before="8"/>
        <w:rPr>
          <w:sz w:val="31"/>
        </w:rPr>
      </w:pPr>
    </w:p>
    <w:p>
      <w:pPr>
        <w:pStyle w:val="Heading4"/>
        <w:numPr>
          <w:ilvl w:val="1"/>
          <w:numId w:val="12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31" w:id="46"/>
      <w:r>
        <w:rPr/>
        <w:t>Measurement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Income</w:t>
      </w:r>
      <w:r>
        <w:rPr>
          <w:spacing w:val="-3"/>
        </w:rPr>
        <w:t> </w:t>
      </w:r>
      <w:bookmarkEnd w:id="46"/>
      <w:r>
        <w:rPr/>
        <w:t>Inequality</w:t>
      </w:r>
    </w:p>
    <w:p>
      <w:pPr>
        <w:pStyle w:val="BodyText"/>
        <w:spacing w:line="360" w:lineRule="auto" w:before="20"/>
        <w:ind w:left="100" w:right="118"/>
        <w:jc w:val="both"/>
      </w:pPr>
      <w:r>
        <w:rPr/>
        <w:t>The level and magnitude of income inequality across states was estimated using Gini-coefficient</w:t>
      </w:r>
      <w:r>
        <w:rPr>
          <w:spacing w:val="1"/>
        </w:rPr>
        <w:t> </w:t>
      </w:r>
      <w:r>
        <w:rPr/>
        <w:t>and Generalized Entropy methods (other methods were presented in Bayar, 2016). This was done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two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study.</w:t>
      </w:r>
    </w:p>
    <w:p>
      <w:pPr>
        <w:pStyle w:val="Heading5"/>
        <w:numPr>
          <w:ilvl w:val="2"/>
          <w:numId w:val="12"/>
        </w:numPr>
        <w:tabs>
          <w:tab w:pos="821" w:val="left" w:leader="none"/>
        </w:tabs>
        <w:spacing w:line="240" w:lineRule="auto" w:before="179" w:after="0"/>
        <w:ind w:left="820" w:right="0" w:hanging="721"/>
        <w:jc w:val="both"/>
      </w:pPr>
      <w:bookmarkStart w:name="_TOC_250030" w:id="47"/>
      <w:r>
        <w:rPr/>
        <w:t>Gini-Coefficient</w:t>
      </w:r>
      <w:r>
        <w:rPr>
          <w:spacing w:val="-2"/>
        </w:rPr>
        <w:t> </w:t>
      </w:r>
      <w:bookmarkEnd w:id="47"/>
      <w:r>
        <w:rPr/>
        <w:t>Method</w:t>
      </w:r>
    </w:p>
    <w:p>
      <w:pPr>
        <w:pStyle w:val="BodyText"/>
        <w:spacing w:line="360" w:lineRule="auto" w:before="19"/>
        <w:ind w:left="100" w:right="118"/>
        <w:jc w:val="both"/>
      </w:pPr>
      <w:r>
        <w:rPr/>
        <w:t>Following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methodology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Aigbokhan (2017:19-20)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Gini-Coefficient,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8"/>
        </w:rPr>
        <w:t> </w:t>
      </w:r>
      <w:r>
        <w:rPr/>
        <w:t>computed</w:t>
      </w:r>
      <w:r>
        <w:rPr>
          <w:spacing w:val="-57"/>
        </w:rPr>
        <w:t> </w:t>
      </w:r>
      <w:r>
        <w:rPr/>
        <w:t>the Gini estimates for 2010, 2013, 2016 and 2019 from NBS Nigeria-General Household Panel</w:t>
      </w:r>
      <w:r>
        <w:rPr>
          <w:spacing w:val="1"/>
        </w:rPr>
        <w:t> </w:t>
      </w:r>
      <w:r>
        <w:rPr/>
        <w:t>Survey dataset waves respectively (see Appendix B). The key advantages of Gini coefficient are</w:t>
      </w:r>
      <w:r>
        <w:rPr>
          <w:spacing w:val="1"/>
        </w:rPr>
        <w:t> </w:t>
      </w:r>
      <w:r>
        <w:rPr/>
        <w:t>that it measures inequality, but not average income. For instance, if the income distribution of a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is completely</w:t>
      </w:r>
      <w:r>
        <w:rPr>
          <w:spacing w:val="-2"/>
        </w:rPr>
        <w:t> </w:t>
      </w:r>
      <w:r>
        <w:rPr/>
        <w:t>equal</w:t>
      </w:r>
      <w:r>
        <w:rPr>
          <w:spacing w:val="1"/>
        </w:rPr>
        <w:t> </w:t>
      </w:r>
      <w:r>
        <w:rPr/>
        <w:t>(unequal), the</w:t>
      </w:r>
      <w:r>
        <w:rPr>
          <w:spacing w:val="1"/>
        </w:rPr>
        <w:t> </w:t>
      </w:r>
      <w:r>
        <w:rPr/>
        <w:t>Gini-Coefficient</w:t>
      </w:r>
      <w:r>
        <w:rPr>
          <w:spacing w:val="-1"/>
        </w:rPr>
        <w:t> </w:t>
      </w:r>
      <w:r>
        <w:rPr/>
        <w:t>will be 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0 (1).</w:t>
      </w:r>
    </w:p>
    <w:p>
      <w:pPr>
        <w:pStyle w:val="BodyText"/>
        <w:spacing w:before="2"/>
        <w:ind w:left="100"/>
        <w:jc w:val="both"/>
      </w:pPr>
      <w:r>
        <w:rPr/>
        <w:t>Gini</w:t>
      </w:r>
      <w:r>
        <w:rPr>
          <w:spacing w:val="-1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as:</w:t>
      </w:r>
    </w:p>
    <w:p>
      <w:pPr>
        <w:spacing w:after="0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spacing w:line="392" w:lineRule="exact" w:before="275"/>
        <w:ind w:left="1540" w:right="0" w:firstLine="0"/>
        <w:jc w:val="left"/>
        <w:rPr>
          <w:rFonts w:ascii="Cambria Math" w:eastAsia="Cambria Math"/>
          <w:sz w:val="32"/>
        </w:rPr>
      </w:pPr>
      <w:r>
        <w:rPr>
          <w:rFonts w:ascii="Cambria Math" w:eastAsia="Cambria Math"/>
          <w:sz w:val="32"/>
        </w:rPr>
        <w:t>𝐺𝑖𝑛𝑖</w:t>
      </w:r>
      <w:r>
        <w:rPr>
          <w:rFonts w:ascii="Cambria Math" w:eastAsia="Cambria Math"/>
          <w:position w:val="-5"/>
          <w:sz w:val="23"/>
        </w:rPr>
        <w:t>𝑖𝑘</w:t>
      </w:r>
      <w:r>
        <w:rPr>
          <w:rFonts w:ascii="Cambria Math" w:eastAsia="Cambria Math"/>
          <w:spacing w:val="58"/>
          <w:position w:val="-5"/>
          <w:sz w:val="23"/>
        </w:rPr>
        <w:t> </w:t>
      </w:r>
      <w:r>
        <w:rPr>
          <w:rFonts w:ascii="Cambria Math" w:eastAsia="Cambria Math"/>
          <w:sz w:val="32"/>
        </w:rPr>
        <w:t>=</w:t>
      </w:r>
    </w:p>
    <w:p>
      <w:pPr>
        <w:spacing w:line="197" w:lineRule="exact" w:before="104"/>
        <w:ind w:left="453" w:right="0" w:firstLine="0"/>
        <w:jc w:val="left"/>
        <w:rPr>
          <w:rFonts w:ascii="Cambria Math" w:eastAsia="Cambria Math"/>
          <w:sz w:val="19"/>
        </w:rPr>
      </w:pPr>
      <w:r>
        <w:rPr/>
        <w:br w:type="column"/>
      </w:r>
      <w:r>
        <w:rPr>
          <w:rFonts w:ascii="Cambria Math" w:eastAsia="Cambria Math"/>
          <w:w w:val="125"/>
          <w:sz w:val="19"/>
        </w:rPr>
        <w:t>𝑛</w:t>
      </w:r>
    </w:p>
    <w:p>
      <w:pPr>
        <w:spacing w:line="178" w:lineRule="exact" w:before="0"/>
        <w:ind w:left="453" w:right="0" w:firstLine="0"/>
        <w:jc w:val="left"/>
        <w:rPr>
          <w:rFonts w:ascii="Cambria Math" w:eastAsia="Cambria Math"/>
          <w:sz w:val="19"/>
        </w:rPr>
      </w:pPr>
      <w:r>
        <w:rPr/>
        <w:pict>
          <v:shape style="position:absolute;margin-left:209.809998pt;margin-top:-4.973747pt;width:16.7pt;height:11.9pt;mso-position-horizontal-relative:page;mso-position-vertical-relative:paragraph;z-index:15774720" type="#_x0000_t202" filled="false" stroked="false">
            <v:textbox inset="0,0,0,0">
              <w:txbxContent>
                <w:p>
                  <w:pPr>
                    <w:spacing w:line="238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23"/>
                    </w:rPr>
                  </w:pPr>
                  <w:r>
                    <w:rPr>
                      <w:rFonts w:ascii="Cambria Math" w:hAnsi="Cambria Math"/>
                      <w:spacing w:val="-7"/>
                      <w:sz w:val="23"/>
                    </w:rPr>
                    <w:t>2</w:t>
                  </w:r>
                  <w:r>
                    <w:rPr>
                      <w:rFonts w:ascii="Cambria Math" w:hAnsi="Cambria Math"/>
                      <w:spacing w:val="-14"/>
                      <w:sz w:val="23"/>
                    </w:rPr>
                    <w:t> </w:t>
                  </w:r>
                  <w:r>
                    <w:rPr>
                      <w:rFonts w:ascii="Cambria Math" w:hAnsi="Cambria Math"/>
                      <w:spacing w:val="-7"/>
                      <w:position w:val="1"/>
                      <w:sz w:val="23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9"/>
        </w:rPr>
        <w:t>𝑖=1</w:t>
      </w:r>
    </w:p>
    <w:p>
      <w:pPr>
        <w:spacing w:line="189" w:lineRule="exact" w:before="0"/>
        <w:ind w:left="239" w:right="0" w:firstLine="0"/>
        <w:jc w:val="left"/>
        <w:rPr>
          <w:rFonts w:ascii="Cambria Math" w:hAnsi="Cambria Math" w:eastAsia="Cambria Math"/>
          <w:sz w:val="19"/>
        </w:rPr>
      </w:pPr>
      <w:r>
        <w:rPr/>
        <w:pict>
          <v:rect style="position:absolute;margin-left:209.809998pt;margin-top:.018126pt;width:65.4pt;height:1.08pt;mso-position-horizontal-relative:page;mso-position-vertical-relative:paragraph;z-index:-4306278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  <w:sz w:val="23"/>
        </w:rPr>
        <w:t>𝑛</w:t>
      </w:r>
      <w:r>
        <w:rPr>
          <w:rFonts w:ascii="Cambria Math" w:hAnsi="Cambria Math" w:eastAsia="Cambria Math"/>
          <w:spacing w:val="-14"/>
          <w:w w:val="110"/>
          <w:sz w:val="23"/>
        </w:rPr>
        <w:t> </w:t>
      </w:r>
      <w:r>
        <w:rPr>
          <w:rFonts w:ascii="Cambria Math" w:hAnsi="Cambria Math" w:eastAsia="Cambria Math"/>
          <w:w w:val="110"/>
          <w:position w:val="1"/>
          <w:sz w:val="23"/>
        </w:rPr>
        <w:t>∑</w:t>
      </w:r>
      <w:r>
        <w:rPr>
          <w:rFonts w:ascii="Cambria Math" w:hAnsi="Cambria Math" w:eastAsia="Cambria Math"/>
          <w:w w:val="110"/>
          <w:position w:val="10"/>
          <w:sz w:val="19"/>
        </w:rPr>
        <w:t>𝑛</w:t>
      </w:r>
    </w:p>
    <w:p>
      <w:pPr>
        <w:spacing w:line="170" w:lineRule="auto" w:before="201"/>
        <w:ind w:left="-40" w:right="0" w:firstLine="0"/>
        <w:jc w:val="left"/>
        <w:rPr>
          <w:rFonts w:ascii="Cambria Math" w:eastAsia="Cambria Math"/>
          <w:sz w:val="32"/>
        </w:rPr>
      </w:pPr>
      <w:r>
        <w:rPr/>
        <w:br w:type="column"/>
      </w:r>
      <w:r>
        <w:rPr>
          <w:rFonts w:ascii="Cambria Math" w:eastAsia="Cambria Math"/>
          <w:w w:val="105"/>
          <w:sz w:val="23"/>
        </w:rPr>
        <w:t>[𝑖</w:t>
      </w:r>
      <w:r>
        <w:rPr>
          <w:rFonts w:ascii="Cambria Math" w:eastAsia="Cambria Math"/>
          <w:spacing w:val="2"/>
          <w:w w:val="105"/>
          <w:sz w:val="23"/>
        </w:rPr>
        <w:t> </w:t>
      </w:r>
      <w:r>
        <w:rPr>
          <w:rFonts w:ascii="Cambria Math" w:eastAsia="Cambria Math"/>
          <w:w w:val="105"/>
          <w:sz w:val="23"/>
        </w:rPr>
        <w:t>𝑌</w:t>
      </w:r>
      <w:r>
        <w:rPr>
          <w:rFonts w:ascii="Cambria Math" w:eastAsia="Cambria Math"/>
          <w:w w:val="105"/>
          <w:position w:val="-4"/>
          <w:sz w:val="19"/>
        </w:rPr>
        <w:t>𝑖𝑘</w:t>
      </w:r>
      <w:r>
        <w:rPr>
          <w:rFonts w:ascii="Cambria Math" w:eastAsia="Cambria Math"/>
          <w:w w:val="105"/>
          <w:sz w:val="23"/>
        </w:rPr>
        <w:t>]</w:t>
      </w:r>
      <w:r>
        <w:rPr>
          <w:rFonts w:ascii="Cambria Math" w:eastAsia="Cambria Math"/>
          <w:spacing w:val="12"/>
          <w:w w:val="105"/>
          <w:sz w:val="23"/>
        </w:rPr>
        <w:t> </w:t>
      </w:r>
      <w:r>
        <w:rPr>
          <w:rFonts w:ascii="Cambria Math" w:eastAsia="Cambria Math"/>
          <w:w w:val="105"/>
          <w:position w:val="-18"/>
          <w:sz w:val="32"/>
        </w:rPr>
        <w:t>+</w:t>
      </w:r>
    </w:p>
    <w:p>
      <w:pPr>
        <w:spacing w:line="92" w:lineRule="exact" w:before="0"/>
        <w:ind w:left="140" w:right="0" w:firstLine="0"/>
        <w:jc w:val="left"/>
        <w:rPr>
          <w:rFonts w:ascii="Cambria Math" w:eastAsia="Cambria Math"/>
          <w:sz w:val="19"/>
        </w:rPr>
      </w:pPr>
      <w:r>
        <w:rPr>
          <w:rFonts w:ascii="Cambria Math" w:eastAsia="Cambria Math"/>
          <w:w w:val="115"/>
          <w:position w:val="5"/>
          <w:sz w:val="23"/>
        </w:rPr>
        <w:t>𝑌</w:t>
      </w:r>
      <w:r>
        <w:rPr>
          <w:rFonts w:ascii="Cambria Math" w:eastAsia="Cambria Math"/>
          <w:w w:val="115"/>
          <w:sz w:val="19"/>
        </w:rPr>
        <w:t>𝑖𝑘</w:t>
      </w:r>
    </w:p>
    <w:p>
      <w:pPr>
        <w:spacing w:before="171"/>
        <w:ind w:left="15" w:right="19" w:firstLine="0"/>
        <w:jc w:val="center"/>
        <w:rPr>
          <w:rFonts w:ascii="Cambria Math" w:eastAsia="Cambria Math"/>
          <w:sz w:val="23"/>
        </w:rPr>
      </w:pPr>
      <w:r>
        <w:rPr/>
        <w:br w:type="column"/>
      </w:r>
      <w:r>
        <w:rPr>
          <w:rFonts w:ascii="Cambria Math" w:eastAsia="Cambria Math"/>
          <w:w w:val="105"/>
          <w:sz w:val="23"/>
        </w:rPr>
        <w:t>𝑛+1</w:t>
      </w:r>
    </w:p>
    <w:p>
      <w:pPr>
        <w:pStyle w:val="BodyText"/>
        <w:spacing w:before="2"/>
        <w:rPr>
          <w:rFonts w:ascii="Cambria Math"/>
          <w:sz w:val="3"/>
        </w:rPr>
      </w:pPr>
    </w:p>
    <w:p>
      <w:pPr>
        <w:pStyle w:val="BodyText"/>
        <w:spacing w:line="21" w:lineRule="exact"/>
        <w:ind w:left="33" w:right="-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2.7pt;height:1.1pt;mso-position-horizontal-relative:char;mso-position-vertical-relative:line" coordorigin="0,0" coordsize="454,22">
            <v:rect style="position:absolute;left:0;top:0;width:454;height:2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45" w:lineRule="exact" w:before="23"/>
        <w:ind w:left="10" w:right="19" w:firstLine="0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15"/>
          <w:sz w:val="23"/>
        </w:rPr>
        <w:t>𝑛</w:t>
      </w:r>
    </w:p>
    <w:p>
      <w:pPr>
        <w:pStyle w:val="BodyText"/>
        <w:spacing w:before="3"/>
        <w:rPr>
          <w:rFonts w:ascii="Cambria Math"/>
          <w:sz w:val="30"/>
        </w:rPr>
      </w:pPr>
      <w:r>
        <w:rPr/>
        <w:br w:type="column"/>
      </w:r>
      <w:r>
        <w:rPr>
          <w:rFonts w:ascii="Cambria Math"/>
          <w:sz w:val="30"/>
        </w:rPr>
      </w:r>
    </w:p>
    <w:p>
      <w:pPr>
        <w:pStyle w:val="BodyText"/>
        <w:ind w:left="1540"/>
      </w:pPr>
      <w:r>
        <w:rPr/>
        <w:t>(4.28)</w:t>
      </w:r>
    </w:p>
    <w:p>
      <w:pPr>
        <w:spacing w:after="0"/>
        <w:sectPr>
          <w:type w:val="continuous"/>
          <w:pgSz w:w="12240" w:h="15840"/>
          <w:pgMar w:top="1380" w:bottom="280" w:left="1340" w:right="1320"/>
          <w:cols w:num="5" w:equalWidth="0">
            <w:col w:w="2697" w:space="40"/>
            <w:col w:w="780" w:space="39"/>
            <w:col w:w="917" w:space="40"/>
            <w:col w:w="527" w:space="2162"/>
            <w:col w:w="2378"/>
          </w:cols>
        </w:sectPr>
      </w:pPr>
    </w:p>
    <w:p>
      <w:pPr>
        <w:spacing w:line="190" w:lineRule="exact" w:before="0"/>
        <w:ind w:left="191" w:right="2779" w:firstLine="0"/>
        <w:jc w:val="center"/>
        <w:rPr>
          <w:rFonts w:ascii="Cambria Math" w:eastAsia="Cambria Math"/>
          <w:sz w:val="19"/>
        </w:rPr>
      </w:pPr>
      <w:r>
        <w:rPr>
          <w:rFonts w:ascii="Cambria Math" w:eastAsia="Cambria Math"/>
          <w:w w:val="110"/>
          <w:sz w:val="19"/>
        </w:rPr>
        <w:t>𝑖=1</w:t>
      </w:r>
    </w:p>
    <w:p>
      <w:pPr>
        <w:pStyle w:val="BodyText"/>
        <w:spacing w:before="135"/>
        <w:ind w:left="100"/>
        <w:rPr>
          <w:rFonts w:ascii="Cambria Math" w:hAnsi="Cambria Math" w:eastAsia="Cambria Math"/>
        </w:rPr>
      </w:pPr>
      <w:r>
        <w:rPr>
          <w:spacing w:val="-1"/>
        </w:rPr>
        <w:t>where</w:t>
      </w:r>
      <w:r>
        <w:rPr>
          <w:spacing w:val="18"/>
        </w:rPr>
        <w:t> </w:t>
      </w:r>
      <w:r>
        <w:rPr>
          <w:i/>
        </w:rPr>
        <w:t>n </w:t>
      </w:r>
      <w:r>
        <w:rPr/>
        <w:t>denotes the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in state (</w:t>
      </w:r>
      <w:r>
        <w:rPr>
          <w:i/>
        </w:rPr>
        <w:t>k</w:t>
      </w:r>
      <w:r>
        <w:rPr/>
        <w:t>) while</w:t>
      </w:r>
      <w:r>
        <w:rPr>
          <w:spacing w:val="3"/>
        </w:rPr>
        <w:t> </w:t>
      </w:r>
      <w:r>
        <w:rPr>
          <w:i/>
        </w:rPr>
        <w:t>k</w:t>
      </w:r>
      <w:r>
        <w:rPr>
          <w:i/>
          <w:spacing w:val="-9"/>
        </w:rPr>
        <w:t> </w:t>
      </w:r>
      <w:r>
        <w:rPr>
          <w:rFonts w:ascii="Cambria Math" w:hAnsi="Cambria Math" w:eastAsia="Cambria Math"/>
        </w:rPr>
        <w:t>𝜖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1,2,3,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.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.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37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.</w:t>
      </w:r>
    </w:p>
    <w:p>
      <w:pPr>
        <w:pStyle w:val="BodyText"/>
        <w:spacing w:before="98"/>
        <w:ind w:left="880"/>
      </w:pPr>
      <w:r>
        <w:rPr>
          <w:rFonts w:ascii="Cambria Math" w:hAnsi="Cambria Math" w:eastAsia="Cambria Math"/>
          <w:spacing w:val="-114"/>
        </w:rPr>
        <w:t>𝑌</w:t>
      </w:r>
      <w:r>
        <w:rPr>
          <w:rFonts w:ascii="Cambria Math" w:hAnsi="Cambria Math" w:eastAsia="Cambria Math"/>
          <w:position w:val="5"/>
        </w:rPr>
        <w:t>̅</w:t>
      </w:r>
      <w:r>
        <w:rPr>
          <w:rFonts w:ascii="Cambria Math" w:hAnsi="Cambria Math" w:eastAsia="Cambria Math"/>
          <w:spacing w:val="23"/>
          <w:position w:val="5"/>
        </w:rPr>
        <w:t> </w:t>
      </w:r>
      <w:r>
        <w:rPr/>
        <w:t>indi</w:t>
      </w:r>
      <w:r>
        <w:rPr>
          <w:spacing w:val="-1"/>
        </w:rPr>
        <w:t>ca</w:t>
      </w:r>
      <w:r>
        <w:rPr/>
        <w:t>tes the</w:t>
      </w:r>
      <w:r>
        <w:rPr>
          <w:spacing w:val="-1"/>
        </w:rPr>
        <w:t> a</w:t>
      </w:r>
      <w:r>
        <w:rPr/>
        <w:t>rithm</w:t>
      </w:r>
      <w:r>
        <w:rPr>
          <w:spacing w:val="-1"/>
        </w:rPr>
        <w:t>e</w:t>
      </w:r>
      <w:r>
        <w:rPr/>
        <w:t>tic</w:t>
      </w:r>
      <w:r>
        <w:rPr>
          <w:spacing w:val="1"/>
        </w:rPr>
        <w:t> </w:t>
      </w:r>
      <w:r>
        <w:rPr/>
        <w:t>me</w:t>
      </w:r>
      <w:r>
        <w:rPr>
          <w:spacing w:val="-2"/>
        </w:rPr>
        <w:t>a</w:t>
      </w:r>
      <w:r>
        <w:rPr/>
        <w:t>n income</w:t>
      </w:r>
      <w:r>
        <w:rPr>
          <w:spacing w:val="-1"/>
        </w:rPr>
        <w:t> </w:t>
      </w:r>
      <w:r>
        <w:rPr/>
        <w:t>of h</w:t>
      </w:r>
      <w:r>
        <w:rPr>
          <w:spacing w:val="-1"/>
        </w:rPr>
        <w:t>o</w:t>
      </w:r>
      <w:r>
        <w:rPr/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h</w:t>
      </w:r>
      <w:r>
        <w:rPr>
          <w:spacing w:val="2"/>
        </w:rPr>
        <w:t>o</w:t>
      </w:r>
      <w:r>
        <w:rPr/>
        <w:t>lds’ incom</w:t>
      </w:r>
      <w:r>
        <w:rPr>
          <w:spacing w:val="-1"/>
        </w:rPr>
        <w:t>e</w:t>
      </w:r>
      <w:r>
        <w:rPr/>
        <w:t>s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r</w:t>
      </w:r>
      <w:r>
        <w:rPr/>
        <w:t>om all so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c</w:t>
      </w:r>
      <w:r>
        <w:rPr>
          <w:spacing w:val="-1"/>
        </w:rPr>
        <w:t>es.</w:t>
      </w:r>
    </w:p>
    <w:p>
      <w:pPr>
        <w:pStyle w:val="BodyText"/>
        <w:spacing w:before="148"/>
        <w:ind w:left="880"/>
      </w:pPr>
      <w:r>
        <w:rPr>
          <w:rFonts w:ascii="Cambria Math" w:hAnsi="Cambria Math" w:eastAsia="Cambria Math"/>
        </w:rPr>
        <w:t>𝑌</w:t>
      </w:r>
      <w:r>
        <w:rPr>
          <w:rFonts w:ascii="Cambria Math" w:hAnsi="Cambria Math" w:eastAsia="Cambria Math"/>
          <w:vertAlign w:val="subscript"/>
        </w:rPr>
        <w:t>𝑖𝑘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vertAlign w:val="baseline"/>
        </w:rPr>
        <w:t>is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income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𝑖</w:t>
      </w:r>
      <w:r>
        <w:rPr>
          <w:rFonts w:ascii="Cambria Math" w:hAnsi="Cambria Math" w:eastAsia="Cambria Math"/>
          <w:vertAlign w:val="superscript"/>
        </w:rPr>
        <w:t>𝑡ℎ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vertAlign w:val="baseline"/>
        </w:rPr>
        <w:t>household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𝑘</w:t>
      </w:r>
      <w:r>
        <w:rPr>
          <w:rFonts w:ascii="Cambria Math" w:hAnsi="Cambria Math" w:eastAsia="Cambria Math"/>
          <w:vertAlign w:val="superscript"/>
        </w:rPr>
        <w:t>𝑡ℎ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vertAlign w:val="baseline"/>
        </w:rPr>
        <w:t>state,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𝜖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(1,2,3,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…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𝑁)</w:t>
      </w:r>
      <w:r>
        <w:rPr>
          <w:vertAlign w:val="baseline"/>
        </w:rPr>
        <w:t>.</w:t>
      </w:r>
    </w:p>
    <w:p>
      <w:pPr>
        <w:spacing w:after="0"/>
        <w:sectPr>
          <w:type w:val="continuous"/>
          <w:pgSz w:w="12240" w:h="15840"/>
          <w:pgMar w:top="1380" w:bottom="280" w:left="1340" w:right="1320"/>
        </w:sectPr>
      </w:pPr>
    </w:p>
    <w:p>
      <w:pPr>
        <w:pStyle w:val="Heading5"/>
        <w:numPr>
          <w:ilvl w:val="2"/>
          <w:numId w:val="12"/>
        </w:numPr>
        <w:tabs>
          <w:tab w:pos="821" w:val="left" w:leader="none"/>
        </w:tabs>
        <w:spacing w:line="240" w:lineRule="auto" w:before="77" w:after="0"/>
        <w:ind w:left="820" w:right="0" w:hanging="721"/>
        <w:jc w:val="both"/>
      </w:pPr>
      <w:bookmarkStart w:name="_TOC_250029" w:id="48"/>
      <w:r>
        <w:rPr/>
        <w:t>Generalized</w:t>
      </w:r>
      <w:r>
        <w:rPr>
          <w:spacing w:val="-2"/>
        </w:rPr>
        <w:t> </w:t>
      </w:r>
      <w:r>
        <w:rPr/>
        <w:t>Entropy</w:t>
      </w:r>
      <w:r>
        <w:rPr>
          <w:spacing w:val="-1"/>
        </w:rPr>
        <w:t> </w:t>
      </w:r>
      <w:r>
        <w:rPr/>
        <w:t>(GE)</w:t>
      </w:r>
      <w:r>
        <w:rPr>
          <w:spacing w:val="-2"/>
        </w:rPr>
        <w:t> </w:t>
      </w:r>
      <w:bookmarkEnd w:id="48"/>
      <w:r>
        <w:rPr/>
        <w:t>Method</w:t>
      </w:r>
    </w:p>
    <w:p>
      <w:pPr>
        <w:pStyle w:val="BodyText"/>
        <w:spacing w:line="360" w:lineRule="auto" w:before="19"/>
        <w:ind w:left="100" w:right="115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GE</w:t>
      </w:r>
      <w:r>
        <w:rPr>
          <w:spacing w:val="-13"/>
        </w:rPr>
        <w:t> </w:t>
      </w:r>
      <w:r>
        <w:rPr>
          <w:spacing w:val="-1"/>
        </w:rPr>
        <w:t>method</w:t>
      </w:r>
      <w:r>
        <w:rPr>
          <w:spacing w:val="-12"/>
        </w:rPr>
        <w:t> </w:t>
      </w:r>
      <w:r>
        <w:rPr>
          <w:spacing w:val="-1"/>
        </w:rPr>
        <w:t>measures</w:t>
      </w:r>
      <w:r>
        <w:rPr>
          <w:spacing w:val="-11"/>
        </w:rPr>
        <w:t> </w:t>
      </w:r>
      <w:r>
        <w:rPr>
          <w:spacing w:val="-1"/>
        </w:rPr>
        <w:t>often</w:t>
      </w:r>
      <w:r>
        <w:rPr>
          <w:spacing w:val="-12"/>
        </w:rPr>
        <w:t> </w:t>
      </w:r>
      <w:r>
        <w:rPr>
          <w:spacing w:val="-1"/>
        </w:rPr>
        <w:t>differ</w:t>
      </w:r>
      <w:r>
        <w:rPr>
          <w:spacing w:val="-13"/>
        </w:rPr>
        <w:t> </w:t>
      </w:r>
      <w:r>
        <w:rPr/>
        <w:t>Gini-coefficient</w:t>
      </w:r>
      <w:r>
        <w:rPr>
          <w:spacing w:val="-12"/>
        </w:rPr>
        <w:t> </w:t>
      </w:r>
      <w:r>
        <w:rPr/>
        <w:t>with</w:t>
      </w:r>
      <w:r>
        <w:rPr>
          <w:spacing w:val="-10"/>
        </w:rPr>
        <w:t> </w:t>
      </w:r>
      <w:r>
        <w:rPr/>
        <w:t>respect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weight</w:t>
      </w:r>
      <w:r>
        <w:rPr>
          <w:spacing w:val="-11"/>
        </w:rPr>
        <w:t> </w:t>
      </w:r>
      <w:r>
        <w:rPr/>
        <w:t>given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distances</w:t>
      </w:r>
      <w:r>
        <w:rPr>
          <w:spacing w:val="-57"/>
        </w:rPr>
        <w:t> </w:t>
      </w:r>
      <w:r>
        <w:rPr/>
        <w:t>between</w:t>
      </w:r>
      <w:r>
        <w:rPr>
          <w:spacing w:val="-4"/>
        </w:rPr>
        <w:t> </w:t>
      </w:r>
      <w:r>
        <w:rPr/>
        <w:t>incomes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parts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income</w:t>
      </w:r>
      <w:r>
        <w:rPr>
          <w:spacing w:val="-5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(α).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α</w:t>
      </w:r>
      <w:r>
        <w:rPr>
          <w:spacing w:val="-6"/>
        </w:rPr>
        <w:t> </w:t>
      </w:r>
      <w:r>
        <w:rPr/>
        <w:t>=</w:t>
      </w:r>
      <w:r>
        <w:rPr>
          <w:spacing w:val="-4"/>
        </w:rPr>
        <w:t> </w:t>
      </w:r>
      <w:r>
        <w:rPr/>
        <w:t>0,</w:t>
      </w:r>
      <w:r>
        <w:rPr>
          <w:spacing w:val="-4"/>
        </w:rPr>
        <w:t> </w:t>
      </w:r>
      <w:r>
        <w:rPr/>
        <w:t>GE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known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Theil’s</w:t>
      </w:r>
      <w:r>
        <w:rPr>
          <w:spacing w:val="-58"/>
        </w:rPr>
        <w:t> </w:t>
      </w:r>
      <w:r>
        <w:rPr/>
        <w:t>L Index or Mean Log Deviation (MLD). But when α = 1, it is called Theil’s T index (see Bayar</w:t>
      </w:r>
      <w:r>
        <w:rPr>
          <w:spacing w:val="1"/>
        </w:rPr>
        <w:t> </w:t>
      </w:r>
      <w:r>
        <w:rPr/>
        <w:t>2016).</w:t>
      </w:r>
      <w:r>
        <w:rPr>
          <w:spacing w:val="-1"/>
        </w:rPr>
        <w:t> </w:t>
      </w:r>
      <w:r>
        <w:rPr/>
        <w:t>Generally, GE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given</w:t>
      </w:r>
      <w:r>
        <w:rPr>
          <w:spacing w:val="1"/>
        </w:rPr>
        <w:t> </w:t>
      </w:r>
      <w:r>
        <w:rPr/>
        <w:t>as: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tabs>
          <w:tab w:pos="1866" w:val="left" w:leader="none"/>
          <w:tab w:pos="2433" w:val="left" w:leader="none"/>
          <w:tab w:pos="2844" w:val="left" w:leader="none"/>
        </w:tabs>
        <w:spacing w:line="115" w:lineRule="exact" w:before="4"/>
        <w:ind w:left="1540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w w:val="105"/>
          <w:sz w:val="24"/>
        </w:rPr>
        <w:t>𝐼</w:t>
        <w:tab/>
        <w:t>=</w:t>
        <w:tab/>
      </w:r>
      <w:r>
        <w:rPr>
          <w:rFonts w:ascii="Cambria Math" w:hAnsi="Cambria Math" w:eastAsia="Cambria Math"/>
          <w:w w:val="105"/>
          <w:position w:val="14"/>
          <w:sz w:val="17"/>
        </w:rPr>
        <w:t>1</w:t>
        <w:tab/>
      </w:r>
      <w:r>
        <w:rPr>
          <w:rFonts w:ascii="Cambria Math" w:hAnsi="Cambria Math" w:eastAsia="Cambria Math"/>
          <w:w w:val="105"/>
          <w:sz w:val="24"/>
        </w:rPr>
        <w:t>[</w:t>
      </w:r>
      <w:r>
        <w:rPr>
          <w:rFonts w:ascii="Cambria Math" w:hAnsi="Cambria Math" w:eastAsia="Cambria Math"/>
          <w:w w:val="105"/>
          <w:position w:val="14"/>
          <w:sz w:val="17"/>
        </w:rPr>
        <w:t>1 </w:t>
      </w:r>
      <w:r>
        <w:rPr>
          <w:rFonts w:ascii="Cambria Math" w:hAnsi="Cambria Math" w:eastAsia="Cambria Math"/>
          <w:spacing w:val="14"/>
          <w:w w:val="105"/>
          <w:position w:val="14"/>
          <w:sz w:val="17"/>
        </w:rPr>
        <w:t> </w:t>
      </w:r>
      <w:r>
        <w:rPr>
          <w:rFonts w:ascii="Cambria Math" w:hAnsi="Cambria Math" w:eastAsia="Cambria Math"/>
          <w:spacing w:val="-92"/>
          <w:w w:val="105"/>
          <w:position w:val="1"/>
          <w:sz w:val="24"/>
        </w:rPr>
        <w:t>∑</w:t>
      </w:r>
      <w:r>
        <w:rPr>
          <w:rFonts w:ascii="Cambria Math" w:hAnsi="Cambria Math" w:eastAsia="Cambria Math"/>
          <w:spacing w:val="-92"/>
          <w:w w:val="105"/>
          <w:position w:val="1"/>
          <w:sz w:val="24"/>
          <w:vertAlign w:val="superscript"/>
        </w:rPr>
        <w:t>𝑛</w:t>
      </w:r>
    </w:p>
    <w:p>
      <w:pPr>
        <w:pStyle w:val="BodyText"/>
        <w:spacing w:before="5"/>
        <w:rPr>
          <w:rFonts w:ascii="Cambria Math"/>
          <w:sz w:val="9"/>
        </w:rPr>
      </w:pPr>
    </w:p>
    <w:p>
      <w:pPr>
        <w:pStyle w:val="BodyText"/>
        <w:spacing w:line="20" w:lineRule="exact"/>
        <w:ind w:left="2164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1.95pt;height:.85pt;mso-position-horizontal-relative:char;mso-position-vertical-relative:line" coordorigin="0,0" coordsize="639,17">
            <v:rect style="position:absolute;left:0;top:0;width:639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spacing w:val="106"/>
          <w:sz w:val="2"/>
        </w:rPr>
        <w:t> </w:t>
      </w:r>
      <w:r>
        <w:rPr>
          <w:rFonts w:ascii="Cambria Math"/>
          <w:spacing w:val="106"/>
          <w:sz w:val="2"/>
        </w:rPr>
        <w:pict>
          <v:group style="width:5.65pt;height:.85pt;mso-position-horizontal-relative:char;mso-position-vertical-relative:line" coordorigin="0,0" coordsize="113,17">
            <v:rect style="position:absolute;left:0;top:0;width:113;height:17" filled="true" fillcolor="#000000" stroked="false">
              <v:fill type="solid"/>
            </v:rect>
          </v:group>
        </w:pict>
      </w:r>
      <w:r>
        <w:rPr>
          <w:rFonts w:ascii="Cambria Math"/>
          <w:spacing w:val="106"/>
          <w:sz w:val="2"/>
        </w:rPr>
      </w:r>
    </w:p>
    <w:p>
      <w:pPr>
        <w:spacing w:line="113" w:lineRule="exact" w:before="6"/>
        <w:ind w:left="39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30"/>
          <w:position w:val="5"/>
          <w:sz w:val="17"/>
        </w:rPr>
        <w:t>𝑌</w:t>
      </w:r>
      <w:r>
        <w:rPr>
          <w:rFonts w:ascii="Cambria Math" w:eastAsia="Cambria Math"/>
          <w:w w:val="130"/>
          <w:position w:val="1"/>
          <w:sz w:val="14"/>
        </w:rPr>
        <w:t>𝑖 </w:t>
      </w:r>
      <w:r>
        <w:rPr>
          <w:rFonts w:ascii="Cambria Math" w:eastAsia="Cambria Math"/>
          <w:spacing w:val="6"/>
          <w:w w:val="130"/>
          <w:position w:val="1"/>
          <w:sz w:val="14"/>
        </w:rPr>
        <w:t> </w:t>
      </w:r>
      <w:r>
        <w:rPr>
          <w:rFonts w:ascii="Cambria Math" w:eastAsia="Cambria Math"/>
          <w:w w:val="130"/>
          <w:sz w:val="17"/>
        </w:rPr>
        <w:t>𝖺</w:t>
      </w:r>
    </w:p>
    <w:p>
      <w:pPr>
        <w:pStyle w:val="BodyText"/>
        <w:spacing w:before="4"/>
        <w:rPr>
          <w:rFonts w:ascii="Cambria Math"/>
          <w:sz w:val="9"/>
        </w:rPr>
      </w:pPr>
    </w:p>
    <w:p>
      <w:pPr>
        <w:pStyle w:val="BodyText"/>
        <w:spacing w:line="20" w:lineRule="exact"/>
        <w:ind w:left="39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8.3pt;height:.85pt;mso-position-horizontal-relative:char;mso-position-vertical-relative:line" coordorigin="0,0" coordsize="166,17">
            <v:rect style="position:absolute;left:0;top:0;width:16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37" w:lineRule="exact" w:before="82"/>
        <w:ind w:left="1540"/>
      </w:pPr>
      <w:r>
        <w:rPr/>
        <w:br w:type="column"/>
      </w:r>
      <w:r>
        <w:rPr/>
        <w:t>(4.30)</w:t>
      </w:r>
    </w:p>
    <w:p>
      <w:pPr>
        <w:spacing w:after="0" w:line="37" w:lineRule="exact"/>
        <w:sectPr>
          <w:type w:val="continuous"/>
          <w:pgSz w:w="12240" w:h="15840"/>
          <w:pgMar w:top="1380" w:bottom="280" w:left="1340" w:right="1320"/>
          <w:cols w:num="3" w:equalWidth="0">
            <w:col w:w="3363" w:space="40"/>
            <w:col w:w="823" w:space="2975"/>
            <w:col w:w="2379"/>
          </w:cols>
        </w:sectPr>
      </w:pPr>
    </w:p>
    <w:p>
      <w:pPr>
        <w:tabs>
          <w:tab w:pos="2164" w:val="left" w:leader="none"/>
        </w:tabs>
        <w:spacing w:line="215" w:lineRule="exact" w:before="0"/>
        <w:ind w:left="1617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25"/>
          <w:position w:val="7"/>
          <w:sz w:val="17"/>
        </w:rPr>
        <w:t>𝖺</w:t>
        <w:tab/>
      </w:r>
      <w:r>
        <w:rPr>
          <w:rFonts w:ascii="Cambria Math" w:hAnsi="Cambria Math" w:eastAsia="Cambria Math"/>
          <w:w w:val="115"/>
          <w:sz w:val="17"/>
        </w:rPr>
        <w:t>𝖺(1−</w:t>
      </w:r>
      <w:r>
        <w:rPr>
          <w:rFonts w:ascii="Cambria Math" w:hAnsi="Cambria Math" w:eastAsia="Cambria Math"/>
          <w:spacing w:val="-8"/>
          <w:w w:val="115"/>
          <w:sz w:val="17"/>
        </w:rPr>
        <w:t> </w:t>
      </w:r>
      <w:r>
        <w:rPr>
          <w:rFonts w:ascii="Cambria Math" w:hAnsi="Cambria Math" w:eastAsia="Cambria Math"/>
          <w:w w:val="115"/>
          <w:sz w:val="17"/>
        </w:rPr>
        <w:t>𝖺) </w:t>
      </w:r>
      <w:r>
        <w:rPr>
          <w:rFonts w:ascii="Cambria Math" w:hAnsi="Cambria Math" w:eastAsia="Cambria Math"/>
          <w:spacing w:val="26"/>
          <w:w w:val="115"/>
          <w:sz w:val="17"/>
        </w:rPr>
        <w:t> </w:t>
      </w:r>
      <w:r>
        <w:rPr>
          <w:rFonts w:ascii="Cambria Math" w:hAnsi="Cambria Math" w:eastAsia="Cambria Math"/>
          <w:spacing w:val="-136"/>
          <w:w w:val="115"/>
          <w:sz w:val="17"/>
        </w:rPr>
        <w:t>𝑛</w:t>
      </w:r>
    </w:p>
    <w:p>
      <w:pPr>
        <w:spacing w:line="60" w:lineRule="auto" w:before="0"/>
        <w:ind w:left="173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pacing w:val="5"/>
          <w:w w:val="118"/>
          <w:sz w:val="24"/>
          <w:vertAlign w:val="subscript"/>
        </w:rPr>
        <w:t>𝑖</w:t>
      </w:r>
      <w:r>
        <w:rPr>
          <w:rFonts w:ascii="Cambria Math" w:hAnsi="Cambria Math" w:eastAsia="Cambria Math"/>
          <w:w w:val="103"/>
          <w:sz w:val="24"/>
          <w:vertAlign w:val="subscript"/>
        </w:rPr>
        <w:t>=</w:t>
      </w:r>
      <w:r>
        <w:rPr>
          <w:rFonts w:ascii="Cambria Math" w:hAnsi="Cambria Math" w:eastAsia="Cambria Math"/>
          <w:w w:val="111"/>
          <w:sz w:val="24"/>
          <w:vertAlign w:val="subscript"/>
        </w:rPr>
        <w:t>1</w:t>
      </w:r>
      <w:r>
        <w:rPr>
          <w:rFonts w:ascii="Cambria Math" w:hAnsi="Cambria Math" w:eastAsia="Cambria Math"/>
          <w:spacing w:val="-13"/>
          <w:sz w:val="24"/>
          <w:vertAlign w:val="baseline"/>
        </w:rPr>
        <w:t> </w:t>
      </w:r>
      <w:r>
        <w:rPr>
          <w:rFonts w:ascii="Cambria Math" w:hAnsi="Cambria Math" w:eastAsia="Cambria Math"/>
          <w:spacing w:val="-1"/>
          <w:w w:val="118"/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vertAlign w:val="baseline"/>
        </w:rPr>
        <w:t>(</w:t>
      </w:r>
      <w:r>
        <w:rPr>
          <w:rFonts w:ascii="Cambria Math" w:hAnsi="Cambria Math" w:eastAsia="Cambria Math"/>
          <w:spacing w:val="-26"/>
          <w:sz w:val="24"/>
          <w:vertAlign w:val="baseline"/>
        </w:rPr>
        <w:t> </w:t>
      </w:r>
      <w:r>
        <w:rPr>
          <w:rFonts w:ascii="Cambria Math" w:hAnsi="Cambria Math" w:eastAsia="Cambria Math"/>
          <w:spacing w:val="-81"/>
          <w:w w:val="103"/>
          <w:position w:val="-11"/>
          <w:sz w:val="17"/>
          <w:vertAlign w:val="baseline"/>
        </w:rPr>
        <w:t>𝑌</w:t>
      </w:r>
      <w:r>
        <w:rPr>
          <w:rFonts w:ascii="Cambria Math" w:hAnsi="Cambria Math" w:eastAsia="Cambria Math"/>
          <w:w w:val="100"/>
          <w:position w:val="-8"/>
          <w:sz w:val="17"/>
          <w:vertAlign w:val="baseline"/>
        </w:rPr>
        <w:t>̅</w:t>
      </w:r>
      <w:r>
        <w:rPr>
          <w:rFonts w:ascii="Cambria Math" w:hAnsi="Cambria Math" w:eastAsia="Cambria Math"/>
          <w:spacing w:val="2"/>
          <w:position w:val="-8"/>
          <w:sz w:val="17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)</w:t>
      </w:r>
    </w:p>
    <w:p>
      <w:pPr>
        <w:pStyle w:val="BodyText"/>
        <w:spacing w:line="110" w:lineRule="exact"/>
        <w:ind w:left="141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1)]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]</w:t>
      </w:r>
    </w:p>
    <w:p>
      <w:pPr>
        <w:spacing w:after="0" w:line="110" w:lineRule="exact"/>
        <w:rPr>
          <w:rFonts w:ascii="Cambria Math" w:hAnsi="Cambria Math"/>
        </w:rPr>
        <w:sectPr>
          <w:type w:val="continuous"/>
          <w:pgSz w:w="12240" w:h="15840"/>
          <w:pgMar w:top="1380" w:bottom="280" w:left="1340" w:right="1320"/>
          <w:cols w:num="3" w:equalWidth="0">
            <w:col w:w="3039" w:space="40"/>
            <w:col w:w="986" w:space="39"/>
            <w:col w:w="5476"/>
          </w:cols>
        </w:sectPr>
      </w:pPr>
    </w:p>
    <w:p>
      <w:pPr>
        <w:pStyle w:val="BodyText"/>
        <w:spacing w:before="136"/>
        <w:ind w:left="100"/>
        <w:jc w:val="both"/>
      </w:pPr>
      <w:r>
        <w:rPr/>
        <w:t>where</w:t>
      </w:r>
      <w:r>
        <w:rPr>
          <w:spacing w:val="-1"/>
        </w:rPr>
        <w:t> </w:t>
      </w:r>
      <w:r>
        <w:rPr>
          <w:i/>
        </w:rPr>
        <w:t>α</w:t>
      </w:r>
      <w:r>
        <w:rPr>
          <w:i/>
          <w:spacing w:val="-3"/>
        </w:rPr>
        <w:t> </w:t>
      </w:r>
      <w:r>
        <w:rPr/>
        <w:t>denotes weight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distances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incomes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parts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distribution.</w:t>
      </w:r>
    </w:p>
    <w:p>
      <w:pPr>
        <w:pStyle w:val="BodyText"/>
        <w:spacing w:before="9"/>
        <w:rPr>
          <w:sz w:val="36"/>
        </w:rPr>
      </w:pPr>
    </w:p>
    <w:p>
      <w:pPr>
        <w:pStyle w:val="Heading4"/>
        <w:numPr>
          <w:ilvl w:val="1"/>
          <w:numId w:val="12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</w:pPr>
      <w:bookmarkStart w:name="_TOC_250028" w:id="49"/>
      <w:r>
        <w:rPr/>
        <w:t>Robustness</w:t>
      </w:r>
      <w:r>
        <w:rPr>
          <w:spacing w:val="-1"/>
        </w:rPr>
        <w:t> </w:t>
      </w:r>
      <w:bookmarkEnd w:id="49"/>
      <w:r>
        <w:rPr/>
        <w:t>Checks</w:t>
      </w:r>
    </w:p>
    <w:p>
      <w:pPr>
        <w:pStyle w:val="BodyText"/>
        <w:spacing w:line="360" w:lineRule="auto" w:before="20"/>
        <w:ind w:left="100" w:right="115"/>
        <w:jc w:val="both"/>
      </w:pPr>
      <w:r>
        <w:rPr/>
        <w:t>To check the robustness of the results, the thesis employed alternative econometric techniques as</w:t>
      </w:r>
      <w:r>
        <w:rPr>
          <w:spacing w:val="1"/>
        </w:rPr>
        <w:t> </w:t>
      </w:r>
      <w:r>
        <w:rPr/>
        <w:t>well as use of sub-samples. The study validated the findings. That is, whether the results were</w:t>
      </w:r>
      <w:r>
        <w:rPr>
          <w:spacing w:val="1"/>
        </w:rPr>
        <w:t> </w:t>
      </w:r>
      <w:r>
        <w:rPr/>
        <w:t>sensitive to panel logistic regression employed. Thus, as a robustness check, due to the cross-</w:t>
      </w:r>
      <w:r>
        <w:rPr>
          <w:spacing w:val="1"/>
        </w:rPr>
        <w:t> </w:t>
      </w:r>
      <w:r>
        <w:rPr/>
        <w:t>sectional nature and different levels of the data collection, a Multilevel Logistic regression model</w:t>
      </w:r>
      <w:r>
        <w:rPr>
          <w:spacing w:val="-57"/>
        </w:rPr>
        <w:t> </w:t>
      </w:r>
      <w:r>
        <w:rPr>
          <w:spacing w:val="-1"/>
        </w:rPr>
        <w:t>was</w:t>
      </w:r>
      <w:r>
        <w:rPr>
          <w:spacing w:val="-13"/>
        </w:rPr>
        <w:t> </w:t>
      </w:r>
      <w:r>
        <w:rPr>
          <w:spacing w:val="-1"/>
        </w:rPr>
        <w:t>employed</w:t>
      </w:r>
      <w:r>
        <w:rPr>
          <w:spacing w:val="-13"/>
        </w:rPr>
        <w:t> </w:t>
      </w:r>
      <w:r>
        <w:rPr/>
        <w:t>(see</w:t>
      </w:r>
      <w:r>
        <w:rPr>
          <w:spacing w:val="-14"/>
        </w:rPr>
        <w:t> </w:t>
      </w:r>
      <w:r>
        <w:rPr/>
        <w:t>Rabe-Hesketh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Skrondal,</w:t>
      </w:r>
      <w:r>
        <w:rPr>
          <w:spacing w:val="-13"/>
        </w:rPr>
        <w:t> </w:t>
      </w:r>
      <w:r>
        <w:rPr/>
        <w:t>2006).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is</w:t>
      </w:r>
      <w:r>
        <w:rPr>
          <w:spacing w:val="-15"/>
        </w:rPr>
        <w:t> </w:t>
      </w:r>
      <w:r>
        <w:rPr/>
        <w:t>important</w:t>
      </w:r>
      <w:r>
        <w:rPr>
          <w:spacing w:val="-13"/>
        </w:rPr>
        <w:t> </w:t>
      </w:r>
      <w:r>
        <w:rPr/>
        <w:t>because</w:t>
      </w:r>
      <w:r>
        <w:rPr>
          <w:spacing w:val="-14"/>
        </w:rPr>
        <w:t> </w:t>
      </w:r>
      <w:r>
        <w:rPr/>
        <w:t>subjective</w:t>
      </w:r>
      <w:r>
        <w:rPr>
          <w:spacing w:val="-13"/>
        </w:rPr>
        <w:t> </w:t>
      </w:r>
      <w:r>
        <w:rPr/>
        <w:t>health</w:t>
      </w:r>
      <w:r>
        <w:rPr>
          <w:spacing w:val="-58"/>
        </w:rPr>
        <w:t> </w:t>
      </w:r>
      <w:r>
        <w:rPr/>
        <w:t>outcomes are often determined by factors on different levels, ranging from the individual level to</w:t>
      </w:r>
      <w:r>
        <w:rPr>
          <w:spacing w:val="-57"/>
        </w:rPr>
        <w:t> </w:t>
      </w:r>
      <w:r>
        <w:rPr/>
        <w:t>the state level. Thus, a single-level analysis may be flaws. Different analysis was also done for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waves separately.</w:t>
      </w:r>
    </w:p>
    <w:p>
      <w:pPr>
        <w:pStyle w:val="BodyText"/>
        <w:spacing w:line="360" w:lineRule="auto" w:before="115"/>
        <w:ind w:left="100" w:right="117"/>
        <w:jc w:val="both"/>
      </w:pPr>
      <w:r>
        <w:rPr/>
        <w:t>In addition, much of the debate on income inequality generally focus on the differences between</w:t>
      </w:r>
      <w:r>
        <w:rPr>
          <w:spacing w:val="1"/>
        </w:rPr>
        <w:t> </w:t>
      </w:r>
      <w:r>
        <w:rPr>
          <w:spacing w:val="-1"/>
        </w:rPr>
        <w:t>sub-groups</w:t>
      </w:r>
      <w:r>
        <w:rPr>
          <w:spacing w:val="-15"/>
        </w:rPr>
        <w:t> </w:t>
      </w:r>
      <w:r>
        <w:rPr/>
        <w:t>(Kragten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Rozer,</w:t>
      </w:r>
      <w:r>
        <w:rPr>
          <w:spacing w:val="-16"/>
        </w:rPr>
        <w:t> </w:t>
      </w:r>
      <w:r>
        <w:rPr/>
        <w:t>2017).</w:t>
      </w:r>
      <w:r>
        <w:rPr>
          <w:spacing w:val="-15"/>
        </w:rPr>
        <w:t> </w:t>
      </w:r>
      <w:r>
        <w:rPr/>
        <w:t>Therefore,</w:t>
      </w:r>
      <w:r>
        <w:rPr>
          <w:spacing w:val="-12"/>
        </w:rPr>
        <w:t> </w:t>
      </w:r>
      <w:r>
        <w:rPr/>
        <w:t>separate</w:t>
      </w:r>
      <w:r>
        <w:rPr>
          <w:spacing w:val="-16"/>
        </w:rPr>
        <w:t> </w:t>
      </w:r>
      <w:r>
        <w:rPr/>
        <w:t>estimations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conducted</w:t>
      </w:r>
      <w:r>
        <w:rPr>
          <w:spacing w:val="-13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sub-</w:t>
      </w:r>
      <w:r>
        <w:rPr>
          <w:spacing w:val="-58"/>
        </w:rPr>
        <w:t> </w:t>
      </w:r>
      <w:r>
        <w:rPr/>
        <w:t>sample of households – those households below average incomes for the states, and those with</w:t>
      </w:r>
      <w:r>
        <w:rPr>
          <w:spacing w:val="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incomes.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280" w:left="1340" w:right="1320"/>
        </w:sectPr>
      </w:pPr>
    </w:p>
    <w:p>
      <w:pPr>
        <w:pStyle w:val="Heading1"/>
        <w:ind w:left="1949" w:right="1965"/>
      </w:pPr>
      <w:bookmarkStart w:name="_TOC_250027" w:id="50"/>
      <w:r>
        <w:rPr/>
        <w:t>CHAPTER</w:t>
      </w:r>
      <w:r>
        <w:rPr>
          <w:spacing w:val="-4"/>
        </w:rPr>
        <w:t> </w:t>
      </w:r>
      <w:bookmarkEnd w:id="50"/>
      <w:r>
        <w:rPr/>
        <w:t>FIVE</w:t>
      </w:r>
    </w:p>
    <w:p>
      <w:pPr>
        <w:spacing w:before="160"/>
        <w:ind w:left="1949" w:right="1966" w:firstLine="0"/>
        <w:jc w:val="center"/>
        <w:rPr>
          <w:b/>
          <w:sz w:val="28"/>
        </w:rPr>
      </w:pPr>
      <w:r>
        <w:rPr>
          <w:b/>
          <w:sz w:val="28"/>
        </w:rPr>
        <w:t>RESULTS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DISCUSSION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FINDINGS</w:t>
      </w:r>
    </w:p>
    <w:p>
      <w:pPr>
        <w:pStyle w:val="Heading4"/>
        <w:numPr>
          <w:ilvl w:val="1"/>
          <w:numId w:val="13"/>
        </w:numPr>
        <w:tabs>
          <w:tab w:pos="821" w:val="left" w:leader="none"/>
        </w:tabs>
        <w:spacing w:line="240" w:lineRule="auto" w:before="200" w:after="0"/>
        <w:ind w:left="820" w:right="0" w:hanging="721"/>
        <w:jc w:val="both"/>
      </w:pPr>
      <w:bookmarkStart w:name="_TOC_250026" w:id="51"/>
      <w:bookmarkEnd w:id="51"/>
      <w:r>
        <w:rPr/>
        <w:t>Introduction</w:t>
      </w:r>
    </w:p>
    <w:p>
      <w:pPr>
        <w:pStyle w:val="BodyText"/>
        <w:spacing w:line="360" w:lineRule="auto" w:before="20"/>
        <w:ind w:left="100" w:right="116"/>
        <w:jc w:val="both"/>
      </w:pPr>
      <w:r>
        <w:rPr/>
        <w:t>Detailed presentation and discussion of empirical results are presented in four sections. First, are</w:t>
      </w:r>
      <w:r>
        <w:rPr>
          <w:spacing w:val="1"/>
        </w:rPr>
        <w:t> </w:t>
      </w:r>
      <w:r>
        <w:rPr/>
        <w:t>the findings from descriptive statistics. This followed by the exploration of socio-economic and</w:t>
      </w:r>
      <w:r>
        <w:rPr>
          <w:spacing w:val="1"/>
        </w:rPr>
        <w:t> </w:t>
      </w:r>
      <w:r>
        <w:rPr/>
        <w:t>demographic characteristics of households. Income inequality indices of households across states</w:t>
      </w:r>
      <w:r>
        <w:rPr>
          <w:spacing w:val="-57"/>
        </w:rPr>
        <w:t> </w:t>
      </w:r>
      <w:r>
        <w:rPr/>
        <w:t>and</w:t>
      </w:r>
      <w:r>
        <w:rPr>
          <w:spacing w:val="-5"/>
        </w:rPr>
        <w:t> </w:t>
      </w:r>
      <w:r>
        <w:rPr/>
        <w:t>geo-political</w:t>
      </w:r>
      <w:r>
        <w:rPr>
          <w:spacing w:val="-6"/>
        </w:rPr>
        <w:t> </w:t>
      </w:r>
      <w:r>
        <w:rPr/>
        <w:t>zones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5"/>
        </w:rPr>
        <w:t> </w:t>
      </w:r>
      <w:r>
        <w:rPr/>
        <w:t>were</w:t>
      </w:r>
      <w:r>
        <w:rPr>
          <w:spacing w:val="-7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next.</w:t>
      </w:r>
      <w:r>
        <w:rPr>
          <w:spacing w:val="-6"/>
        </w:rPr>
        <w:t> </w:t>
      </w:r>
      <w:r>
        <w:rPr/>
        <w:t>Finally,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panel</w:t>
      </w:r>
      <w:r>
        <w:rPr>
          <w:spacing w:val="-6"/>
        </w:rPr>
        <w:t> </w:t>
      </w:r>
      <w:r>
        <w:rPr/>
        <w:t>logistic</w:t>
      </w:r>
      <w:r>
        <w:rPr>
          <w:spacing w:val="-58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were clearly</w:t>
      </w:r>
      <w:r>
        <w:rPr>
          <w:spacing w:val="-3"/>
        </w:rPr>
        <w:t> </w:t>
      </w:r>
      <w:r>
        <w:rPr/>
        <w:t>explored.</w:t>
      </w:r>
    </w:p>
    <w:p>
      <w:pPr>
        <w:pStyle w:val="Heading4"/>
        <w:numPr>
          <w:ilvl w:val="1"/>
          <w:numId w:val="13"/>
        </w:numPr>
        <w:tabs>
          <w:tab w:pos="821" w:val="left" w:leader="none"/>
        </w:tabs>
        <w:spacing w:line="240" w:lineRule="auto" w:before="182" w:after="0"/>
        <w:ind w:left="820" w:right="0" w:hanging="721"/>
        <w:jc w:val="both"/>
      </w:pPr>
      <w:bookmarkStart w:name="_TOC_250025" w:id="52"/>
      <w:r>
        <w:rPr/>
        <w:t>Descriptive</w:t>
      </w:r>
      <w:r>
        <w:rPr>
          <w:spacing w:val="-4"/>
        </w:rPr>
        <w:t> </w:t>
      </w:r>
      <w:bookmarkEnd w:id="52"/>
      <w:r>
        <w:rPr/>
        <w:t>Statistics</w:t>
      </w:r>
    </w:p>
    <w:p>
      <w:pPr>
        <w:pStyle w:val="BodyText"/>
        <w:spacing w:line="360" w:lineRule="auto" w:before="19"/>
        <w:ind w:left="100" w:right="113"/>
        <w:jc w:val="both"/>
      </w:pPr>
      <w:r>
        <w:rPr/>
        <w:t>Table</w:t>
      </w:r>
      <w:r>
        <w:rPr>
          <w:spacing w:val="-7"/>
        </w:rPr>
        <w:t> </w:t>
      </w:r>
      <w:r>
        <w:rPr/>
        <w:t>5.1</w:t>
      </w:r>
      <w:r>
        <w:rPr>
          <w:spacing w:val="-6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descriptive</w:t>
      </w:r>
      <w:r>
        <w:rPr>
          <w:spacing w:val="-7"/>
        </w:rPr>
        <w:t> </w:t>
      </w:r>
      <w:r>
        <w:rPr/>
        <w:t>statistics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used.</w:t>
      </w:r>
      <w:r>
        <w:rPr>
          <w:spacing w:val="-6"/>
        </w:rPr>
        <w:t> </w:t>
      </w:r>
      <w:r>
        <w:rPr/>
        <w:t>Respective</w:t>
      </w:r>
      <w:r>
        <w:rPr>
          <w:spacing w:val="-4"/>
        </w:rPr>
        <w:t> </w:t>
      </w:r>
      <w:r>
        <w:rPr/>
        <w:t>columns</w:t>
      </w:r>
      <w:r>
        <w:rPr>
          <w:spacing w:val="-6"/>
        </w:rPr>
        <w:t> </w:t>
      </w:r>
      <w:r>
        <w:rPr/>
        <w:t>show</w:t>
      </w:r>
      <w:r>
        <w:rPr>
          <w:spacing w:val="-7"/>
        </w:rPr>
        <w:t> </w:t>
      </w:r>
      <w:r>
        <w:rPr/>
        <w:t>findings</w:t>
      </w:r>
      <w:r>
        <w:rPr>
          <w:spacing w:val="-57"/>
        </w:rPr>
        <w:t> </w:t>
      </w:r>
      <w:r>
        <w:rPr/>
        <w:t>from Wave I (2010), Wave II (2013), Wave 3 (2016), Wave 4 (2019) and the aggregate averages</w:t>
      </w:r>
      <w:r>
        <w:rPr>
          <w:spacing w:val="1"/>
        </w:rPr>
        <w:t> </w:t>
      </w:r>
      <w:r>
        <w:rPr/>
        <w:t>from all waves, respectively. The average reported illness in the four weeks preceding the survey</w:t>
      </w:r>
      <w:r>
        <w:rPr>
          <w:spacing w:val="-57"/>
        </w:rPr>
        <w:t> </w:t>
      </w:r>
      <w:r>
        <w:rPr/>
        <w:t>increased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1.72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Wave</w:t>
      </w:r>
      <w:r>
        <w:rPr>
          <w:spacing w:val="-5"/>
        </w:rPr>
        <w:t> </w:t>
      </w:r>
      <w:r>
        <w:rPr/>
        <w:t>I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1.81</w:t>
      </w:r>
      <w:r>
        <w:rPr>
          <w:spacing w:val="-6"/>
        </w:rPr>
        <w:t> </w:t>
      </w:r>
      <w:r>
        <w:rPr/>
        <w:t>(Wave</w:t>
      </w:r>
      <w:r>
        <w:rPr>
          <w:spacing w:val="-6"/>
        </w:rPr>
        <w:t> </w:t>
      </w:r>
      <w:r>
        <w:rPr/>
        <w:t>2).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statistics</w:t>
      </w:r>
      <w:r>
        <w:rPr>
          <w:spacing w:val="-5"/>
        </w:rPr>
        <w:t> </w:t>
      </w:r>
      <w:r>
        <w:rPr/>
        <w:t>further</w:t>
      </w:r>
      <w:r>
        <w:rPr>
          <w:spacing w:val="-7"/>
        </w:rPr>
        <w:t> </w:t>
      </w:r>
      <w:r>
        <w:rPr/>
        <w:t>increased</w:t>
      </w:r>
      <w:r>
        <w:rPr>
          <w:spacing w:val="-5"/>
        </w:rPr>
        <w:t> </w:t>
      </w:r>
      <w:r>
        <w:rPr/>
        <w:t>steadily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/>
        <w:t>1.91</w:t>
      </w:r>
      <w:r>
        <w:rPr>
          <w:spacing w:val="-5"/>
        </w:rPr>
        <w:t> </w:t>
      </w:r>
      <w:r>
        <w:rPr/>
        <w:t>in</w:t>
      </w:r>
      <w:r>
        <w:rPr>
          <w:spacing w:val="-57"/>
        </w:rPr>
        <w:t> </w:t>
      </w:r>
      <w:r>
        <w:rPr/>
        <w:t>Wave 4, compare to 1.86 in Wave 3. However, the aggregate average for all the waves was 1.83.</w:t>
      </w:r>
      <w:r>
        <w:rPr>
          <w:spacing w:val="1"/>
        </w:rPr>
        <w:t> </w:t>
      </w:r>
      <w:r>
        <w:rPr/>
        <w:t>These results suggest that poor health outcomes from chronic ailments such as dementia (loss of</w:t>
      </w:r>
      <w:r>
        <w:rPr>
          <w:spacing w:val="1"/>
        </w:rPr>
        <w:t> </w:t>
      </w:r>
      <w:r>
        <w:rPr/>
        <w:t>memory),</w:t>
      </w:r>
      <w:r>
        <w:rPr>
          <w:spacing w:val="-3"/>
        </w:rPr>
        <w:t> </w:t>
      </w:r>
      <w:r>
        <w:rPr/>
        <w:t>stroke,</w:t>
      </w:r>
      <w:r>
        <w:rPr>
          <w:spacing w:val="-1"/>
        </w:rPr>
        <w:t> </w:t>
      </w:r>
      <w:r>
        <w:rPr/>
        <w:t>hypertension,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heart</w:t>
      </w:r>
      <w:r>
        <w:rPr>
          <w:spacing w:val="-4"/>
        </w:rPr>
        <w:t> </w:t>
      </w:r>
      <w:r>
        <w:rPr/>
        <w:t>diseases are</w:t>
      </w:r>
      <w:r>
        <w:rPr>
          <w:spacing w:val="-3"/>
        </w:rPr>
        <w:t> </w:t>
      </w:r>
      <w:r>
        <w:rPr/>
        <w:t>increasing</w:t>
      </w:r>
      <w:r>
        <w:rPr>
          <w:spacing w:val="-2"/>
        </w:rPr>
        <w:t> </w:t>
      </w:r>
      <w:r>
        <w:rPr/>
        <w:t>in Nigeria.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surprising</w:t>
      </w:r>
      <w:r>
        <w:rPr>
          <w:spacing w:val="-58"/>
        </w:rPr>
        <w:t> </w:t>
      </w:r>
      <w:r>
        <w:rPr/>
        <w:t>as it is consistent with WHO’s report that documented an increase in the prevalence of various</w:t>
      </w:r>
      <w:r>
        <w:rPr>
          <w:spacing w:val="1"/>
        </w:rPr>
        <w:t> </w:t>
      </w:r>
      <w:r>
        <w:rPr/>
        <w:t>NCDs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recent</w:t>
      </w:r>
      <w:r>
        <w:rPr>
          <w:spacing w:val="-8"/>
        </w:rPr>
        <w:t> </w:t>
      </w:r>
      <w:r>
        <w:rPr/>
        <w:t>years</w:t>
      </w:r>
      <w:r>
        <w:rPr>
          <w:spacing w:val="-13"/>
        </w:rPr>
        <w:t> </w:t>
      </w:r>
      <w:r>
        <w:rPr/>
        <w:t>(WHO,</w:t>
      </w:r>
      <w:r>
        <w:rPr>
          <w:spacing w:val="-13"/>
        </w:rPr>
        <w:t> </w:t>
      </w:r>
      <w:r>
        <w:rPr/>
        <w:t>2018b).</w:t>
      </w:r>
      <w:r>
        <w:rPr>
          <w:spacing w:val="-9"/>
        </w:rPr>
        <w:t> </w:t>
      </w:r>
      <w:r>
        <w:rPr/>
        <w:t>Data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recent</w:t>
      </w:r>
      <w:r>
        <w:rPr>
          <w:spacing w:val="-10"/>
        </w:rPr>
        <w:t> </w:t>
      </w:r>
      <w:r>
        <w:rPr/>
        <w:t>NGHPS</w:t>
      </w:r>
      <w:r>
        <w:rPr>
          <w:spacing w:val="-12"/>
        </w:rPr>
        <w:t> </w:t>
      </w:r>
      <w:r>
        <w:rPr/>
        <w:t>(2019)</w:t>
      </w:r>
      <w:r>
        <w:rPr>
          <w:spacing w:val="-14"/>
        </w:rPr>
        <w:t> </w:t>
      </w:r>
      <w:r>
        <w:rPr/>
        <w:t>also</w:t>
      </w:r>
      <w:r>
        <w:rPr>
          <w:spacing w:val="-12"/>
        </w:rPr>
        <w:t> </w:t>
      </w:r>
      <w:r>
        <w:rPr/>
        <w:t>indicated</w:t>
      </w:r>
      <w:r>
        <w:rPr>
          <w:spacing w:val="-14"/>
        </w:rPr>
        <w:t> </w:t>
      </w:r>
      <w:r>
        <w:rPr/>
        <w:t>that</w:t>
      </w:r>
      <w:r>
        <w:rPr>
          <w:spacing w:val="-8"/>
        </w:rPr>
        <w:t> </w:t>
      </w:r>
      <w:r>
        <w:rPr/>
        <w:t>23%</w:t>
      </w:r>
      <w:r>
        <w:rPr>
          <w:spacing w:val="-57"/>
        </w:rPr>
        <w:t> </w:t>
      </w:r>
      <w:r>
        <w:rPr/>
        <w:t>and 25% of men and women, respectively, reported having an illness in the four weeks preceding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NGHPS Wave</w:t>
      </w:r>
      <w:r>
        <w:rPr>
          <w:spacing w:val="-2"/>
        </w:rPr>
        <w:t> </w:t>
      </w:r>
      <w:r>
        <w:rPr/>
        <w:t>4 survey,</w:t>
      </w:r>
      <w:r>
        <w:rPr>
          <w:spacing w:val="1"/>
        </w:rPr>
        <w:t> </w:t>
      </w:r>
      <w:r>
        <w:rPr/>
        <w:t>compared to 14%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15%</w:t>
      </w:r>
      <w:r>
        <w:rPr>
          <w:spacing w:val="-2"/>
        </w:rPr>
        <w:t> </w:t>
      </w:r>
      <w:r>
        <w:rPr/>
        <w:t>in Wave</w:t>
      </w:r>
      <w:r>
        <w:rPr>
          <w:spacing w:val="-2"/>
        </w:rPr>
        <w:t> </w:t>
      </w:r>
      <w:r>
        <w:rPr/>
        <w:t>3, respectively.</w:t>
      </w:r>
    </w:p>
    <w:p>
      <w:pPr>
        <w:pStyle w:val="BodyText"/>
        <w:spacing w:line="360" w:lineRule="auto" w:before="184"/>
        <w:ind w:left="100" w:right="115"/>
        <w:jc w:val="both"/>
      </w:pPr>
      <w:r>
        <w:rPr/>
        <w:t>The table further indicates that the mean of households’ responds to appropriate medical-care</w:t>
      </w:r>
      <w:r>
        <w:rPr>
          <w:spacing w:val="1"/>
        </w:rPr>
        <w:t> </w:t>
      </w:r>
      <w:r>
        <w:rPr/>
        <w:t>consultation</w:t>
      </w:r>
      <w:r>
        <w:rPr>
          <w:spacing w:val="-3"/>
        </w:rPr>
        <w:t> </w:t>
      </w:r>
      <w:r>
        <w:rPr/>
        <w:t>declines</w:t>
      </w:r>
      <w:r>
        <w:rPr>
          <w:spacing w:val="-4"/>
        </w:rPr>
        <w:t> </w:t>
      </w:r>
      <w:r>
        <w:rPr/>
        <w:t>over</w:t>
      </w:r>
      <w:r>
        <w:rPr>
          <w:spacing w:val="-5"/>
        </w:rPr>
        <w:t> </w:t>
      </w:r>
      <w:r>
        <w:rPr/>
        <w:t>time.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statistics</w:t>
      </w:r>
      <w:r>
        <w:rPr>
          <w:spacing w:val="-4"/>
        </w:rPr>
        <w:t> </w:t>
      </w:r>
      <w:r>
        <w:rPr/>
        <w:t>decrease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5.03</w:t>
      </w:r>
      <w:r>
        <w:rPr>
          <w:spacing w:val="-4"/>
        </w:rPr>
        <w:t> </w:t>
      </w:r>
      <w:r>
        <w:rPr/>
        <w:t>(Wave</w:t>
      </w:r>
      <w:r>
        <w:rPr>
          <w:spacing w:val="-1"/>
        </w:rPr>
        <w:t> </w:t>
      </w:r>
      <w:r>
        <w:rPr/>
        <w:t>I),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5.01</w:t>
      </w:r>
      <w:r>
        <w:rPr>
          <w:spacing w:val="-4"/>
        </w:rPr>
        <w:t> </w:t>
      </w:r>
      <w:r>
        <w:rPr/>
        <w:t>(Wave</w:t>
      </w:r>
      <w:r>
        <w:rPr>
          <w:spacing w:val="-5"/>
        </w:rPr>
        <w:t> </w:t>
      </w:r>
      <w:r>
        <w:rPr/>
        <w:t>2),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persistently reduce from 4.95 in Wave 3 to 3.54 in Wave 4. Compared to all the wave’s means of</w:t>
      </w:r>
      <w:r>
        <w:rPr>
          <w:spacing w:val="-57"/>
        </w:rPr>
        <w:t> </w:t>
      </w:r>
      <w:r>
        <w:rPr/>
        <w:t>4.63, Wave 4 recorded the least average. Its then implies that less than average respondents have</w:t>
      </w:r>
      <w:r>
        <w:rPr>
          <w:spacing w:val="1"/>
        </w:rPr>
        <w:t> </w:t>
      </w:r>
      <w:r>
        <w:rPr/>
        <w:t>appropriate healthcare-seeking in recent periods. This is alarming because despite the prevalence</w:t>
      </w:r>
      <w:r>
        <w:rPr>
          <w:spacing w:val="1"/>
        </w:rPr>
        <w:t> </w:t>
      </w:r>
      <w:r>
        <w:rPr/>
        <w:t>of illness in Nigeria, households are probably utilizing inappropriate healthcare from traditional</w:t>
      </w:r>
      <w:r>
        <w:rPr>
          <w:spacing w:val="1"/>
        </w:rPr>
        <w:t> </w:t>
      </w:r>
      <w:r>
        <w:rPr/>
        <w:t>and herbal alternatives, self-medication and other health service providers. These relates strongly</w:t>
      </w:r>
      <w:r>
        <w:rPr>
          <w:spacing w:val="-57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/>
        <w:t>demand-side</w:t>
      </w:r>
      <w:r>
        <w:rPr>
          <w:spacing w:val="-14"/>
        </w:rPr>
        <w:t> </w:t>
      </w:r>
      <w:r>
        <w:rPr/>
        <w:t>factors</w:t>
      </w:r>
      <w:r>
        <w:rPr>
          <w:spacing w:val="-10"/>
        </w:rPr>
        <w:t> </w:t>
      </w:r>
      <w:r>
        <w:rPr/>
        <w:t>(price,</w:t>
      </w:r>
      <w:r>
        <w:rPr>
          <w:spacing w:val="-13"/>
        </w:rPr>
        <w:t> </w:t>
      </w:r>
      <w:r>
        <w:rPr/>
        <w:t>distance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income)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supply-side/healthcare</w:t>
      </w:r>
      <w:r>
        <w:rPr>
          <w:spacing w:val="-13"/>
        </w:rPr>
        <w:t> </w:t>
      </w:r>
      <w:r>
        <w:rPr/>
        <w:t>service</w:t>
      </w:r>
      <w:r>
        <w:rPr>
          <w:spacing w:val="-14"/>
        </w:rPr>
        <w:t> </w:t>
      </w:r>
      <w:r>
        <w:rPr/>
        <w:t>delivery.</w:t>
      </w:r>
      <w:r>
        <w:rPr>
          <w:spacing w:val="-58"/>
        </w:rPr>
        <w:t> </w:t>
      </w:r>
      <w:r>
        <w:rPr/>
        <w:t>It</w:t>
      </w:r>
      <w:r>
        <w:rPr>
          <w:spacing w:val="-12"/>
        </w:rPr>
        <w:t> </w:t>
      </w:r>
      <w:r>
        <w:rPr/>
        <w:t>might</w:t>
      </w:r>
      <w:r>
        <w:rPr>
          <w:spacing w:val="-12"/>
        </w:rPr>
        <w:t> </w:t>
      </w:r>
      <w:r>
        <w:rPr/>
        <w:t>also</w:t>
      </w:r>
      <w:r>
        <w:rPr>
          <w:spacing w:val="-10"/>
        </w:rPr>
        <w:t> </w:t>
      </w:r>
      <w:r>
        <w:rPr/>
        <w:t>be</w:t>
      </w:r>
      <w:r>
        <w:rPr>
          <w:spacing w:val="-13"/>
        </w:rPr>
        <w:t> </w:t>
      </w:r>
      <w:r>
        <w:rPr/>
        <w:t>attributed</w:t>
      </w:r>
      <w:r>
        <w:rPr>
          <w:spacing w:val="-9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products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‘political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opportunity-capture’</w:t>
      </w:r>
      <w:r>
        <w:rPr>
          <w:spacing w:val="-13"/>
        </w:rPr>
        <w:t> </w:t>
      </w:r>
      <w:r>
        <w:rPr/>
        <w:t>from</w:t>
      </w:r>
      <w:r>
        <w:rPr>
          <w:spacing w:val="-11"/>
        </w:rPr>
        <w:t> </w:t>
      </w:r>
      <w:r>
        <w:rPr/>
        <w:t>rising</w:t>
      </w:r>
      <w:r>
        <w:rPr>
          <w:spacing w:val="-14"/>
        </w:rPr>
        <w:t> </w:t>
      </w:r>
      <w:r>
        <w:rPr/>
        <w:t>income</w:t>
      </w:r>
      <w:r>
        <w:rPr>
          <w:spacing w:val="-57"/>
        </w:rPr>
        <w:t> </w:t>
      </w:r>
      <w:r>
        <w:rPr/>
        <w:t>inequality</w:t>
      </w:r>
      <w:r>
        <w:rPr>
          <w:spacing w:val="-6"/>
        </w:rPr>
        <w:t> </w:t>
      </w:r>
      <w:r>
        <w:rPr/>
        <w:t>(Fuentes-Nieva</w:t>
      </w:r>
      <w:r>
        <w:rPr>
          <w:spacing w:val="-1"/>
        </w:rPr>
        <w:t> </w:t>
      </w:r>
      <w:r>
        <w:rPr/>
        <w:t>and Galasso, 2014:2; Rochelle, 2019).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40" w:right="132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4"/>
        <w:spacing w:before="90" w:after="23"/>
        <w:ind w:left="840"/>
        <w:jc w:val="left"/>
      </w:pPr>
      <w:r>
        <w:rPr/>
        <w:t>Table</w:t>
      </w:r>
      <w:r>
        <w:rPr>
          <w:spacing w:val="-1"/>
        </w:rPr>
        <w:t> </w:t>
      </w:r>
      <w:r>
        <w:rPr/>
        <w:t>5.1:</w:t>
      </w:r>
      <w:r>
        <w:rPr>
          <w:spacing w:val="-3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Table</w:t>
      </w:r>
      <w:r>
        <w:rPr>
          <w:spacing w:val="1"/>
        </w:rPr>
        <w:t> </w:t>
      </w:r>
      <w:r>
        <w:rPr/>
        <w:t>(NGHPS,</w:t>
      </w:r>
      <w:r>
        <w:rPr>
          <w:spacing w:val="-1"/>
        </w:rPr>
        <w:t> </w:t>
      </w:r>
      <w:r>
        <w:rPr/>
        <w:t>2010-2019)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2"/>
        <w:gridCol w:w="749"/>
        <w:gridCol w:w="178"/>
        <w:gridCol w:w="506"/>
        <w:gridCol w:w="737"/>
        <w:gridCol w:w="801"/>
        <w:gridCol w:w="696"/>
        <w:gridCol w:w="1285"/>
        <w:gridCol w:w="696"/>
        <w:gridCol w:w="1285"/>
        <w:gridCol w:w="716"/>
        <w:gridCol w:w="1356"/>
        <w:gridCol w:w="693"/>
        <w:gridCol w:w="927"/>
      </w:tblGrid>
      <w:tr>
        <w:trPr>
          <w:trHeight w:val="230" w:hRule="atLeast"/>
        </w:trPr>
        <w:tc>
          <w:tcPr>
            <w:tcW w:w="3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108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VARIABLES</w:t>
            </w:r>
          </w:p>
        </w:tc>
        <w:tc>
          <w:tcPr>
            <w:tcW w:w="29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793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WAVE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–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2010</w:t>
            </w:r>
          </w:p>
        </w:tc>
        <w:tc>
          <w:tcPr>
            <w:tcW w:w="1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300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WAVE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2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–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2013</w:t>
            </w:r>
          </w:p>
        </w:tc>
        <w:tc>
          <w:tcPr>
            <w:tcW w:w="1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299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WAVE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3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– 2016</w:t>
            </w:r>
          </w:p>
        </w:tc>
        <w:tc>
          <w:tcPr>
            <w:tcW w:w="2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344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WAVE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4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– 2019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204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ALL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WAVES</w:t>
            </w:r>
          </w:p>
        </w:tc>
      </w:tr>
      <w:tr>
        <w:trPr>
          <w:trHeight w:val="230" w:hRule="atLeast"/>
        </w:trPr>
        <w:tc>
          <w:tcPr>
            <w:tcW w:w="33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1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Mean</w:t>
            </w:r>
          </w:p>
        </w:tc>
        <w:tc>
          <w:tcPr>
            <w:tcW w:w="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Min.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2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Max.</w:t>
            </w:r>
          </w:p>
        </w:tc>
        <w:tc>
          <w:tcPr>
            <w:tcW w:w="8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right="2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Obs.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1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Mean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3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Obs.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86" w:right="1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Mean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3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Obs.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Mean</w:t>
            </w:r>
          </w:p>
        </w:tc>
        <w:tc>
          <w:tcPr>
            <w:tcW w:w="1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1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Obs.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Mean</w:t>
            </w:r>
          </w:p>
        </w:tc>
        <w:tc>
          <w:tcPr>
            <w:tcW w:w="9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3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Obs.</w:t>
            </w:r>
          </w:p>
        </w:tc>
      </w:tr>
      <w:tr>
        <w:trPr>
          <w:trHeight w:val="221" w:hRule="atLeast"/>
        </w:trPr>
        <w:tc>
          <w:tcPr>
            <w:tcW w:w="3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Illness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in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past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four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weeks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01" w:lineRule="exact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1.72</w:t>
            </w:r>
          </w:p>
        </w:tc>
        <w:tc>
          <w:tcPr>
            <w:tcW w:w="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1" w:lineRule="exact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01" w:lineRule="exact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27,238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01" w:lineRule="exact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1.81</w:t>
            </w:r>
          </w:p>
        </w:tc>
        <w:tc>
          <w:tcPr>
            <w:tcW w:w="128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27,126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01" w:lineRule="exact"/>
              <w:ind w:left="37" w:right="10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1.86</w:t>
            </w:r>
          </w:p>
        </w:tc>
        <w:tc>
          <w:tcPr>
            <w:tcW w:w="128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79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26,176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01" w:lineRule="exact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1.91</w:t>
            </w:r>
          </w:p>
        </w:tc>
        <w:tc>
          <w:tcPr>
            <w:tcW w:w="135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22,171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01" w:lineRule="exact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1.83</w:t>
            </w:r>
          </w:p>
        </w:tc>
        <w:tc>
          <w:tcPr>
            <w:tcW w:w="92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102,711</w:t>
            </w:r>
          </w:p>
        </w:tc>
      </w:tr>
      <w:tr>
        <w:trPr>
          <w:trHeight w:val="238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Medical-care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Consultation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5.03</w:t>
            </w:r>
          </w:p>
        </w:tc>
        <w:tc>
          <w:tcPr>
            <w:tcW w:w="178" w:type="dxa"/>
          </w:tcPr>
          <w:p>
            <w:pPr>
              <w:pStyle w:val="TableParagraph"/>
              <w:spacing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before="11"/>
              <w:ind w:left="604" w:right="4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13,327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5.01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13,234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37" w:right="10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4.95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13,754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3.54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26,556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4.63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66,871</w:t>
            </w:r>
          </w:p>
        </w:tc>
      </w:tr>
      <w:tr>
        <w:trPr>
          <w:trHeight w:val="238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Family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Times New Roman"/>
                <w:sz w:val="18"/>
              </w:rPr>
              <w:t>Size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4.24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2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2"/>
              <w:ind w:left="669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28,292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4.54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30,234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37" w:right="10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4.98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32,827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4.71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30,346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4.62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121,699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Gender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(1=Male,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2=Female)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96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1.50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28,270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1.51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30,234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37" w:right="10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1.51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32,827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1.50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27,607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1.51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118,938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Marital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Status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96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5.10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28,270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5.18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29,000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37" w:right="10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5.18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26,176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4.16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17,943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4.91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101,389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Education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(in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highest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qualification)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19.74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604" w:right="4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18,589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7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15.53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13,319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37" w:right="10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22.65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17,687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21.61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13,304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19.88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62,899</w:t>
            </w:r>
          </w:p>
        </w:tc>
      </w:tr>
      <w:tr>
        <w:trPr>
          <w:trHeight w:val="239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Hunger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(in the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last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months)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*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1.10</w:t>
            </w:r>
          </w:p>
        </w:tc>
        <w:tc>
          <w:tcPr>
            <w:tcW w:w="178" w:type="dxa"/>
          </w:tcPr>
          <w:p>
            <w:pPr>
              <w:pStyle w:val="TableParagraph"/>
              <w:spacing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27,068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17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2.32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14,664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1.81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14,582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1.48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27,528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1.68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83,842</w:t>
            </w:r>
          </w:p>
        </w:tc>
      </w:tr>
      <w:tr>
        <w:trPr>
          <w:trHeight w:val="238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Gari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Consumption (within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the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past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7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days)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1.76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2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2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27,573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17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0.92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27,363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1.20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14,588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1.17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14,178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1.26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83,702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Rice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Consumption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(within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the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past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7 days)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1.67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26,562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7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0.89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27,363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1.03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13,675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1.66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13,307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1.31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80,907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Yam/Cassava/Maize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Flour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(in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past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days)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1.81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26,490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0.42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27,363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1.30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13,280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1.44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27,312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1.24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94,445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Beans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(basic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protein within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7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days)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0.85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27,032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0.03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16,001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1.69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12,430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1.22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19,811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0.95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75,274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Meat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or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Fish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(basic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protein within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7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days)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1.18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28,273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0.94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27,363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1.45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22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7,500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1.82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15,273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1.35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78,409</w:t>
            </w:r>
          </w:p>
        </w:tc>
      </w:tr>
      <w:tr>
        <w:trPr>
          <w:trHeight w:val="238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Mosquito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Net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(purchase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within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1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year)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1.01</w:t>
            </w:r>
          </w:p>
        </w:tc>
        <w:tc>
          <w:tcPr>
            <w:tcW w:w="178" w:type="dxa"/>
          </w:tcPr>
          <w:p>
            <w:pPr>
              <w:pStyle w:val="TableParagraph"/>
              <w:spacing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27,075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0.92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27,363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1.71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24,590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1.50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12,029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1.29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91,057</w:t>
            </w:r>
          </w:p>
        </w:tc>
      </w:tr>
      <w:tr>
        <w:trPr>
          <w:trHeight w:val="238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Electricity? **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(1=Yes,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2=No)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1.51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2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2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14,898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1.48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14,753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1.47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14,590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1.45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2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5,047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1.48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49,288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Sources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drinking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water^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4.26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604" w:right="4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14,879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4.12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14,754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4.17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14,587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1.43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2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5,047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3.5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49,267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Kind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toilet facility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used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by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households</w:t>
            </w:r>
            <w:r>
              <w:rPr>
                <w:rFonts w:ascii="Times New Roman"/>
                <w:sz w:val="18"/>
                <w:vertAlign w:val="superscript"/>
              </w:rPr>
              <w:t>**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4.93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14,879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4.57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14,754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4.11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14,586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7.03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14,417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5.16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58,636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Alcoholic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drinks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(in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past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7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days)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0.88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27,573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0.65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16,009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1.60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12,299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1.22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11,918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1.09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67,799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Seeking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Healthcare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(in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past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4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weeks)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5.03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604" w:right="4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13,327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5.01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27,126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5.55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13,754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1.94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31,414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4.38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85,621</w:t>
            </w:r>
          </w:p>
        </w:tc>
      </w:tr>
      <w:tr>
        <w:trPr>
          <w:trHeight w:val="238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Incomes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from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wages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salaries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1.93</w:t>
            </w:r>
          </w:p>
        </w:tc>
        <w:tc>
          <w:tcPr>
            <w:tcW w:w="178" w:type="dxa"/>
          </w:tcPr>
          <w:p>
            <w:pPr>
              <w:pStyle w:val="TableParagraph"/>
              <w:spacing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22,971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1.94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23,765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1.94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23,183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3.54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26,556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2.34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96,475</w:t>
            </w:r>
          </w:p>
        </w:tc>
      </w:tr>
      <w:tr>
        <w:trPr>
          <w:trHeight w:val="238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Incomes from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enterprises,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business/trade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1.79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2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2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22,936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1.80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23,762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1.81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23,183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1.97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15,034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1.84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84,915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Crop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Livestock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incomes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1.75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22,920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1.78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23,764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1.78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23,183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1.45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15,047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1.69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84,914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Remittances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from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abroad (in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last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1 year)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1.99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18,710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1.55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19,713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1.97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19,183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1.18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14,862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1.67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72,468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Monetary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Times New Roman"/>
                <w:sz w:val="18"/>
              </w:rPr>
              <w:t>gift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or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Assistance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(in last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1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year)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1.82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4,346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1.97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14,009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1.84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12,005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1.50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27,607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1.78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57,967</w:t>
            </w:r>
          </w:p>
        </w:tc>
      </w:tr>
      <w:tr>
        <w:trPr>
          <w:trHeight w:val="238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Pensions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and grants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(in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last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1 year)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1.96</w:t>
            </w:r>
          </w:p>
        </w:tc>
        <w:tc>
          <w:tcPr>
            <w:tcW w:w="178" w:type="dxa"/>
          </w:tcPr>
          <w:p>
            <w:pPr>
              <w:pStyle w:val="TableParagraph"/>
              <w:spacing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12,545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1.59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23,762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1.95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79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4,582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1.03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205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8,644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1.63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49,533</w:t>
            </w:r>
          </w:p>
        </w:tc>
      </w:tr>
      <w:tr>
        <w:trPr>
          <w:trHeight w:val="238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Interest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Dividend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from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Investment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1.98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2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2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14,836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1.63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23,363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1.98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14,582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1.77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59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8,337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1.84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2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61,118</w:t>
            </w:r>
          </w:p>
        </w:tc>
      </w:tr>
      <w:tr>
        <w:trPr>
          <w:trHeight w:val="237" w:hRule="atLeast"/>
        </w:trPr>
        <w:tc>
          <w:tcPr>
            <w:tcW w:w="3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7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Rental’s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income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(in past</w:t>
            </w:r>
            <w:r>
              <w:rPr>
                <w:rFonts w:ascii="Times New Roman" w:hAnsi="Times New Roman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1 year)</w:t>
            </w:r>
          </w:p>
        </w:tc>
        <w:tc>
          <w:tcPr>
            <w:tcW w:w="7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1.81</w:t>
            </w:r>
          </w:p>
        </w:tc>
        <w:tc>
          <w:tcPr>
            <w:tcW w:w="178" w:type="dxa"/>
          </w:tcPr>
          <w:p>
            <w:pPr>
              <w:pStyle w:val="TableParagraph"/>
              <w:spacing w:line="206" w:lineRule="exact"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243" w:type="dxa"/>
            <w:gridSpan w:val="2"/>
          </w:tcPr>
          <w:p>
            <w:pPr>
              <w:pStyle w:val="TableParagraph"/>
              <w:spacing w:line="206" w:lineRule="exact"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8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10,579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22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1.81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19,717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86" w:right="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1.95</w:t>
            </w:r>
          </w:p>
        </w:tc>
        <w:tc>
          <w:tcPr>
            <w:tcW w:w="1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14,582</w:t>
            </w:r>
          </w:p>
        </w:tc>
        <w:tc>
          <w:tcPr>
            <w:tcW w:w="7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1.35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59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8,331</w:t>
            </w:r>
          </w:p>
        </w:tc>
        <w:tc>
          <w:tcPr>
            <w:tcW w:w="6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1.73</w:t>
            </w:r>
          </w:p>
        </w:tc>
        <w:tc>
          <w:tcPr>
            <w:tcW w:w="9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53,209</w:t>
            </w:r>
          </w:p>
        </w:tc>
      </w:tr>
      <w:tr>
        <w:trPr>
          <w:trHeight w:val="253" w:hRule="atLeast"/>
        </w:trPr>
        <w:tc>
          <w:tcPr>
            <w:tcW w:w="3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07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Gini-Coefficient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5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0.378</w:t>
            </w:r>
          </w:p>
        </w:tc>
        <w:tc>
          <w:tcPr>
            <w:tcW w:w="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1243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8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80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9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21,612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7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0.386</w:t>
            </w:r>
          </w:p>
        </w:tc>
        <w:tc>
          <w:tcPr>
            <w:tcW w:w="12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24,123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86" w:right="7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0.421</w:t>
            </w:r>
          </w:p>
        </w:tc>
        <w:tc>
          <w:tcPr>
            <w:tcW w:w="12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4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24,506</w:t>
            </w:r>
          </w:p>
        </w:tc>
        <w:tc>
          <w:tcPr>
            <w:tcW w:w="71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0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0.467</w:t>
            </w:r>
          </w:p>
        </w:tc>
        <w:tc>
          <w:tcPr>
            <w:tcW w:w="135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1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30,346</w:t>
            </w:r>
          </w:p>
        </w:tc>
        <w:tc>
          <w:tcPr>
            <w:tcW w:w="6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01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0.413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3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100,587</w:t>
            </w:r>
          </w:p>
        </w:tc>
      </w:tr>
    </w:tbl>
    <w:p>
      <w:pPr>
        <w:tabs>
          <w:tab w:pos="1560" w:val="left" w:leader="none"/>
        </w:tabs>
        <w:spacing w:before="0"/>
        <w:ind w:left="840" w:right="0" w:firstLine="0"/>
        <w:jc w:val="left"/>
        <w:rPr>
          <w:i/>
          <w:sz w:val="18"/>
        </w:rPr>
      </w:pPr>
      <w:r>
        <w:rPr>
          <w:sz w:val="18"/>
        </w:rPr>
        <w:t>Note:</w:t>
        <w:tab/>
        <w:t>*This</w:t>
      </w:r>
      <w:r>
        <w:rPr>
          <w:spacing w:val="1"/>
          <w:sz w:val="18"/>
        </w:rPr>
        <w:t> </w:t>
      </w:r>
      <w:r>
        <w:rPr>
          <w:sz w:val="18"/>
        </w:rPr>
        <w:t>was</w:t>
      </w:r>
      <w:r>
        <w:rPr>
          <w:spacing w:val="-1"/>
          <w:sz w:val="18"/>
        </w:rPr>
        <w:t> </w:t>
      </w:r>
      <w:r>
        <w:rPr>
          <w:sz w:val="18"/>
        </w:rPr>
        <w:t>based on the</w:t>
      </w:r>
      <w:r>
        <w:rPr>
          <w:spacing w:val="-3"/>
          <w:sz w:val="18"/>
        </w:rPr>
        <w:t> </w:t>
      </w:r>
      <w:r>
        <w:rPr>
          <w:sz w:val="18"/>
        </w:rPr>
        <w:t>question:</w:t>
      </w:r>
      <w:r>
        <w:rPr>
          <w:spacing w:val="-3"/>
          <w:sz w:val="18"/>
        </w:rPr>
        <w:t> </w:t>
      </w:r>
      <w:r>
        <w:rPr>
          <w:i/>
          <w:sz w:val="18"/>
        </w:rPr>
        <w:t>during the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last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months,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was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there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a time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when the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household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had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skip meal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because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lack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money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or other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resources.</w:t>
      </w:r>
    </w:p>
    <w:p>
      <w:pPr>
        <w:spacing w:before="12"/>
        <w:ind w:left="1560" w:right="0" w:firstLine="0"/>
        <w:jc w:val="left"/>
        <w:rPr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respondents</w:t>
      </w:r>
      <w:r>
        <w:rPr>
          <w:spacing w:val="-2"/>
          <w:sz w:val="18"/>
        </w:rPr>
        <w:t> </w:t>
      </w:r>
      <w:r>
        <w:rPr>
          <w:sz w:val="18"/>
        </w:rPr>
        <w:t>choose,</w:t>
      </w:r>
      <w:r>
        <w:rPr>
          <w:spacing w:val="-1"/>
          <w:sz w:val="18"/>
        </w:rPr>
        <w:t> </w:t>
      </w:r>
      <w:r>
        <w:rPr>
          <w:sz w:val="18"/>
        </w:rPr>
        <w:t>1=yes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2=no.</w:t>
      </w:r>
      <w:r>
        <w:rPr>
          <w:spacing w:val="2"/>
          <w:sz w:val="18"/>
        </w:rPr>
        <w:t> </w:t>
      </w:r>
      <w:r>
        <w:rPr>
          <w:sz w:val="18"/>
        </w:rPr>
        <w:t>**For</w:t>
      </w:r>
      <w:r>
        <w:rPr>
          <w:spacing w:val="-2"/>
          <w:sz w:val="18"/>
        </w:rPr>
        <w:t> </w:t>
      </w:r>
      <w:r>
        <w:rPr>
          <w:sz w:val="18"/>
        </w:rPr>
        <w:t>electricity,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question</w:t>
      </w:r>
      <w:r>
        <w:rPr>
          <w:spacing w:val="-1"/>
          <w:sz w:val="18"/>
        </w:rPr>
        <w:t> </w:t>
      </w:r>
      <w:r>
        <w:rPr>
          <w:sz w:val="18"/>
        </w:rPr>
        <w:t>is:</w:t>
      </w:r>
      <w:r>
        <w:rPr>
          <w:spacing w:val="5"/>
          <w:sz w:val="18"/>
        </w:rPr>
        <w:t> </w:t>
      </w:r>
      <w:r>
        <w:rPr>
          <w:i/>
          <w:sz w:val="18"/>
        </w:rPr>
        <w:t>Is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dwelling connected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electricity?</w:t>
      </w:r>
      <w:r>
        <w:rPr>
          <w:sz w:val="18"/>
        </w:rPr>
        <w:t>.</w:t>
      </w:r>
    </w:p>
    <w:p>
      <w:pPr>
        <w:spacing w:line="259" w:lineRule="auto" w:before="16"/>
        <w:ind w:left="1560" w:right="179" w:firstLine="0"/>
        <w:jc w:val="left"/>
        <w:rPr>
          <w:sz w:val="18"/>
        </w:rPr>
      </w:pPr>
      <w:r>
        <w:rPr>
          <w:sz w:val="18"/>
        </w:rPr>
        <w:t>^What</w:t>
      </w:r>
      <w:r>
        <w:rPr>
          <w:spacing w:val="1"/>
          <w:sz w:val="18"/>
        </w:rPr>
        <w:t> </w:t>
      </w:r>
      <w:r>
        <w:rPr>
          <w:sz w:val="18"/>
        </w:rPr>
        <w:t>was your</w:t>
      </w:r>
      <w:r>
        <w:rPr>
          <w:spacing w:val="-2"/>
          <w:sz w:val="18"/>
        </w:rPr>
        <w:t> </w:t>
      </w:r>
      <w:r>
        <w:rPr>
          <w:sz w:val="18"/>
        </w:rPr>
        <w:t>main source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drinking</w:t>
      </w:r>
      <w:r>
        <w:rPr>
          <w:spacing w:val="-2"/>
          <w:sz w:val="18"/>
        </w:rPr>
        <w:t> </w:t>
      </w:r>
      <w:r>
        <w:rPr>
          <w:sz w:val="18"/>
        </w:rPr>
        <w:t>water?</w:t>
      </w:r>
      <w:r>
        <w:rPr>
          <w:spacing w:val="43"/>
          <w:sz w:val="18"/>
        </w:rPr>
        <w:t> </w:t>
      </w:r>
      <w:r>
        <w:rPr>
          <w:sz w:val="18"/>
        </w:rPr>
        <w:t>1=Pipe-Borne</w:t>
      </w:r>
      <w:r>
        <w:rPr>
          <w:spacing w:val="-3"/>
          <w:sz w:val="18"/>
        </w:rPr>
        <w:t> </w:t>
      </w:r>
      <w:r>
        <w:rPr>
          <w:sz w:val="18"/>
        </w:rPr>
        <w:t>Water</w:t>
      </w:r>
      <w:r>
        <w:rPr>
          <w:spacing w:val="-2"/>
          <w:sz w:val="18"/>
        </w:rPr>
        <w:t> </w:t>
      </w:r>
      <w:r>
        <w:rPr>
          <w:sz w:val="18"/>
        </w:rPr>
        <w:t>treated,</w:t>
      </w:r>
      <w:r>
        <w:rPr>
          <w:spacing w:val="-1"/>
          <w:sz w:val="18"/>
        </w:rPr>
        <w:t> </w:t>
      </w:r>
      <w:r>
        <w:rPr>
          <w:sz w:val="18"/>
        </w:rPr>
        <w:t>2=Pipe</w:t>
      </w:r>
      <w:r>
        <w:rPr>
          <w:spacing w:val="-3"/>
          <w:sz w:val="18"/>
        </w:rPr>
        <w:t> </w:t>
      </w:r>
      <w:r>
        <w:rPr>
          <w:sz w:val="18"/>
        </w:rPr>
        <w:t>Borne</w:t>
      </w:r>
      <w:r>
        <w:rPr>
          <w:spacing w:val="-2"/>
          <w:sz w:val="18"/>
        </w:rPr>
        <w:t> </w:t>
      </w:r>
      <w:r>
        <w:rPr>
          <w:sz w:val="18"/>
        </w:rPr>
        <w:t>Water</w:t>
      </w:r>
      <w:r>
        <w:rPr>
          <w:spacing w:val="-2"/>
          <w:sz w:val="18"/>
        </w:rPr>
        <w:t> </w:t>
      </w:r>
      <w:r>
        <w:rPr>
          <w:sz w:val="18"/>
        </w:rPr>
        <w:t>Untreated,</w:t>
      </w:r>
      <w:r>
        <w:rPr>
          <w:spacing w:val="-2"/>
          <w:sz w:val="18"/>
        </w:rPr>
        <w:t> </w:t>
      </w:r>
      <w:r>
        <w:rPr>
          <w:sz w:val="18"/>
        </w:rPr>
        <w:t>3=Borehole</w:t>
      </w:r>
      <w:r>
        <w:rPr>
          <w:spacing w:val="-1"/>
          <w:sz w:val="18"/>
        </w:rPr>
        <w:t> </w:t>
      </w:r>
      <w:r>
        <w:rPr>
          <w:sz w:val="18"/>
        </w:rPr>
        <w:t>or</w:t>
      </w:r>
      <w:r>
        <w:rPr>
          <w:spacing w:val="-4"/>
          <w:sz w:val="18"/>
        </w:rPr>
        <w:t> </w:t>
      </w:r>
      <w:r>
        <w:rPr>
          <w:sz w:val="18"/>
        </w:rPr>
        <w:t>hand</w:t>
      </w:r>
      <w:r>
        <w:rPr>
          <w:spacing w:val="-3"/>
          <w:sz w:val="18"/>
        </w:rPr>
        <w:t> </w:t>
      </w:r>
      <w:r>
        <w:rPr>
          <w:sz w:val="18"/>
        </w:rPr>
        <w:t>pump,</w:t>
      </w:r>
      <w:r>
        <w:rPr>
          <w:spacing w:val="-1"/>
          <w:sz w:val="18"/>
        </w:rPr>
        <w:t> </w:t>
      </w:r>
      <w:r>
        <w:rPr>
          <w:sz w:val="18"/>
        </w:rPr>
        <w:t>4=Well</w:t>
      </w:r>
      <w:r>
        <w:rPr>
          <w:spacing w:val="-2"/>
          <w:sz w:val="18"/>
        </w:rPr>
        <w:t> </w:t>
      </w:r>
      <w:r>
        <w:rPr>
          <w:sz w:val="18"/>
        </w:rPr>
        <w:t>or</w:t>
      </w:r>
      <w:r>
        <w:rPr>
          <w:spacing w:val="-2"/>
          <w:sz w:val="18"/>
        </w:rPr>
        <w:t> </w:t>
      </w:r>
      <w:r>
        <w:rPr>
          <w:sz w:val="18"/>
        </w:rPr>
        <w:t>spring</w:t>
      </w:r>
      <w:r>
        <w:rPr>
          <w:spacing w:val="-2"/>
          <w:sz w:val="18"/>
        </w:rPr>
        <w:t> </w:t>
      </w:r>
      <w:r>
        <w:rPr>
          <w:sz w:val="18"/>
        </w:rPr>
        <w:t>protected,</w:t>
      </w:r>
      <w:r>
        <w:rPr>
          <w:spacing w:val="-42"/>
          <w:sz w:val="18"/>
        </w:rPr>
        <w:t> </w:t>
      </w:r>
      <w:r>
        <w:rPr>
          <w:sz w:val="18"/>
        </w:rPr>
        <w:t>5=Well</w:t>
      </w:r>
      <w:r>
        <w:rPr>
          <w:spacing w:val="-1"/>
          <w:sz w:val="18"/>
        </w:rPr>
        <w:t> </w:t>
      </w:r>
      <w:r>
        <w:rPr>
          <w:sz w:val="18"/>
        </w:rPr>
        <w:t>and Spring</w:t>
      </w:r>
      <w:r>
        <w:rPr>
          <w:spacing w:val="-2"/>
          <w:sz w:val="18"/>
        </w:rPr>
        <w:t> </w:t>
      </w:r>
      <w:r>
        <w:rPr>
          <w:sz w:val="18"/>
        </w:rPr>
        <w:t>unprotected,</w:t>
      </w:r>
      <w:r>
        <w:rPr>
          <w:spacing w:val="-3"/>
          <w:sz w:val="18"/>
        </w:rPr>
        <w:t> </w:t>
      </w:r>
      <w:r>
        <w:rPr>
          <w:sz w:val="18"/>
        </w:rPr>
        <w:t>6=River/Spring,</w:t>
      </w:r>
      <w:r>
        <w:rPr>
          <w:spacing w:val="35"/>
          <w:sz w:val="18"/>
        </w:rPr>
        <w:t> </w:t>
      </w:r>
      <w:r>
        <w:rPr>
          <w:sz w:val="18"/>
        </w:rPr>
        <w:t>7=Lake</w:t>
      </w:r>
      <w:r>
        <w:rPr>
          <w:spacing w:val="-2"/>
          <w:sz w:val="18"/>
        </w:rPr>
        <w:t> </w:t>
      </w:r>
      <w:r>
        <w:rPr>
          <w:sz w:val="18"/>
        </w:rPr>
        <w:t>or Reservoir, 8=Rain Water,</w:t>
      </w:r>
      <w:r>
        <w:rPr>
          <w:spacing w:val="-1"/>
          <w:sz w:val="18"/>
        </w:rPr>
        <w:t> </w:t>
      </w:r>
      <w:r>
        <w:rPr>
          <w:sz w:val="18"/>
        </w:rPr>
        <w:t>9=Tanker/truck/vendor,</w:t>
      </w:r>
      <w:r>
        <w:rPr>
          <w:spacing w:val="-1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10=other</w:t>
      </w:r>
      <w:r>
        <w:rPr>
          <w:spacing w:val="-1"/>
          <w:sz w:val="18"/>
        </w:rPr>
        <w:t> </w:t>
      </w:r>
      <w:r>
        <w:rPr>
          <w:sz w:val="18"/>
        </w:rPr>
        <w:t>specified by</w:t>
      </w:r>
      <w:r>
        <w:rPr>
          <w:spacing w:val="-5"/>
          <w:sz w:val="18"/>
        </w:rPr>
        <w:t> </w:t>
      </w:r>
      <w:r>
        <w:rPr>
          <w:sz w:val="18"/>
        </w:rPr>
        <w:t>respondents.</w:t>
      </w:r>
    </w:p>
    <w:p>
      <w:pPr>
        <w:spacing w:line="209" w:lineRule="exact" w:before="0"/>
        <w:ind w:left="1560" w:right="0" w:firstLine="0"/>
        <w:jc w:val="left"/>
        <w:rPr>
          <w:sz w:val="18"/>
        </w:rPr>
      </w:pPr>
      <w:r>
        <w:rPr>
          <w:position w:val="6"/>
          <w:sz w:val="12"/>
        </w:rPr>
        <w:t>**</w:t>
      </w:r>
      <w:r>
        <w:rPr>
          <w:sz w:val="18"/>
        </w:rPr>
        <w:t>1=None,</w:t>
      </w:r>
      <w:r>
        <w:rPr>
          <w:spacing w:val="-4"/>
          <w:sz w:val="18"/>
        </w:rPr>
        <w:t> </w:t>
      </w:r>
      <w:r>
        <w:rPr>
          <w:sz w:val="18"/>
        </w:rPr>
        <w:t>2=Toilet</w:t>
      </w:r>
      <w:r>
        <w:rPr>
          <w:spacing w:val="-2"/>
          <w:sz w:val="18"/>
        </w:rPr>
        <w:t> </w:t>
      </w:r>
      <w:r>
        <w:rPr>
          <w:sz w:val="18"/>
        </w:rPr>
        <w:t>o</w:t>
      </w:r>
      <w:r>
        <w:rPr>
          <w:spacing w:val="-2"/>
          <w:sz w:val="18"/>
        </w:rPr>
        <w:t> </w:t>
      </w:r>
      <w:r>
        <w:rPr>
          <w:sz w:val="18"/>
        </w:rPr>
        <w:t>Water,</w:t>
      </w:r>
      <w:r>
        <w:rPr>
          <w:spacing w:val="-2"/>
          <w:sz w:val="18"/>
        </w:rPr>
        <w:t> </w:t>
      </w:r>
      <w:r>
        <w:rPr>
          <w:sz w:val="18"/>
        </w:rPr>
        <w:t>3=Flush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1"/>
          <w:sz w:val="18"/>
        </w:rPr>
        <w:t> </w:t>
      </w:r>
      <w:r>
        <w:rPr>
          <w:sz w:val="18"/>
        </w:rPr>
        <w:t>sewage,</w:t>
      </w:r>
      <w:r>
        <w:rPr>
          <w:spacing w:val="-2"/>
          <w:sz w:val="18"/>
        </w:rPr>
        <w:t> </w:t>
      </w:r>
      <w:r>
        <w:rPr>
          <w:sz w:val="18"/>
        </w:rPr>
        <w:t>4=Flush</w:t>
      </w:r>
      <w:r>
        <w:rPr>
          <w:spacing w:val="-4"/>
          <w:sz w:val="18"/>
        </w:rPr>
        <w:t> </w:t>
      </w:r>
      <w:r>
        <w:rPr>
          <w:sz w:val="18"/>
        </w:rPr>
        <w:t>to</w:t>
      </w:r>
      <w:r>
        <w:rPr>
          <w:spacing w:val="-1"/>
          <w:sz w:val="18"/>
        </w:rPr>
        <w:t> </w:t>
      </w:r>
      <w:r>
        <w:rPr>
          <w:sz w:val="18"/>
        </w:rPr>
        <w:t>septic</w:t>
      </w:r>
      <w:r>
        <w:rPr>
          <w:spacing w:val="-5"/>
          <w:sz w:val="18"/>
        </w:rPr>
        <w:t> </w:t>
      </w:r>
      <w:r>
        <w:rPr>
          <w:sz w:val="18"/>
        </w:rPr>
        <w:t>tank,</w:t>
      </w:r>
      <w:r>
        <w:rPr>
          <w:spacing w:val="-2"/>
          <w:sz w:val="18"/>
        </w:rPr>
        <w:t> </w:t>
      </w:r>
      <w:r>
        <w:rPr>
          <w:sz w:val="18"/>
        </w:rPr>
        <w:t>5=Pail/Bucket,</w:t>
      </w:r>
      <w:r>
        <w:rPr>
          <w:spacing w:val="-1"/>
          <w:sz w:val="18"/>
        </w:rPr>
        <w:t> </w:t>
      </w:r>
      <w:r>
        <w:rPr>
          <w:sz w:val="18"/>
        </w:rPr>
        <w:t>6=Covered</w:t>
      </w:r>
      <w:r>
        <w:rPr>
          <w:spacing w:val="-1"/>
          <w:sz w:val="18"/>
        </w:rPr>
        <w:t> </w:t>
      </w:r>
      <w:r>
        <w:rPr>
          <w:sz w:val="18"/>
        </w:rPr>
        <w:t>Pit</w:t>
      </w:r>
      <w:r>
        <w:rPr>
          <w:spacing w:val="-2"/>
          <w:sz w:val="18"/>
        </w:rPr>
        <w:t> </w:t>
      </w:r>
      <w:r>
        <w:rPr>
          <w:sz w:val="18"/>
        </w:rPr>
        <w:t>Latrine,</w:t>
      </w:r>
      <w:r>
        <w:rPr>
          <w:spacing w:val="-2"/>
          <w:sz w:val="18"/>
        </w:rPr>
        <w:t> </w:t>
      </w:r>
      <w:r>
        <w:rPr>
          <w:sz w:val="18"/>
        </w:rPr>
        <w:t>7=Uncovered</w:t>
      </w:r>
      <w:r>
        <w:rPr>
          <w:spacing w:val="-1"/>
          <w:sz w:val="18"/>
        </w:rPr>
        <w:t> </w:t>
      </w:r>
      <w:r>
        <w:rPr>
          <w:sz w:val="18"/>
        </w:rPr>
        <w:t>Pit</w:t>
      </w:r>
      <w:r>
        <w:rPr>
          <w:spacing w:val="-2"/>
          <w:sz w:val="18"/>
        </w:rPr>
        <w:t> </w:t>
      </w:r>
      <w:r>
        <w:rPr>
          <w:sz w:val="18"/>
        </w:rPr>
        <w:t>latrine,</w:t>
      </w:r>
      <w:r>
        <w:rPr>
          <w:spacing w:val="-2"/>
          <w:sz w:val="18"/>
        </w:rPr>
        <w:t> </w:t>
      </w:r>
      <w:r>
        <w:rPr>
          <w:sz w:val="18"/>
        </w:rPr>
        <w:t>8=V.I.P.</w:t>
      </w:r>
      <w:r>
        <w:rPr>
          <w:spacing w:val="-2"/>
          <w:sz w:val="18"/>
        </w:rPr>
        <w:t> </w:t>
      </w:r>
      <w:r>
        <w:rPr>
          <w:sz w:val="18"/>
        </w:rPr>
        <w:t>Latrine,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9=Others.</w:t>
      </w:r>
    </w:p>
    <w:p>
      <w:pPr>
        <w:spacing w:before="89"/>
        <w:ind w:left="840" w:right="0" w:firstLine="0"/>
        <w:jc w:val="left"/>
        <w:rPr>
          <w:sz w:val="20"/>
        </w:rPr>
      </w:pPr>
      <w:r>
        <w:rPr>
          <w:sz w:val="20"/>
        </w:rPr>
        <w:t>Source:</w:t>
      </w:r>
      <w:r>
        <w:rPr>
          <w:spacing w:val="-3"/>
          <w:sz w:val="20"/>
        </w:rPr>
        <w:t> </w:t>
      </w:r>
      <w:r>
        <w:rPr>
          <w:sz w:val="20"/>
        </w:rPr>
        <w:t>Compiled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-6"/>
          <w:sz w:val="20"/>
        </w:rPr>
        <w:t> </w:t>
      </w:r>
      <w:r>
        <w:rPr>
          <w:sz w:val="20"/>
        </w:rPr>
        <w:t>NGHPS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various years</w:t>
      </w:r>
    </w:p>
    <w:p>
      <w:pPr>
        <w:spacing w:after="0"/>
        <w:jc w:val="left"/>
        <w:rPr>
          <w:sz w:val="20"/>
        </w:rPr>
        <w:sectPr>
          <w:footerReference w:type="default" r:id="rId153"/>
          <w:pgSz w:w="15840" w:h="12240" w:orient="landscape"/>
          <w:pgMar w:footer="1015" w:header="0" w:top="1140" w:bottom="1200" w:left="600" w:right="1040"/>
        </w:sectPr>
      </w:pPr>
    </w:p>
    <w:p>
      <w:pPr>
        <w:pStyle w:val="BodyText"/>
        <w:spacing w:line="360" w:lineRule="auto" w:before="74"/>
        <w:ind w:left="120" w:right="111"/>
        <w:jc w:val="both"/>
      </w:pPr>
      <w:r>
        <w:rPr/>
        <w:t>Family</w:t>
      </w:r>
      <w:r>
        <w:rPr>
          <w:spacing w:val="-11"/>
        </w:rPr>
        <w:t> </w:t>
      </w:r>
      <w:r>
        <w:rPr/>
        <w:t>size</w:t>
      </w:r>
      <w:r>
        <w:rPr>
          <w:spacing w:val="-6"/>
        </w:rPr>
        <w:t> </w:t>
      </w:r>
      <w:r>
        <w:rPr/>
        <w:t>also</w:t>
      </w:r>
      <w:r>
        <w:rPr>
          <w:spacing w:val="-2"/>
        </w:rPr>
        <w:t> </w:t>
      </w:r>
      <w:r>
        <w:rPr/>
        <w:t>rose</w:t>
      </w:r>
      <w:r>
        <w:rPr>
          <w:spacing w:val="-6"/>
        </w:rPr>
        <w:t> </w:t>
      </w:r>
      <w:r>
        <w:rPr/>
        <w:t>from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average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4.24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4.98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2010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2013,</w:t>
      </w:r>
      <w:r>
        <w:rPr>
          <w:spacing w:val="-4"/>
        </w:rPr>
        <w:t> </w:t>
      </w:r>
      <w:r>
        <w:rPr/>
        <w:t>but</w:t>
      </w:r>
      <w:r>
        <w:rPr>
          <w:spacing w:val="-5"/>
        </w:rPr>
        <w:t> </w:t>
      </w:r>
      <w:r>
        <w:rPr/>
        <w:t>steadily</w:t>
      </w:r>
      <w:r>
        <w:rPr>
          <w:spacing w:val="-10"/>
        </w:rPr>
        <w:t> </w:t>
      </w:r>
      <w:r>
        <w:rPr/>
        <w:t>decline</w:t>
      </w:r>
      <w:r>
        <w:rPr>
          <w:spacing w:val="-57"/>
        </w:rPr>
        <w:t> </w:t>
      </w:r>
      <w:r>
        <w:rPr/>
        <w:t>to 4.71 in Wave 4 (2019). Compared to the aggregate mean of 4.62, the average household’s size</w:t>
      </w:r>
      <w:r>
        <w:rPr>
          <w:spacing w:val="-57"/>
        </w:rPr>
        <w:t> </w:t>
      </w:r>
      <w:r>
        <w:rPr/>
        <w:t>for</w:t>
      </w:r>
      <w:r>
        <w:rPr>
          <w:spacing w:val="-5"/>
        </w:rPr>
        <w:t> </w:t>
      </w:r>
      <w:r>
        <w:rPr/>
        <w:t>the respondents has</w:t>
      </w:r>
      <w:r>
        <w:rPr>
          <w:spacing w:val="-3"/>
        </w:rPr>
        <w:t> </w:t>
      </w:r>
      <w:r>
        <w:rPr/>
        <w:t>increased</w:t>
      </w:r>
      <w:r>
        <w:rPr>
          <w:spacing w:val="-3"/>
        </w:rPr>
        <w:t> </w:t>
      </w:r>
      <w:r>
        <w:rPr/>
        <w:t>in recent</w:t>
      </w:r>
      <w:r>
        <w:rPr>
          <w:spacing w:val="-2"/>
        </w:rPr>
        <w:t> </w:t>
      </w:r>
      <w:r>
        <w:rPr/>
        <w:t>periods.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highlights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need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meet the welfare and health needs of larger family size. In terms of hunger, the average numbers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households</w:t>
      </w:r>
      <w:r>
        <w:rPr>
          <w:spacing w:val="-6"/>
        </w:rPr>
        <w:t> </w:t>
      </w:r>
      <w:r>
        <w:rPr/>
        <w:t>without</w:t>
      </w:r>
      <w:r>
        <w:rPr>
          <w:spacing w:val="-5"/>
        </w:rPr>
        <w:t> </w:t>
      </w:r>
      <w:r>
        <w:rPr/>
        <w:t>food</w:t>
      </w:r>
      <w:r>
        <w:rPr>
          <w:spacing w:val="-5"/>
        </w:rPr>
        <w:t> </w:t>
      </w:r>
      <w:r>
        <w:rPr/>
        <w:t>rose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1.1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1.5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2010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2019. Likewise,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proportion</w:t>
      </w:r>
      <w:r>
        <w:rPr>
          <w:spacing w:val="-58"/>
        </w:rPr>
        <w:t> </w:t>
      </w:r>
      <w:r>
        <w:rPr/>
        <w:t>of those with balance diets – carbohydrates (rice, flour, and garri), basic protein (beans), and fats</w:t>
      </w:r>
      <w:r>
        <w:rPr>
          <w:spacing w:val="1"/>
        </w:rPr>
        <w:t> </w:t>
      </w:r>
      <w:r>
        <w:rPr/>
        <w:t>and</w:t>
      </w:r>
      <w:r>
        <w:rPr>
          <w:spacing w:val="-11"/>
        </w:rPr>
        <w:t> </w:t>
      </w:r>
      <w:r>
        <w:rPr/>
        <w:t>oil</w:t>
      </w:r>
      <w:r>
        <w:rPr>
          <w:spacing w:val="-10"/>
        </w:rPr>
        <w:t> </w:t>
      </w:r>
      <w:r>
        <w:rPr/>
        <w:t>(meat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fish)</w:t>
      </w:r>
      <w:r>
        <w:rPr>
          <w:spacing w:val="-11"/>
        </w:rPr>
        <w:t> </w:t>
      </w:r>
      <w:r>
        <w:rPr/>
        <w:t>fell</w:t>
      </w:r>
      <w:r>
        <w:rPr>
          <w:spacing w:val="-9"/>
        </w:rPr>
        <w:t> </w:t>
      </w:r>
      <w:r>
        <w:rPr/>
        <w:t>across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waves.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is</w:t>
      </w:r>
      <w:r>
        <w:rPr>
          <w:spacing w:val="-13"/>
        </w:rPr>
        <w:t> </w:t>
      </w:r>
      <w:r>
        <w:rPr/>
        <w:t>not</w:t>
      </w:r>
      <w:r>
        <w:rPr>
          <w:spacing w:val="-11"/>
        </w:rPr>
        <w:t> </w:t>
      </w:r>
      <w:r>
        <w:rPr/>
        <w:t>surprising</w:t>
      </w:r>
      <w:r>
        <w:rPr>
          <w:spacing w:val="-13"/>
        </w:rPr>
        <w:t> </w:t>
      </w:r>
      <w:r>
        <w:rPr/>
        <w:t>because,</w:t>
      </w:r>
      <w:r>
        <w:rPr>
          <w:spacing w:val="-11"/>
        </w:rPr>
        <w:t> </w:t>
      </w:r>
      <w:r>
        <w:rPr/>
        <w:t>rising</w:t>
      </w:r>
      <w:r>
        <w:rPr>
          <w:spacing w:val="-11"/>
        </w:rPr>
        <w:t> </w:t>
      </w:r>
      <w:r>
        <w:rPr/>
        <w:t>income</w:t>
      </w:r>
      <w:r>
        <w:rPr>
          <w:spacing w:val="-11"/>
        </w:rPr>
        <w:t> </w:t>
      </w:r>
      <w:r>
        <w:rPr/>
        <w:t>disparity</w:t>
      </w:r>
      <w:r>
        <w:rPr>
          <w:spacing w:val="-58"/>
        </w:rPr>
        <w:t> </w:t>
      </w:r>
      <w:r>
        <w:rPr/>
        <w:t>can</w:t>
      </w:r>
      <w:r>
        <w:rPr>
          <w:spacing w:val="-1"/>
        </w:rPr>
        <w:t> </w:t>
      </w:r>
      <w:r>
        <w:rPr/>
        <w:t>reduce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purchasing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of citizens’</w:t>
      </w:r>
      <w:r>
        <w:rPr>
          <w:spacing w:val="1"/>
        </w:rPr>
        <w:t> </w:t>
      </w:r>
      <w:r>
        <w:rPr/>
        <w:t>incomes,</w:t>
      </w:r>
      <w:r>
        <w:rPr>
          <w:spacing w:val="-1"/>
        </w:rPr>
        <w:t> </w:t>
      </w:r>
      <w:r>
        <w:rPr/>
        <w:t>and this</w:t>
      </w:r>
      <w:r>
        <w:rPr>
          <w:spacing w:val="-1"/>
        </w:rPr>
        <w:t> </w:t>
      </w:r>
      <w:r>
        <w:rPr/>
        <w:t>mostly</w:t>
      </w:r>
      <w:r>
        <w:rPr>
          <w:spacing w:val="-6"/>
        </w:rPr>
        <w:t> </w:t>
      </w:r>
      <w:r>
        <w:rPr/>
        <w:t>affects</w:t>
      </w:r>
      <w:r>
        <w:rPr>
          <w:spacing w:val="-1"/>
        </w:rPr>
        <w:t> </w:t>
      </w:r>
      <w:r>
        <w:rPr/>
        <w:t>their consumption.</w:t>
      </w:r>
    </w:p>
    <w:p>
      <w:pPr>
        <w:pStyle w:val="BodyText"/>
        <w:spacing w:line="360" w:lineRule="auto" w:before="138"/>
        <w:ind w:left="120" w:right="112"/>
        <w:jc w:val="both"/>
      </w:pPr>
      <w:r>
        <w:rPr/>
        <w:t>More households possess additional mosquito-nets based on their response and this rose by 32%</w:t>
      </w:r>
      <w:r>
        <w:rPr>
          <w:spacing w:val="1"/>
        </w:rPr>
        <w:t> </w:t>
      </w:r>
      <w:r>
        <w:rPr/>
        <w:t>between 2010 and 2019. This has helped to reduce the incidence of malaria in households, as less</w:t>
      </w:r>
      <w:r>
        <w:rPr>
          <w:spacing w:val="-57"/>
        </w:rPr>
        <w:t> </w:t>
      </w:r>
      <w:r>
        <w:rPr/>
        <w:t>cases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reported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clinics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previously</w:t>
      </w:r>
      <w:r>
        <w:rPr>
          <w:spacing w:val="-10"/>
        </w:rPr>
        <w:t> </w:t>
      </w:r>
      <w:r>
        <w:rPr/>
        <w:t>(WHO,</w:t>
      </w:r>
      <w:r>
        <w:rPr>
          <w:spacing w:val="-6"/>
        </w:rPr>
        <w:t> </w:t>
      </w:r>
      <w:r>
        <w:rPr/>
        <w:t>2018a).</w:t>
      </w:r>
      <w:r>
        <w:rPr>
          <w:spacing w:val="-6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terms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households’</w:t>
      </w:r>
      <w:r>
        <w:rPr>
          <w:spacing w:val="-57"/>
        </w:rPr>
        <w:t> </w:t>
      </w:r>
      <w:r>
        <w:rPr/>
        <w:t>dwelling</w:t>
      </w:r>
      <w:r>
        <w:rPr>
          <w:spacing w:val="-13"/>
        </w:rPr>
        <w:t> </w:t>
      </w:r>
      <w:r>
        <w:rPr/>
        <w:t>connected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electricity,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mean</w:t>
      </w:r>
      <w:r>
        <w:rPr>
          <w:spacing w:val="-11"/>
        </w:rPr>
        <w:t> </w:t>
      </w:r>
      <w:r>
        <w:rPr/>
        <w:t>responses</w:t>
      </w:r>
      <w:r>
        <w:rPr>
          <w:spacing w:val="-9"/>
        </w:rPr>
        <w:t> </w:t>
      </w:r>
      <w:r>
        <w:rPr/>
        <w:t>fell</w:t>
      </w:r>
      <w:r>
        <w:rPr>
          <w:spacing w:val="-10"/>
        </w:rPr>
        <w:t> </w:t>
      </w:r>
      <w:r>
        <w:rPr/>
        <w:t>slightly</w:t>
      </w:r>
      <w:r>
        <w:rPr>
          <w:spacing w:val="-13"/>
        </w:rPr>
        <w:t> </w:t>
      </w:r>
      <w:r>
        <w:rPr/>
        <w:t>from</w:t>
      </w:r>
      <w:r>
        <w:rPr>
          <w:spacing w:val="-11"/>
        </w:rPr>
        <w:t> </w:t>
      </w:r>
      <w:r>
        <w:rPr/>
        <w:t>1.51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1.43</w:t>
      </w:r>
      <w:r>
        <w:rPr>
          <w:spacing w:val="-10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Wave</w:t>
      </w:r>
      <w:r>
        <w:rPr>
          <w:spacing w:val="-58"/>
        </w:rPr>
        <w:t> </w:t>
      </w:r>
      <w:r>
        <w:rPr>
          <w:spacing w:val="-1"/>
        </w:rPr>
        <w:t>I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Wave</w:t>
      </w:r>
      <w:r>
        <w:rPr>
          <w:spacing w:val="-11"/>
        </w:rPr>
        <w:t> </w:t>
      </w:r>
      <w:r>
        <w:rPr/>
        <w:t>4.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suggest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less</w:t>
      </w:r>
      <w:r>
        <w:rPr>
          <w:spacing w:val="-10"/>
        </w:rPr>
        <w:t> </w:t>
      </w:r>
      <w:r>
        <w:rPr/>
        <w:t>households</w:t>
      </w:r>
      <w:r>
        <w:rPr>
          <w:spacing w:val="-9"/>
        </w:rPr>
        <w:t> </w:t>
      </w:r>
      <w:r>
        <w:rPr/>
        <w:t>now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access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electricity</w:t>
      </w:r>
      <w:r>
        <w:rPr>
          <w:spacing w:val="-15"/>
        </w:rPr>
        <w:t> </w:t>
      </w:r>
      <w:r>
        <w:rPr/>
        <w:t>supply.</w:t>
      </w:r>
      <w:r>
        <w:rPr>
          <w:spacing w:val="-8"/>
        </w:rPr>
        <w:t> </w:t>
      </w:r>
      <w:r>
        <w:rPr/>
        <w:t>This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quite</w:t>
      </w:r>
      <w:r>
        <w:rPr>
          <w:spacing w:val="-57"/>
        </w:rPr>
        <w:t> </w:t>
      </w:r>
      <w:r>
        <w:rPr/>
        <w:t>surprising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the numbers of</w:t>
      </w:r>
      <w:r>
        <w:rPr>
          <w:spacing w:val="-2"/>
        </w:rPr>
        <w:t> </w:t>
      </w:r>
      <w:r>
        <w:rPr/>
        <w:t>electricity</w:t>
      </w:r>
      <w:r>
        <w:rPr>
          <w:spacing w:val="-3"/>
        </w:rPr>
        <w:t> </w:t>
      </w:r>
      <w:r>
        <w:rPr/>
        <w:t>generating</w:t>
      </w:r>
      <w:r>
        <w:rPr>
          <w:spacing w:val="-2"/>
        </w:rPr>
        <w:t> </w:t>
      </w:r>
      <w:r>
        <w:rPr/>
        <w:t>companies 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94"/>
        <w:ind w:left="120"/>
        <w:jc w:val="both"/>
      </w:pPr>
      <w:r>
        <w:rPr/>
        <w:t>Again,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mean</w:t>
      </w:r>
      <w:r>
        <w:rPr>
          <w:spacing w:val="11"/>
        </w:rPr>
        <w:t> </w:t>
      </w:r>
      <w:r>
        <w:rPr/>
        <w:t>response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those</w:t>
      </w:r>
      <w:r>
        <w:rPr>
          <w:spacing w:val="13"/>
        </w:rPr>
        <w:t> </w:t>
      </w:r>
      <w:r>
        <w:rPr/>
        <w:t>with</w:t>
      </w:r>
      <w:r>
        <w:rPr>
          <w:spacing w:val="12"/>
        </w:rPr>
        <w:t> </w:t>
      </w:r>
      <w:r>
        <w:rPr/>
        <w:t>access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drinkable</w:t>
      </w:r>
      <w:r>
        <w:rPr>
          <w:spacing w:val="11"/>
        </w:rPr>
        <w:t> </w:t>
      </w:r>
      <w:r>
        <w:rPr/>
        <w:t>water</w:t>
      </w:r>
      <w:r>
        <w:rPr>
          <w:spacing w:val="12"/>
        </w:rPr>
        <w:t> </w:t>
      </w:r>
      <w:r>
        <w:rPr/>
        <w:t>increased</w:t>
      </w:r>
      <w:r>
        <w:rPr>
          <w:spacing w:val="11"/>
        </w:rPr>
        <w:t> </w:t>
      </w:r>
      <w:r>
        <w:rPr/>
        <w:t>from</w:t>
      </w:r>
      <w:r>
        <w:rPr>
          <w:spacing w:val="12"/>
        </w:rPr>
        <w:t> </w:t>
      </w:r>
      <w:r>
        <w:rPr/>
        <w:t>4.3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2010</w:t>
      </w:r>
      <w:r>
        <w:rPr>
          <w:spacing w:val="12"/>
        </w:rPr>
        <w:t> </w:t>
      </w:r>
      <w:r>
        <w:rPr/>
        <w:t>to</w:t>
      </w:r>
    </w:p>
    <w:p>
      <w:pPr>
        <w:pStyle w:val="BodyText"/>
        <w:spacing w:line="360" w:lineRule="auto" w:before="137"/>
        <w:ind w:left="120" w:right="113"/>
        <w:jc w:val="both"/>
      </w:pPr>
      <w:r>
        <w:rPr>
          <w:spacing w:val="-1"/>
        </w:rPr>
        <w:t>7.04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2019.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>
          <w:sz w:val="23"/>
        </w:rPr>
        <w:t>perhaps</w:t>
      </w:r>
      <w:r>
        <w:rPr>
          <w:spacing w:val="-12"/>
          <w:sz w:val="23"/>
        </w:rPr>
        <w:t> </w:t>
      </w:r>
      <w:r>
        <w:rPr/>
        <w:t>suggest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more</w:t>
      </w:r>
      <w:r>
        <w:rPr>
          <w:spacing w:val="-13"/>
        </w:rPr>
        <w:t> </w:t>
      </w:r>
      <w:r>
        <w:rPr/>
        <w:t>people</w:t>
      </w:r>
      <w:r>
        <w:rPr>
          <w:spacing w:val="-13"/>
        </w:rPr>
        <w:t> </w:t>
      </w:r>
      <w:r>
        <w:rPr/>
        <w:t>gain</w:t>
      </w:r>
      <w:r>
        <w:rPr>
          <w:spacing w:val="-14"/>
        </w:rPr>
        <w:t> </w:t>
      </w:r>
      <w:r>
        <w:rPr>
          <w:sz w:val="23"/>
        </w:rPr>
        <w:t>access</w:t>
      </w:r>
      <w:r>
        <w:rPr>
          <w:spacing w:val="-12"/>
          <w:sz w:val="23"/>
        </w:rPr>
        <w:t> </w:t>
      </w:r>
      <w:r>
        <w:rPr>
          <w:sz w:val="23"/>
        </w:rPr>
        <w:t>to</w:t>
      </w:r>
      <w:r>
        <w:rPr>
          <w:spacing w:val="-12"/>
          <w:sz w:val="23"/>
        </w:rPr>
        <w:t> </w:t>
      </w:r>
      <w:r>
        <w:rPr>
          <w:sz w:val="23"/>
        </w:rPr>
        <w:t>water</w:t>
      </w:r>
      <w:r>
        <w:rPr>
          <w:spacing w:val="-11"/>
          <w:sz w:val="23"/>
        </w:rPr>
        <w:t> </w:t>
      </w:r>
      <w:r>
        <w:rPr/>
        <w:t>over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periods.</w:t>
      </w:r>
      <w:r>
        <w:rPr>
          <w:spacing w:val="-14"/>
        </w:rPr>
        <w:t> </w:t>
      </w:r>
      <w:r>
        <w:rPr/>
        <w:t>However,</w:t>
      </w:r>
      <w:r>
        <w:rPr>
          <w:spacing w:val="-58"/>
        </w:rPr>
        <w:t> </w:t>
      </w:r>
      <w:r>
        <w:rPr/>
        <w:t>households</w:t>
      </w:r>
      <w:r>
        <w:rPr>
          <w:spacing w:val="-1"/>
        </w:rPr>
        <w:t> </w:t>
      </w:r>
      <w:r>
        <w:rPr/>
        <w:t>with quality</w:t>
      </w:r>
      <w:r>
        <w:rPr>
          <w:spacing w:val="-7"/>
        </w:rPr>
        <w:t> </w:t>
      </w:r>
      <w:r>
        <w:rPr/>
        <w:t>toilet</w:t>
      </w:r>
      <w:r>
        <w:rPr>
          <w:spacing w:val="-1"/>
        </w:rPr>
        <w:t> </w:t>
      </w:r>
      <w:r>
        <w:rPr/>
        <w:t>facility</w:t>
      </w:r>
      <w:r>
        <w:rPr>
          <w:spacing w:val="-4"/>
        </w:rPr>
        <w:t> </w:t>
      </w:r>
      <w:r>
        <w:rPr/>
        <w:t>fell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4.1 (2019) from</w:t>
      </w:r>
      <w:r>
        <w:rPr>
          <w:spacing w:val="-1"/>
        </w:rPr>
        <w:t> </w:t>
      </w:r>
      <w:r>
        <w:rPr/>
        <w:t>4.93 (2010).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could have</w:t>
      </w:r>
      <w:r>
        <w:rPr>
          <w:spacing w:val="-2"/>
        </w:rPr>
        <w:t> </w:t>
      </w:r>
      <w:r>
        <w:rPr/>
        <w:t>many</w:t>
      </w:r>
      <w:r>
        <w:rPr>
          <w:spacing w:val="-58"/>
        </w:rPr>
        <w:t> </w:t>
      </w:r>
      <w:r>
        <w:rPr>
          <w:spacing w:val="-1"/>
        </w:rPr>
        <w:t>implications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household’s</w:t>
      </w:r>
      <w:r>
        <w:rPr>
          <w:spacing w:val="-12"/>
        </w:rPr>
        <w:t> </w:t>
      </w:r>
      <w:r>
        <w:rPr/>
        <w:t>health,</w:t>
      </w:r>
      <w:r>
        <w:rPr>
          <w:spacing w:val="-13"/>
        </w:rPr>
        <w:t> </w:t>
      </w:r>
      <w:r>
        <w:rPr/>
        <w:t>because</w:t>
      </w:r>
      <w:r>
        <w:rPr>
          <w:spacing w:val="-13"/>
        </w:rPr>
        <w:t> </w:t>
      </w:r>
      <w:r>
        <w:rPr/>
        <w:t>contaminated</w:t>
      </w:r>
      <w:r>
        <w:rPr>
          <w:spacing w:val="-14"/>
        </w:rPr>
        <w:t> </w:t>
      </w:r>
      <w:r>
        <w:rPr/>
        <w:t>water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poor</w:t>
      </w:r>
      <w:r>
        <w:rPr>
          <w:spacing w:val="-13"/>
        </w:rPr>
        <w:t> </w:t>
      </w:r>
      <w:r>
        <w:rPr/>
        <w:t>sanitation</w:t>
      </w:r>
      <w:r>
        <w:rPr>
          <w:spacing w:val="-13"/>
        </w:rPr>
        <w:t> </w:t>
      </w:r>
      <w:r>
        <w:rPr/>
        <w:t>expose</w:t>
      </w:r>
      <w:r>
        <w:rPr>
          <w:spacing w:val="-10"/>
        </w:rPr>
        <w:t> </w:t>
      </w:r>
      <w:r>
        <w:rPr/>
        <w:t>people</w:t>
      </w:r>
      <w:r>
        <w:rPr>
          <w:spacing w:val="-58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various</w:t>
      </w:r>
      <w:r>
        <w:rPr>
          <w:spacing w:val="-15"/>
        </w:rPr>
        <w:t> </w:t>
      </w:r>
      <w:r>
        <w:rPr/>
        <w:t>health</w:t>
      </w:r>
      <w:r>
        <w:rPr>
          <w:spacing w:val="-15"/>
        </w:rPr>
        <w:t> </w:t>
      </w:r>
      <w:r>
        <w:rPr/>
        <w:t>risks.</w:t>
      </w:r>
      <w:r>
        <w:rPr>
          <w:spacing w:val="-12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also</w:t>
      </w:r>
      <w:r>
        <w:rPr>
          <w:spacing w:val="-14"/>
        </w:rPr>
        <w:t> </w:t>
      </w:r>
      <w:r>
        <w:rPr>
          <w:sz w:val="23"/>
        </w:rPr>
        <w:t>worthy</w:t>
      </w:r>
      <w:r>
        <w:rPr>
          <w:spacing w:val="-14"/>
          <w:sz w:val="23"/>
        </w:rPr>
        <w:t> </w:t>
      </w:r>
      <w:r>
        <w:rPr/>
        <w:t>of</w:t>
      </w:r>
      <w:r>
        <w:rPr>
          <w:spacing w:val="-16"/>
        </w:rPr>
        <w:t> </w:t>
      </w:r>
      <w:r>
        <w:rPr/>
        <w:t>note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access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>
          <w:sz w:val="23"/>
        </w:rPr>
        <w:t>drinkable</w:t>
      </w:r>
      <w:r>
        <w:rPr>
          <w:spacing w:val="-11"/>
          <w:sz w:val="23"/>
        </w:rPr>
        <w:t> </w:t>
      </w:r>
      <w:r>
        <w:rPr/>
        <w:t>water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essential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maintain</w:t>
      </w:r>
      <w:r>
        <w:rPr>
          <w:spacing w:val="-58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 body</w:t>
      </w:r>
      <w:r>
        <w:rPr>
          <w:spacing w:val="-5"/>
        </w:rPr>
        <w:t> </w:t>
      </w:r>
      <w:r>
        <w:rPr/>
        <w:t>fluids, transportation of</w:t>
      </w:r>
      <w:r>
        <w:rPr>
          <w:spacing w:val="-1"/>
        </w:rPr>
        <w:t> </w:t>
      </w:r>
      <w:r>
        <w:rPr/>
        <w:t>nutrients,</w:t>
      </w:r>
      <w:r>
        <w:rPr>
          <w:spacing w:val="2"/>
        </w:rPr>
        <w:t> </w:t>
      </w:r>
      <w:r>
        <w:rPr/>
        <w:t>and maintenance</w:t>
      </w:r>
      <w:r>
        <w:rPr>
          <w:spacing w:val="-1"/>
        </w:rPr>
        <w:t> </w:t>
      </w:r>
      <w:r>
        <w:rPr/>
        <w:t>of body</w:t>
      </w:r>
      <w:r>
        <w:rPr>
          <w:spacing w:val="-3"/>
        </w:rPr>
        <w:t> </w:t>
      </w:r>
      <w:r>
        <w:rPr/>
        <w:t>temperature.</w:t>
      </w:r>
    </w:p>
    <w:p>
      <w:pPr>
        <w:pStyle w:val="BodyText"/>
        <w:spacing w:line="360" w:lineRule="auto" w:before="230"/>
        <w:ind w:left="120" w:right="114"/>
        <w:jc w:val="both"/>
      </w:pPr>
      <w:r>
        <w:rPr/>
        <w:t>The</w:t>
      </w:r>
      <w:r>
        <w:rPr>
          <w:spacing w:val="-13"/>
        </w:rPr>
        <w:t> </w:t>
      </w:r>
      <w:r>
        <w:rPr/>
        <w:t>average</w:t>
      </w:r>
      <w:r>
        <w:rPr>
          <w:spacing w:val="-13"/>
        </w:rPr>
        <w:t> </w:t>
      </w:r>
      <w:r>
        <w:rPr/>
        <w:t>values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>
          <w:sz w:val="23"/>
        </w:rPr>
        <w:t>households’</w:t>
      </w:r>
      <w:r>
        <w:rPr>
          <w:spacing w:val="-11"/>
          <w:sz w:val="23"/>
        </w:rPr>
        <w:t> </w:t>
      </w:r>
      <w:r>
        <w:rPr/>
        <w:t>incomes</w:t>
      </w:r>
      <w:r>
        <w:rPr>
          <w:spacing w:val="-11"/>
        </w:rPr>
        <w:t> </w:t>
      </w:r>
      <w:r>
        <w:rPr/>
        <w:t>from</w:t>
      </w:r>
      <w:r>
        <w:rPr>
          <w:spacing w:val="-12"/>
        </w:rPr>
        <w:t> </w:t>
      </w:r>
      <w:r>
        <w:rPr/>
        <w:t>various</w:t>
      </w:r>
      <w:r>
        <w:rPr>
          <w:spacing w:val="-12"/>
        </w:rPr>
        <w:t> </w:t>
      </w:r>
      <w:r>
        <w:rPr/>
        <w:t>sources,</w:t>
      </w:r>
      <w:r>
        <w:rPr>
          <w:spacing w:val="-11"/>
        </w:rPr>
        <w:t> </w:t>
      </w:r>
      <w:r>
        <w:rPr>
          <w:sz w:val="23"/>
        </w:rPr>
        <w:t>such</w:t>
      </w:r>
      <w:r>
        <w:rPr>
          <w:spacing w:val="-11"/>
          <w:sz w:val="23"/>
        </w:rPr>
        <w:t> </w:t>
      </w:r>
      <w:r>
        <w:rPr>
          <w:sz w:val="23"/>
        </w:rPr>
        <w:t>as,</w:t>
      </w:r>
      <w:r>
        <w:rPr>
          <w:spacing w:val="-9"/>
          <w:sz w:val="23"/>
        </w:rPr>
        <w:t> </w:t>
      </w:r>
      <w:r>
        <w:rPr/>
        <w:t>wages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salaries,</w:t>
      </w:r>
      <w:r>
        <w:rPr>
          <w:spacing w:val="-12"/>
        </w:rPr>
        <w:t> </w:t>
      </w:r>
      <w:r>
        <w:rPr/>
        <w:t>trade</w:t>
      </w:r>
      <w:r>
        <w:rPr>
          <w:spacing w:val="-58"/>
        </w:rPr>
        <w:t> </w:t>
      </w:r>
      <w:r>
        <w:rPr/>
        <w:t>and other enterprises, crop and livestock, remittance from abroad, monetary assistance, pensions,</w:t>
      </w:r>
      <w:r>
        <w:rPr>
          <w:spacing w:val="-57"/>
        </w:rPr>
        <w:t> </w:t>
      </w:r>
      <w:r>
        <w:rPr>
          <w:spacing w:val="-1"/>
        </w:rPr>
        <w:t>interest,</w:t>
      </w:r>
      <w:r>
        <w:rPr>
          <w:spacing w:val="-12"/>
        </w:rPr>
        <w:t> </w:t>
      </w:r>
      <w:r>
        <w:rPr>
          <w:spacing w:val="-1"/>
        </w:rPr>
        <w:t>dividend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rental’s</w:t>
      </w:r>
      <w:r>
        <w:rPr>
          <w:spacing w:val="-12"/>
        </w:rPr>
        <w:t> </w:t>
      </w:r>
      <w:r>
        <w:rPr/>
        <w:t>incomes</w:t>
      </w:r>
      <w:r>
        <w:rPr>
          <w:spacing w:val="-12"/>
        </w:rPr>
        <w:t> </w:t>
      </w:r>
      <w:r>
        <w:rPr/>
        <w:t>does</w:t>
      </w:r>
      <w:r>
        <w:rPr>
          <w:spacing w:val="36"/>
        </w:rPr>
        <w:t> </w:t>
      </w:r>
      <w:r>
        <w:rPr/>
        <w:t>not</w:t>
      </w:r>
      <w:r>
        <w:rPr>
          <w:spacing w:val="-13"/>
        </w:rPr>
        <w:t> </w:t>
      </w:r>
      <w:r>
        <w:rPr/>
        <w:t>change</w:t>
      </w:r>
      <w:r>
        <w:rPr>
          <w:spacing w:val="-13"/>
        </w:rPr>
        <w:t> </w:t>
      </w:r>
      <w:r>
        <w:rPr/>
        <w:t>significantly</w:t>
      </w:r>
      <w:r>
        <w:rPr>
          <w:spacing w:val="-17"/>
        </w:rPr>
        <w:t> </w:t>
      </w:r>
      <w:r>
        <w:rPr/>
        <w:t>over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periods.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instance</w:t>
      </w:r>
      <w:r>
        <w:rPr>
          <w:spacing w:val="-57"/>
        </w:rPr>
        <w:t> </w:t>
      </w:r>
      <w:r>
        <w:rPr/>
        <w:t>the mean incomes from wages/salaries, crop and livestock, cash transfers and rental income only</w:t>
      </w:r>
      <w:r>
        <w:rPr>
          <w:spacing w:val="1"/>
        </w:rPr>
        <w:t> </w:t>
      </w:r>
      <w:r>
        <w:rPr>
          <w:spacing w:val="-1"/>
        </w:rPr>
        <w:t>rose</w:t>
      </w:r>
      <w:r>
        <w:rPr>
          <w:spacing w:val="-13"/>
        </w:rPr>
        <w:t> </w:t>
      </w:r>
      <w:r>
        <w:rPr>
          <w:spacing w:val="-1"/>
          <w:sz w:val="23"/>
        </w:rPr>
        <w:t>marginally,</w:t>
      </w:r>
      <w:r>
        <w:rPr>
          <w:spacing w:val="-8"/>
          <w:sz w:val="23"/>
        </w:rPr>
        <w:t> </w:t>
      </w:r>
      <w:r>
        <w:rPr>
          <w:spacing w:val="-1"/>
        </w:rPr>
        <w:t>while</w:t>
      </w:r>
      <w:r>
        <w:rPr>
          <w:spacing w:val="-13"/>
        </w:rPr>
        <w:t> </w:t>
      </w:r>
      <w:r>
        <w:rPr/>
        <w:t>those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interest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>
          <w:sz w:val="23"/>
        </w:rPr>
        <w:t>dividend</w:t>
      </w:r>
      <w:r>
        <w:rPr>
          <w:spacing w:val="-9"/>
          <w:sz w:val="23"/>
        </w:rPr>
        <w:t> </w:t>
      </w:r>
      <w:r>
        <w:rPr>
          <w:sz w:val="23"/>
        </w:rPr>
        <w:t>remained</w:t>
      </w:r>
      <w:r>
        <w:rPr>
          <w:spacing w:val="-11"/>
          <w:sz w:val="23"/>
        </w:rPr>
        <w:t> </w:t>
      </w:r>
      <w:r>
        <w:rPr>
          <w:sz w:val="23"/>
        </w:rPr>
        <w:t>unchanged.</w:t>
      </w:r>
      <w:r>
        <w:rPr>
          <w:spacing w:val="-9"/>
          <w:sz w:val="23"/>
        </w:rPr>
        <w:t> </w:t>
      </w:r>
      <w:r>
        <w:rPr/>
        <w:t>This</w:t>
      </w:r>
      <w:r>
        <w:rPr>
          <w:spacing w:val="-11"/>
        </w:rPr>
        <w:t> </w:t>
      </w:r>
      <w:r>
        <w:rPr/>
        <w:t>may</w:t>
      </w:r>
      <w:r>
        <w:rPr>
          <w:spacing w:val="-15"/>
        </w:rPr>
        <w:t> </w:t>
      </w:r>
      <w:r>
        <w:rPr/>
        <w:t>be</w:t>
      </w:r>
      <w:r>
        <w:rPr>
          <w:spacing w:val="-10"/>
        </w:rPr>
        <w:t> </w:t>
      </w:r>
      <w:r>
        <w:rPr/>
        <w:t>explained</w:t>
      </w:r>
      <w:r>
        <w:rPr>
          <w:spacing w:val="-58"/>
        </w:rPr>
        <w:t> </w:t>
      </w:r>
      <w:r>
        <w:rPr/>
        <w:t>by the fact that additional members of households gained employment during the review periods.</w:t>
      </w:r>
      <w:r>
        <w:rPr>
          <w:spacing w:val="-57"/>
        </w:rPr>
        <w:t> </w:t>
      </w:r>
      <w:r>
        <w:rPr/>
        <w:t>Again,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index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households’</w:t>
      </w:r>
      <w:r>
        <w:rPr>
          <w:spacing w:val="6"/>
        </w:rPr>
        <w:t> </w:t>
      </w:r>
      <w:r>
        <w:rPr/>
        <w:t>income</w:t>
      </w:r>
      <w:r>
        <w:rPr>
          <w:spacing w:val="8"/>
        </w:rPr>
        <w:t> </w:t>
      </w:r>
      <w:r>
        <w:rPr/>
        <w:t>disparity</w:t>
      </w:r>
      <w:r>
        <w:rPr>
          <w:spacing w:val="4"/>
        </w:rPr>
        <w:t> </w:t>
      </w:r>
      <w:r>
        <w:rPr/>
        <w:t>rose</w:t>
      </w:r>
      <w:r>
        <w:rPr>
          <w:spacing w:val="11"/>
        </w:rPr>
        <w:t> </w:t>
      </w:r>
      <w:r>
        <w:rPr/>
        <w:t>from</w:t>
      </w:r>
      <w:r>
        <w:rPr>
          <w:spacing w:val="7"/>
        </w:rPr>
        <w:t> </w:t>
      </w:r>
      <w:r>
        <w:rPr/>
        <w:t>0.37</w:t>
      </w:r>
      <w:r>
        <w:rPr>
          <w:spacing w:val="9"/>
        </w:rPr>
        <w:t> </w:t>
      </w:r>
      <w:r>
        <w:rPr/>
        <w:t>in</w:t>
      </w:r>
      <w:r>
        <w:rPr>
          <w:spacing w:val="7"/>
        </w:rPr>
        <w:t> </w:t>
      </w:r>
      <w:r>
        <w:rPr/>
        <w:t>2010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0.38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2013,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to</w:t>
      </w:r>
    </w:p>
    <w:p>
      <w:pPr>
        <w:spacing w:line="360" w:lineRule="auto" w:before="2"/>
        <w:ind w:left="120" w:right="114" w:firstLine="0"/>
        <w:jc w:val="both"/>
        <w:rPr>
          <w:sz w:val="24"/>
        </w:rPr>
      </w:pPr>
      <w:r>
        <w:rPr>
          <w:sz w:val="24"/>
        </w:rPr>
        <w:t>0.47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2019</w:t>
      </w:r>
      <w:r>
        <w:rPr>
          <w:spacing w:val="-12"/>
          <w:sz w:val="24"/>
        </w:rPr>
        <w:t> </w:t>
      </w:r>
      <w:r>
        <w:rPr>
          <w:sz w:val="24"/>
        </w:rPr>
        <w:t>from</w:t>
      </w:r>
      <w:r>
        <w:rPr>
          <w:spacing w:val="-13"/>
          <w:sz w:val="24"/>
        </w:rPr>
        <w:t> </w:t>
      </w:r>
      <w:r>
        <w:rPr>
          <w:sz w:val="24"/>
        </w:rPr>
        <w:t>0.42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2016.</w:t>
      </w:r>
      <w:r>
        <w:rPr>
          <w:spacing w:val="-12"/>
          <w:sz w:val="24"/>
        </w:rPr>
        <w:t> </w:t>
      </w:r>
      <w:r>
        <w:rPr>
          <w:sz w:val="23"/>
        </w:rPr>
        <w:t>These</w:t>
      </w:r>
      <w:r>
        <w:rPr>
          <w:spacing w:val="-13"/>
          <w:sz w:val="23"/>
        </w:rPr>
        <w:t> </w:t>
      </w:r>
      <w:r>
        <w:rPr>
          <w:sz w:val="23"/>
        </w:rPr>
        <w:t>results</w:t>
      </w:r>
      <w:r>
        <w:rPr>
          <w:spacing w:val="-9"/>
          <w:sz w:val="23"/>
        </w:rPr>
        <w:t> </w:t>
      </w:r>
      <w:r>
        <w:rPr>
          <w:sz w:val="24"/>
        </w:rPr>
        <w:t>imply</w:t>
      </w:r>
      <w:r>
        <w:rPr>
          <w:spacing w:val="-15"/>
          <w:sz w:val="24"/>
        </w:rPr>
        <w:t> </w:t>
      </w:r>
      <w:r>
        <w:rPr>
          <w:sz w:val="24"/>
        </w:rPr>
        <w:t>that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income-gap</w:t>
      </w:r>
      <w:r>
        <w:rPr>
          <w:spacing w:val="-11"/>
          <w:sz w:val="24"/>
        </w:rPr>
        <w:t> </w:t>
      </w:r>
      <w:r>
        <w:rPr>
          <w:sz w:val="24"/>
        </w:rPr>
        <w:t>among</w:t>
      </w:r>
      <w:r>
        <w:rPr>
          <w:spacing w:val="-14"/>
          <w:sz w:val="24"/>
        </w:rPr>
        <w:t> </w:t>
      </w:r>
      <w:r>
        <w:rPr>
          <w:sz w:val="23"/>
        </w:rPr>
        <w:t>households</w:t>
      </w:r>
      <w:r>
        <w:rPr>
          <w:spacing w:val="-11"/>
          <w:sz w:val="23"/>
        </w:rPr>
        <w:t> </w:t>
      </w:r>
      <w:r>
        <w:rPr>
          <w:sz w:val="24"/>
        </w:rPr>
        <w:t>greatly</w:t>
      </w:r>
      <w:r>
        <w:rPr>
          <w:spacing w:val="-57"/>
          <w:sz w:val="24"/>
        </w:rPr>
        <w:t> </w:t>
      </w:r>
      <w:r>
        <w:rPr>
          <w:sz w:val="24"/>
        </w:rPr>
        <w:t>rose</w:t>
      </w:r>
      <w:r>
        <w:rPr>
          <w:spacing w:val="-11"/>
          <w:sz w:val="24"/>
        </w:rPr>
        <w:t> </w:t>
      </w:r>
      <w:r>
        <w:rPr>
          <w:sz w:val="24"/>
        </w:rPr>
        <w:t>over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survey</w:t>
      </w:r>
      <w:r>
        <w:rPr>
          <w:spacing w:val="-14"/>
          <w:sz w:val="24"/>
        </w:rPr>
        <w:t> </w:t>
      </w:r>
      <w:r>
        <w:rPr>
          <w:sz w:val="24"/>
        </w:rPr>
        <w:t>periods</w:t>
      </w:r>
      <w:r>
        <w:rPr>
          <w:spacing w:val="-9"/>
          <w:sz w:val="24"/>
        </w:rPr>
        <w:t> </w:t>
      </w:r>
      <w:r>
        <w:rPr>
          <w:sz w:val="23"/>
        </w:rPr>
        <w:t>(2010-2019)</w:t>
      </w:r>
      <w:r>
        <w:rPr>
          <w:spacing w:val="-10"/>
          <w:sz w:val="23"/>
        </w:rPr>
        <w:t> </w:t>
      </w:r>
      <w:r>
        <w:rPr>
          <w:sz w:val="23"/>
        </w:rPr>
        <w:t>in</w:t>
      </w:r>
      <w:r>
        <w:rPr>
          <w:spacing w:val="-10"/>
          <w:sz w:val="23"/>
        </w:rPr>
        <w:t> </w:t>
      </w:r>
      <w:r>
        <w:rPr>
          <w:sz w:val="23"/>
        </w:rPr>
        <w:t>Nigeria</w:t>
      </w:r>
      <w:r>
        <w:rPr>
          <w:spacing w:val="-8"/>
          <w:sz w:val="23"/>
        </w:rPr>
        <w:t> </w:t>
      </w:r>
      <w:r>
        <w:rPr>
          <w:sz w:val="24"/>
        </w:rPr>
        <w:t>by</w:t>
      </w:r>
      <w:r>
        <w:rPr>
          <w:spacing w:val="-15"/>
          <w:sz w:val="24"/>
        </w:rPr>
        <w:t> </w:t>
      </w:r>
      <w:r>
        <w:rPr>
          <w:sz w:val="24"/>
        </w:rPr>
        <w:t>21%.</w:t>
      </w:r>
      <w:r>
        <w:rPr>
          <w:spacing w:val="-8"/>
          <w:sz w:val="24"/>
        </w:rPr>
        <w:t> </w:t>
      </w:r>
      <w:r>
        <w:rPr>
          <w:sz w:val="24"/>
        </w:rPr>
        <w:t>This</w:t>
      </w:r>
      <w:r>
        <w:rPr>
          <w:spacing w:val="-10"/>
          <w:sz w:val="24"/>
        </w:rPr>
        <w:t> </w:t>
      </w:r>
      <w:r>
        <w:rPr>
          <w:sz w:val="24"/>
        </w:rPr>
        <w:t>also</w:t>
      </w:r>
      <w:r>
        <w:rPr>
          <w:spacing w:val="-9"/>
          <w:sz w:val="24"/>
        </w:rPr>
        <w:t> </w:t>
      </w:r>
      <w:r>
        <w:rPr>
          <w:sz w:val="23"/>
        </w:rPr>
        <w:t>correspond</w:t>
      </w:r>
      <w:r>
        <w:rPr>
          <w:spacing w:val="-6"/>
          <w:sz w:val="23"/>
        </w:rPr>
        <w:t> </w:t>
      </w:r>
      <w:r>
        <w:rPr>
          <w:sz w:val="24"/>
        </w:rPr>
        <w:t>with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previous</w:t>
      </w:r>
      <w:r>
        <w:rPr>
          <w:spacing w:val="-58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Isah (2011),</w:t>
      </w:r>
      <w:r>
        <w:rPr>
          <w:spacing w:val="1"/>
          <w:sz w:val="24"/>
        </w:rPr>
        <w:t> </w:t>
      </w:r>
      <w:r>
        <w:rPr>
          <w:sz w:val="24"/>
        </w:rPr>
        <w:t>Usman (2016), and</w:t>
      </w:r>
      <w:r>
        <w:rPr>
          <w:spacing w:val="-1"/>
          <w:sz w:val="24"/>
        </w:rPr>
        <w:t> </w:t>
      </w:r>
      <w:r>
        <w:rPr>
          <w:sz w:val="24"/>
        </w:rPr>
        <w:t>Aigbokhan (2017:6).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154"/>
          <w:pgSz w:w="12240" w:h="15840"/>
          <w:pgMar w:footer="1015" w:header="0" w:top="1360" w:bottom="1200" w:left="1320" w:right="1320"/>
          <w:pgNumType w:start="90"/>
        </w:sectPr>
      </w:pPr>
    </w:p>
    <w:p>
      <w:pPr>
        <w:pStyle w:val="Heading4"/>
        <w:numPr>
          <w:ilvl w:val="1"/>
          <w:numId w:val="14"/>
        </w:numPr>
        <w:tabs>
          <w:tab w:pos="841" w:val="left" w:leader="none"/>
        </w:tabs>
        <w:spacing w:line="240" w:lineRule="auto" w:before="79" w:after="0"/>
        <w:ind w:left="840" w:right="0" w:hanging="721"/>
        <w:jc w:val="both"/>
      </w:pPr>
      <w:bookmarkStart w:name="_TOC_250024" w:id="53"/>
      <w:r>
        <w:rPr/>
        <w:t>Demographic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Socio-Economic</w:t>
      </w:r>
      <w:r>
        <w:rPr>
          <w:spacing w:val="-3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53"/>
      <w:r>
        <w:rPr/>
        <w:t>Households</w:t>
      </w:r>
    </w:p>
    <w:p>
      <w:pPr>
        <w:pStyle w:val="BodyText"/>
        <w:spacing w:line="360" w:lineRule="auto" w:before="132"/>
        <w:ind w:left="120" w:right="115"/>
        <w:jc w:val="both"/>
      </w:pPr>
      <w:r>
        <w:rPr/>
        <w:t>An understanding of household’s profiles better understanding of the findings. The household-</w:t>
      </w:r>
      <w:r>
        <w:rPr>
          <w:spacing w:val="1"/>
        </w:rPr>
        <w:t> </w:t>
      </w:r>
      <w:r>
        <w:rPr/>
        <w:t>level</w:t>
      </w:r>
      <w:r>
        <w:rPr>
          <w:spacing w:val="-3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household’s</w:t>
      </w:r>
      <w:r>
        <w:rPr>
          <w:spacing w:val="-3"/>
        </w:rPr>
        <w:t> </w:t>
      </w:r>
      <w:r>
        <w:rPr/>
        <w:t>head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members.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selection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key</w:t>
      </w:r>
      <w:r>
        <w:rPr>
          <w:spacing w:val="-11"/>
        </w:rPr>
        <w:t> </w:t>
      </w:r>
      <w:r>
        <w:rPr/>
        <w:t>characteristics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guided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literature</w:t>
      </w:r>
      <w:r>
        <w:rPr>
          <w:spacing w:val="-9"/>
        </w:rPr>
        <w:t> </w:t>
      </w:r>
      <w:r>
        <w:rPr/>
        <w:t>(See</w:t>
      </w:r>
      <w:r>
        <w:rPr>
          <w:spacing w:val="-10"/>
        </w:rPr>
        <w:t> </w:t>
      </w:r>
      <w:r>
        <w:rPr/>
        <w:t>Becker,</w:t>
      </w:r>
      <w:r>
        <w:rPr>
          <w:spacing w:val="-8"/>
        </w:rPr>
        <w:t> </w:t>
      </w:r>
      <w:r>
        <w:rPr/>
        <w:t>1976;</w:t>
      </w:r>
      <w:r>
        <w:rPr>
          <w:spacing w:val="-8"/>
        </w:rPr>
        <w:t> </w:t>
      </w:r>
      <w:r>
        <w:rPr/>
        <w:t>Pollak,</w:t>
      </w:r>
      <w:r>
        <w:rPr>
          <w:spacing w:val="-8"/>
        </w:rPr>
        <w:t> </w:t>
      </w:r>
      <w:r>
        <w:rPr/>
        <w:t>2002;</w:t>
      </w:r>
      <w:r>
        <w:rPr>
          <w:spacing w:val="-58"/>
        </w:rPr>
        <w:t> </w:t>
      </w:r>
      <w:r>
        <w:rPr/>
        <w:t>and Adedini, 2013). These variables include, gender of respondents, relationship with the head,</w:t>
      </w:r>
      <w:r>
        <w:rPr>
          <w:spacing w:val="1"/>
        </w:rPr>
        <w:t> </w:t>
      </w:r>
      <w:r>
        <w:rPr/>
        <w:t>family</w:t>
      </w:r>
      <w:r>
        <w:rPr>
          <w:spacing w:val="-11"/>
        </w:rPr>
        <w:t> </w:t>
      </w:r>
      <w:r>
        <w:rPr/>
        <w:t>size,</w:t>
      </w:r>
      <w:r>
        <w:rPr>
          <w:spacing w:val="-4"/>
        </w:rPr>
        <w:t> </w:t>
      </w:r>
      <w:r>
        <w:rPr/>
        <w:t>literacy,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marital</w:t>
      </w:r>
      <w:r>
        <w:rPr>
          <w:spacing w:val="-6"/>
        </w:rPr>
        <w:t> </w:t>
      </w:r>
      <w:r>
        <w:rPr/>
        <w:t>status,</w:t>
      </w:r>
      <w:r>
        <w:rPr>
          <w:spacing w:val="-6"/>
        </w:rPr>
        <w:t> </w:t>
      </w:r>
      <w:r>
        <w:rPr/>
        <w:t>source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drinking</w:t>
      </w:r>
      <w:r>
        <w:rPr>
          <w:spacing w:val="-6"/>
        </w:rPr>
        <w:t> </w:t>
      </w:r>
      <w:r>
        <w:rPr/>
        <w:t>water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household,</w:t>
      </w:r>
      <w:r>
        <w:rPr>
          <w:spacing w:val="-6"/>
        </w:rPr>
        <w:t> </w:t>
      </w:r>
      <w:r>
        <w:rPr/>
        <w:t>type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household</w:t>
      </w:r>
      <w:r>
        <w:rPr>
          <w:spacing w:val="-58"/>
        </w:rPr>
        <w:t> </w:t>
      </w:r>
      <w:r>
        <w:rPr/>
        <w:t>toilet</w:t>
      </w:r>
      <w:r>
        <w:rPr>
          <w:spacing w:val="-1"/>
        </w:rPr>
        <w:t> </w:t>
      </w:r>
      <w:r>
        <w:rPr/>
        <w:t>facilities, and access to electricity.</w:t>
      </w:r>
    </w:p>
    <w:p>
      <w:pPr>
        <w:pStyle w:val="Heading5"/>
        <w:numPr>
          <w:ilvl w:val="2"/>
          <w:numId w:val="14"/>
        </w:numPr>
        <w:tabs>
          <w:tab w:pos="841" w:val="left" w:leader="none"/>
        </w:tabs>
        <w:spacing w:line="240" w:lineRule="auto" w:before="137" w:after="0"/>
        <w:ind w:left="840" w:right="0" w:hanging="721"/>
        <w:jc w:val="both"/>
      </w:pPr>
      <w:bookmarkStart w:name="_TOC_250023" w:id="54"/>
      <w:r>
        <w:rPr/>
        <w:t>Gender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54"/>
      <w:r>
        <w:rPr/>
        <w:t>Respondents</w:t>
      </w:r>
    </w:p>
    <w:p>
      <w:pPr>
        <w:pStyle w:val="BodyText"/>
        <w:spacing w:line="360" w:lineRule="auto" w:before="18"/>
        <w:ind w:left="120" w:right="114"/>
        <w:jc w:val="both"/>
      </w:pPr>
      <w:r>
        <w:rPr/>
        <w:t>Table 5.2 presented the percentage distribution of respondents according to their gender. The</w:t>
      </w:r>
      <w:r>
        <w:rPr>
          <w:spacing w:val="1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revealed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pre-dominantly</w:t>
      </w:r>
      <w:r>
        <w:rPr>
          <w:spacing w:val="-10"/>
        </w:rPr>
        <w:t> </w:t>
      </w:r>
      <w:r>
        <w:rPr/>
        <w:t>high</w:t>
      </w:r>
      <w:r>
        <w:rPr>
          <w:spacing w:val="-4"/>
        </w:rPr>
        <w:t> </w:t>
      </w:r>
      <w:r>
        <w:rPr/>
        <w:t>proportion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households</w:t>
      </w:r>
      <w:r>
        <w:rPr>
          <w:spacing w:val="-3"/>
        </w:rPr>
        <w:t> </w:t>
      </w:r>
      <w:r>
        <w:rPr/>
        <w:t>(more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half)</w:t>
      </w:r>
      <w:r>
        <w:rPr>
          <w:spacing w:val="-4"/>
        </w:rPr>
        <w:t> </w:t>
      </w:r>
      <w:r>
        <w:rPr/>
        <w:t>were</w:t>
      </w:r>
      <w:r>
        <w:rPr>
          <w:spacing w:val="-58"/>
        </w:rPr>
        <w:t> </w:t>
      </w:r>
      <w:r>
        <w:rPr/>
        <w:t>female. That is, the percent of female respondent increased from 50.26% in Wave 1 to 50.67% in</w:t>
      </w:r>
      <w:r>
        <w:rPr>
          <w:spacing w:val="-57"/>
        </w:rPr>
        <w:t> </w:t>
      </w:r>
      <w:r>
        <w:rPr/>
        <w:t>Wave 2. Though the statistics slightly decline to 50.36% in Wave 4 from 50.97% in Wave 3, still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numbers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female</w:t>
      </w:r>
      <w:r>
        <w:rPr>
          <w:spacing w:val="-7"/>
        </w:rPr>
        <w:t> </w:t>
      </w:r>
      <w:r>
        <w:rPr/>
        <w:t>respondents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higher.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against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male</w:t>
      </w:r>
      <w:r>
        <w:rPr>
          <w:spacing w:val="-7"/>
        </w:rPr>
        <w:t> </w:t>
      </w:r>
      <w:r>
        <w:rPr/>
        <w:t>respondent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decline</w:t>
      </w:r>
      <w:r>
        <w:rPr>
          <w:spacing w:val="-6"/>
        </w:rPr>
        <w:t> </w:t>
      </w:r>
      <w:r>
        <w:rPr/>
        <w:t>from</w:t>
      </w:r>
      <w:r>
        <w:rPr>
          <w:spacing w:val="-58"/>
        </w:rPr>
        <w:t> </w:t>
      </w:r>
      <w:r>
        <w:rPr/>
        <w:t>49.7%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Wave</w:t>
      </w:r>
      <w:r>
        <w:rPr>
          <w:spacing w:val="-4"/>
        </w:rPr>
        <w:t> </w:t>
      </w:r>
      <w:r>
        <w:rPr/>
        <w:t>I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/>
        <w:t>49.3%</w:t>
      </w:r>
      <w:r>
        <w:rPr>
          <w:spacing w:val="-6"/>
        </w:rPr>
        <w:t> </w:t>
      </w:r>
      <w:r>
        <w:rPr/>
        <w:t>(Wave</w:t>
      </w:r>
      <w:r>
        <w:rPr>
          <w:spacing w:val="-6"/>
        </w:rPr>
        <w:t> </w:t>
      </w:r>
      <w:r>
        <w:rPr/>
        <w:t>2),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rose</w:t>
      </w:r>
      <w:r>
        <w:rPr>
          <w:spacing w:val="-8"/>
        </w:rPr>
        <w:t> </w:t>
      </w:r>
      <w:r>
        <w:rPr/>
        <w:t>trivially</w:t>
      </w:r>
      <w:r>
        <w:rPr>
          <w:spacing w:val="-12"/>
        </w:rPr>
        <w:t> </w:t>
      </w:r>
      <w:r>
        <w:rPr/>
        <w:t>to</w:t>
      </w:r>
      <w:r>
        <w:rPr>
          <w:spacing w:val="-4"/>
        </w:rPr>
        <w:t> </w:t>
      </w:r>
      <w:r>
        <w:rPr/>
        <w:t>49.6%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Wave</w:t>
      </w:r>
      <w:r>
        <w:rPr>
          <w:spacing w:val="-6"/>
        </w:rPr>
        <w:t> </w:t>
      </w:r>
      <w:r>
        <w:rPr/>
        <w:t>4.</w:t>
      </w:r>
      <w:r>
        <w:rPr>
          <w:spacing w:val="-5"/>
        </w:rPr>
        <w:t> </w:t>
      </w:r>
      <w:r>
        <w:rPr/>
        <w:t>Perhaps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true</w:t>
      </w:r>
      <w:r>
        <w:rPr>
          <w:spacing w:val="-6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Nigeria’s</w:t>
      </w:r>
      <w:r>
        <w:rPr>
          <w:spacing w:val="-6"/>
        </w:rPr>
        <w:t> </w:t>
      </w:r>
      <w:r>
        <w:rPr/>
        <w:t>population,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pattern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line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NPC</w:t>
      </w:r>
      <w:r>
        <w:rPr>
          <w:spacing w:val="-5"/>
        </w:rPr>
        <w:t> </w:t>
      </w:r>
      <w:r>
        <w:rPr/>
        <w:t>(2017),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sex</w:t>
      </w:r>
      <w:r>
        <w:rPr>
          <w:spacing w:val="-3"/>
        </w:rPr>
        <w:t> </w:t>
      </w:r>
      <w:r>
        <w:rPr/>
        <w:t>ratio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individuals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slightly</w:t>
      </w:r>
      <w:r>
        <w:rPr>
          <w:spacing w:val="-5"/>
        </w:rPr>
        <w:t> </w:t>
      </w:r>
      <w:r>
        <w:rPr/>
        <w:t>in favour of</w:t>
      </w:r>
      <w:r>
        <w:rPr>
          <w:spacing w:val="-2"/>
        </w:rPr>
        <w:t> </w:t>
      </w:r>
      <w:r>
        <w:rPr/>
        <w:t>female</w:t>
      </w:r>
      <w:r>
        <w:rPr>
          <w:spacing w:val="-1"/>
        </w:rPr>
        <w:t> </w:t>
      </w:r>
      <w:r>
        <w:rPr/>
        <w:t>citizens</w:t>
      </w:r>
      <w:r>
        <w:rPr>
          <w:spacing w:val="2"/>
        </w:rPr>
        <w:t> </w:t>
      </w:r>
      <w:r>
        <w:rPr/>
        <w:t>in Nigeria.</w:t>
      </w:r>
    </w:p>
    <w:p>
      <w:pPr>
        <w:pStyle w:val="Heading4"/>
        <w:spacing w:before="190" w:after="42"/>
        <w:ind w:left="120"/>
      </w:pPr>
      <w:r>
        <w:rPr/>
        <w:t>Table</w:t>
      </w:r>
      <w:r>
        <w:rPr>
          <w:spacing w:val="-2"/>
        </w:rPr>
        <w:t> </w:t>
      </w:r>
      <w:r>
        <w:rPr/>
        <w:t>5.2:</w:t>
      </w:r>
      <w:r>
        <w:rPr>
          <w:spacing w:val="-3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of Respondents</w:t>
      </w:r>
      <w:r>
        <w:rPr>
          <w:spacing w:val="-2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Gender</w:t>
      </w:r>
      <w:r>
        <w:rPr>
          <w:spacing w:val="1"/>
        </w:rPr>
        <w:t> </w:t>
      </w:r>
      <w:r>
        <w:rPr/>
        <w:t>(NGHPS, 2010-2019)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344"/>
        <w:gridCol w:w="721"/>
        <w:gridCol w:w="1352"/>
        <w:gridCol w:w="721"/>
        <w:gridCol w:w="1349"/>
        <w:gridCol w:w="720"/>
        <w:gridCol w:w="1441"/>
        <w:gridCol w:w="716"/>
      </w:tblGrid>
      <w:tr>
        <w:trPr>
          <w:trHeight w:val="292" w:hRule="atLeast"/>
        </w:trPr>
        <w:tc>
          <w:tcPr>
            <w:tcW w:w="991" w:type="dxa"/>
            <w:vMerge w:val="restart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Gender</w:t>
            </w:r>
          </w:p>
        </w:tc>
        <w:tc>
          <w:tcPr>
            <w:tcW w:w="2065" w:type="dxa"/>
            <w:gridSpan w:val="2"/>
          </w:tcPr>
          <w:p>
            <w:pPr>
              <w:pStyle w:val="TableParagraph"/>
              <w:spacing w:line="247" w:lineRule="exact"/>
              <w:ind w:left="29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1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(2010)</w:t>
            </w:r>
          </w:p>
        </w:tc>
        <w:tc>
          <w:tcPr>
            <w:tcW w:w="2073" w:type="dxa"/>
            <w:gridSpan w:val="2"/>
          </w:tcPr>
          <w:p>
            <w:pPr>
              <w:pStyle w:val="TableParagraph"/>
              <w:spacing w:line="247" w:lineRule="exact"/>
              <w:ind w:left="29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2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(2013)</w:t>
            </w:r>
          </w:p>
        </w:tc>
        <w:tc>
          <w:tcPr>
            <w:tcW w:w="2069" w:type="dxa"/>
            <w:gridSpan w:val="2"/>
          </w:tcPr>
          <w:p>
            <w:pPr>
              <w:pStyle w:val="TableParagraph"/>
              <w:spacing w:line="247" w:lineRule="exact"/>
              <w:ind w:left="29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(2016)</w:t>
            </w:r>
          </w:p>
        </w:tc>
        <w:tc>
          <w:tcPr>
            <w:tcW w:w="2157" w:type="dxa"/>
            <w:gridSpan w:val="2"/>
          </w:tcPr>
          <w:p>
            <w:pPr>
              <w:pStyle w:val="TableParagraph"/>
              <w:spacing w:line="247" w:lineRule="exact"/>
              <w:ind w:left="34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4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(2019)</w:t>
            </w:r>
          </w:p>
        </w:tc>
      </w:tr>
      <w:tr>
        <w:trPr>
          <w:trHeight w:val="263" w:hRule="atLeast"/>
        </w:trPr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line="225" w:lineRule="exact"/>
              <w:ind w:left="118" w:right="109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Observations</w:t>
            </w:r>
          </w:p>
        </w:tc>
        <w:tc>
          <w:tcPr>
            <w:tcW w:w="721" w:type="dxa"/>
          </w:tcPr>
          <w:p>
            <w:pPr>
              <w:pStyle w:val="TableParagraph"/>
              <w:ind w:left="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1352" w:type="dxa"/>
          </w:tcPr>
          <w:p>
            <w:pPr>
              <w:pStyle w:val="TableParagraph"/>
              <w:spacing w:line="225" w:lineRule="exact"/>
              <w:ind w:left="120" w:right="115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Observations</w:t>
            </w:r>
          </w:p>
        </w:tc>
        <w:tc>
          <w:tcPr>
            <w:tcW w:w="721" w:type="dxa"/>
          </w:tcPr>
          <w:p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1349" w:type="dxa"/>
          </w:tcPr>
          <w:p>
            <w:pPr>
              <w:pStyle w:val="TableParagraph"/>
              <w:spacing w:line="225" w:lineRule="exact"/>
              <w:ind w:left="116" w:right="115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Observations</w:t>
            </w:r>
          </w:p>
        </w:tc>
        <w:tc>
          <w:tcPr>
            <w:tcW w:w="720" w:type="dxa"/>
          </w:tcPr>
          <w:p>
            <w:pPr>
              <w:pStyle w:val="TableParagraph"/>
              <w:ind w:left="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1441" w:type="dxa"/>
          </w:tcPr>
          <w:p>
            <w:pPr>
              <w:pStyle w:val="TableParagraph"/>
              <w:spacing w:line="225" w:lineRule="exact"/>
              <w:ind w:left="164" w:right="160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Observations</w:t>
            </w:r>
          </w:p>
        </w:tc>
        <w:tc>
          <w:tcPr>
            <w:tcW w:w="716" w:type="dxa"/>
          </w:tcPr>
          <w:p>
            <w:pPr>
              <w:pStyle w:val="TableParagraph"/>
              <w:ind w:left="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</w:tr>
      <w:tr>
        <w:trPr>
          <w:trHeight w:val="316" w:hRule="atLeast"/>
        </w:trPr>
        <w:tc>
          <w:tcPr>
            <w:tcW w:w="991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Male</w:t>
            </w:r>
          </w:p>
        </w:tc>
        <w:tc>
          <w:tcPr>
            <w:tcW w:w="1344" w:type="dxa"/>
          </w:tcPr>
          <w:p>
            <w:pPr>
              <w:pStyle w:val="TableParagraph"/>
              <w:spacing w:line="247" w:lineRule="exact"/>
              <w:ind w:left="118" w:right="10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14,062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90" w:right="7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49.74</w:t>
            </w:r>
          </w:p>
        </w:tc>
        <w:tc>
          <w:tcPr>
            <w:tcW w:w="1352" w:type="dxa"/>
          </w:tcPr>
          <w:p>
            <w:pPr>
              <w:pStyle w:val="TableParagraph"/>
              <w:spacing w:line="247" w:lineRule="exact"/>
              <w:ind w:left="120" w:right="11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14,913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86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49.33</w:t>
            </w:r>
          </w:p>
        </w:tc>
        <w:tc>
          <w:tcPr>
            <w:tcW w:w="1349" w:type="dxa"/>
          </w:tcPr>
          <w:p>
            <w:pPr>
              <w:pStyle w:val="TableParagraph"/>
              <w:spacing w:line="247" w:lineRule="exact"/>
              <w:ind w:left="116" w:right="11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16,095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91" w:right="8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49.03</w:t>
            </w:r>
          </w:p>
        </w:tc>
        <w:tc>
          <w:tcPr>
            <w:tcW w:w="1441" w:type="dxa"/>
          </w:tcPr>
          <w:p>
            <w:pPr>
              <w:pStyle w:val="TableParagraph"/>
              <w:spacing w:line="247" w:lineRule="exact"/>
              <w:ind w:left="164" w:right="15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13,705</w:t>
            </w:r>
          </w:p>
        </w:tc>
        <w:tc>
          <w:tcPr>
            <w:tcW w:w="716" w:type="dxa"/>
          </w:tcPr>
          <w:p>
            <w:pPr>
              <w:pStyle w:val="TableParagraph"/>
              <w:spacing w:line="247" w:lineRule="exact"/>
              <w:ind w:left="88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49.64</w:t>
            </w:r>
          </w:p>
        </w:tc>
      </w:tr>
      <w:tr>
        <w:trPr>
          <w:trHeight w:val="318" w:hRule="atLeast"/>
        </w:trPr>
        <w:tc>
          <w:tcPr>
            <w:tcW w:w="991" w:type="dxa"/>
          </w:tcPr>
          <w:p>
            <w:pPr>
              <w:pStyle w:val="TableParagraph"/>
              <w:spacing w:before="1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Female</w:t>
            </w:r>
          </w:p>
        </w:tc>
        <w:tc>
          <w:tcPr>
            <w:tcW w:w="1344" w:type="dxa"/>
          </w:tcPr>
          <w:p>
            <w:pPr>
              <w:pStyle w:val="TableParagraph"/>
              <w:spacing w:line="249" w:lineRule="exact"/>
              <w:ind w:left="118" w:right="10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14,208</w:t>
            </w:r>
          </w:p>
        </w:tc>
        <w:tc>
          <w:tcPr>
            <w:tcW w:w="721" w:type="dxa"/>
          </w:tcPr>
          <w:p>
            <w:pPr>
              <w:pStyle w:val="TableParagraph"/>
              <w:spacing w:line="249" w:lineRule="exact"/>
              <w:ind w:left="90" w:right="7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50.26</w:t>
            </w:r>
          </w:p>
        </w:tc>
        <w:tc>
          <w:tcPr>
            <w:tcW w:w="1352" w:type="dxa"/>
          </w:tcPr>
          <w:p>
            <w:pPr>
              <w:pStyle w:val="TableParagraph"/>
              <w:spacing w:line="249" w:lineRule="exact"/>
              <w:ind w:left="120" w:right="11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15,321</w:t>
            </w:r>
          </w:p>
        </w:tc>
        <w:tc>
          <w:tcPr>
            <w:tcW w:w="721" w:type="dxa"/>
          </w:tcPr>
          <w:p>
            <w:pPr>
              <w:pStyle w:val="TableParagraph"/>
              <w:spacing w:line="249" w:lineRule="exact"/>
              <w:ind w:left="86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50.67</w:t>
            </w:r>
          </w:p>
        </w:tc>
        <w:tc>
          <w:tcPr>
            <w:tcW w:w="1349" w:type="dxa"/>
          </w:tcPr>
          <w:p>
            <w:pPr>
              <w:pStyle w:val="TableParagraph"/>
              <w:spacing w:line="249" w:lineRule="exact"/>
              <w:ind w:left="116" w:right="11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16,732</w:t>
            </w:r>
          </w:p>
        </w:tc>
        <w:tc>
          <w:tcPr>
            <w:tcW w:w="720" w:type="dxa"/>
          </w:tcPr>
          <w:p>
            <w:pPr>
              <w:pStyle w:val="TableParagraph"/>
              <w:spacing w:line="249" w:lineRule="exact"/>
              <w:ind w:left="91" w:right="8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50.97</w:t>
            </w:r>
          </w:p>
        </w:tc>
        <w:tc>
          <w:tcPr>
            <w:tcW w:w="1441" w:type="dxa"/>
          </w:tcPr>
          <w:p>
            <w:pPr>
              <w:pStyle w:val="TableParagraph"/>
              <w:spacing w:line="249" w:lineRule="exact"/>
              <w:ind w:left="164" w:right="15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13,902</w:t>
            </w:r>
          </w:p>
        </w:tc>
        <w:tc>
          <w:tcPr>
            <w:tcW w:w="716" w:type="dxa"/>
          </w:tcPr>
          <w:p>
            <w:pPr>
              <w:pStyle w:val="TableParagraph"/>
              <w:spacing w:line="249" w:lineRule="exact"/>
              <w:ind w:left="88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50.36</w:t>
            </w:r>
          </w:p>
        </w:tc>
      </w:tr>
      <w:tr>
        <w:trPr>
          <w:trHeight w:val="316" w:hRule="atLeast"/>
        </w:trPr>
        <w:tc>
          <w:tcPr>
            <w:tcW w:w="991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line="251" w:lineRule="exact"/>
              <w:ind w:left="118" w:right="106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28,270</w:t>
            </w:r>
          </w:p>
        </w:tc>
        <w:tc>
          <w:tcPr>
            <w:tcW w:w="721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spacing w:line="251" w:lineRule="exact"/>
              <w:ind w:left="120" w:right="11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30,234</w:t>
            </w:r>
          </w:p>
        </w:tc>
        <w:tc>
          <w:tcPr>
            <w:tcW w:w="721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line="251" w:lineRule="exact"/>
              <w:ind w:left="116" w:right="11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32,827</w:t>
            </w:r>
          </w:p>
        </w:tc>
        <w:tc>
          <w:tcPr>
            <w:tcW w:w="72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line="251" w:lineRule="exact"/>
              <w:ind w:left="164" w:right="156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27,607</w:t>
            </w:r>
          </w:p>
        </w:tc>
        <w:tc>
          <w:tcPr>
            <w:tcW w:w="716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sz w:val="20"/>
        </w:rPr>
        <w:t>Source:</w:t>
      </w:r>
      <w:r>
        <w:rPr>
          <w:spacing w:val="-3"/>
          <w:sz w:val="20"/>
        </w:rPr>
        <w:t> </w:t>
      </w:r>
      <w:r>
        <w:rPr>
          <w:sz w:val="20"/>
        </w:rPr>
        <w:t>NGHS,</w:t>
      </w:r>
      <w:r>
        <w:rPr>
          <w:spacing w:val="-2"/>
          <w:sz w:val="20"/>
        </w:rPr>
        <w:t> </w:t>
      </w:r>
      <w:r>
        <w:rPr>
          <w:sz w:val="20"/>
        </w:rPr>
        <w:t>National</w:t>
      </w:r>
      <w:r>
        <w:rPr>
          <w:spacing w:val="-2"/>
          <w:sz w:val="20"/>
        </w:rPr>
        <w:t> </w:t>
      </w:r>
      <w:r>
        <w:rPr>
          <w:sz w:val="20"/>
        </w:rPr>
        <w:t>Bureau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Statistics</w:t>
      </w:r>
      <w:r>
        <w:rPr>
          <w:spacing w:val="-2"/>
          <w:sz w:val="20"/>
        </w:rPr>
        <w:t> </w:t>
      </w:r>
      <w:r>
        <w:rPr>
          <w:sz w:val="20"/>
        </w:rPr>
        <w:t>(various years)</w:t>
      </w:r>
    </w:p>
    <w:p>
      <w:pPr>
        <w:pStyle w:val="BodyText"/>
        <w:spacing w:before="4"/>
        <w:rPr>
          <w:sz w:val="30"/>
        </w:rPr>
      </w:pPr>
    </w:p>
    <w:p>
      <w:pPr>
        <w:pStyle w:val="Heading5"/>
        <w:numPr>
          <w:ilvl w:val="2"/>
          <w:numId w:val="14"/>
        </w:numPr>
        <w:tabs>
          <w:tab w:pos="841" w:val="left" w:leader="none"/>
        </w:tabs>
        <w:spacing w:line="240" w:lineRule="auto" w:before="1" w:after="0"/>
        <w:ind w:left="840" w:right="0" w:hanging="721"/>
        <w:jc w:val="both"/>
      </w:pPr>
      <w:bookmarkStart w:name="_TOC_250022" w:id="55"/>
      <w:r>
        <w:rPr/>
        <w:t>Relationship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Head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bookmarkEnd w:id="55"/>
      <w:r>
        <w:rPr/>
        <w:t>Households</w:t>
      </w:r>
    </w:p>
    <w:p>
      <w:pPr>
        <w:pStyle w:val="BodyText"/>
        <w:spacing w:line="360" w:lineRule="auto" w:before="17"/>
        <w:ind w:left="120" w:right="115"/>
        <w:jc w:val="both"/>
      </w:pPr>
      <w:r>
        <w:rPr>
          <w:spacing w:val="-1"/>
        </w:rPr>
        <w:t>In</w:t>
      </w:r>
      <w:r>
        <w:rPr>
          <w:spacing w:val="-13"/>
        </w:rPr>
        <w:t> </w:t>
      </w:r>
      <w:r>
        <w:rPr/>
        <w:t>any</w:t>
      </w:r>
      <w:r>
        <w:rPr>
          <w:spacing w:val="-17"/>
        </w:rPr>
        <w:t> </w:t>
      </w:r>
      <w:r>
        <w:rPr/>
        <w:t>family</w:t>
      </w:r>
      <w:r>
        <w:rPr>
          <w:spacing w:val="-20"/>
        </w:rPr>
        <w:t> </w:t>
      </w:r>
      <w:r>
        <w:rPr/>
        <w:t>setting,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relationship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household</w:t>
      </w:r>
      <w:r>
        <w:rPr>
          <w:spacing w:val="-14"/>
        </w:rPr>
        <w:t> </w:t>
      </w:r>
      <w:r>
        <w:rPr/>
        <w:t>head</w:t>
      </w:r>
      <w:r>
        <w:rPr>
          <w:spacing w:val="-15"/>
        </w:rPr>
        <w:t> </w:t>
      </w:r>
      <w:r>
        <w:rPr/>
        <w:t>is</w:t>
      </w:r>
      <w:r>
        <w:rPr>
          <w:spacing w:val="-12"/>
        </w:rPr>
        <w:t> </w:t>
      </w:r>
      <w:r>
        <w:rPr>
          <w:sz w:val="22"/>
        </w:rPr>
        <w:t>key</w:t>
      </w:r>
      <w:r>
        <w:rPr>
          <w:spacing w:val="-12"/>
          <w:sz w:val="22"/>
        </w:rPr>
        <w:t> </w:t>
      </w:r>
      <w:r>
        <w:rPr/>
        <w:t>to</w:t>
      </w:r>
      <w:r>
        <w:rPr>
          <w:spacing w:val="-14"/>
        </w:rPr>
        <w:t> </w:t>
      </w:r>
      <w:r>
        <w:rPr/>
        <w:t>determining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type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welfare</w:t>
      </w:r>
      <w:r>
        <w:rPr>
          <w:spacing w:val="-57"/>
        </w:rPr>
        <w:t> </w:t>
      </w:r>
      <w:r>
        <w:rPr/>
        <w:t>particularly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healthcare</w:t>
      </w:r>
      <w:r>
        <w:rPr>
          <w:spacing w:val="-10"/>
        </w:rPr>
        <w:t> </w:t>
      </w:r>
      <w:r>
        <w:rPr/>
        <w:t>received</w:t>
      </w:r>
      <w:r>
        <w:rPr>
          <w:spacing w:val="-9"/>
        </w:rPr>
        <w:t> </w:t>
      </w:r>
      <w:r>
        <w:rPr/>
        <w:t>when</w:t>
      </w:r>
      <w:r>
        <w:rPr>
          <w:spacing w:val="-6"/>
        </w:rPr>
        <w:t> </w:t>
      </w:r>
      <w:r>
        <w:rPr/>
        <w:t>confronted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ill-health.</w:t>
      </w:r>
      <w:r>
        <w:rPr>
          <w:spacing w:val="-8"/>
        </w:rPr>
        <w:t> </w:t>
      </w:r>
      <w:r>
        <w:rPr/>
        <w:t>Table</w:t>
      </w:r>
      <w:r>
        <w:rPr>
          <w:spacing w:val="-9"/>
        </w:rPr>
        <w:t> </w:t>
      </w:r>
      <w:r>
        <w:rPr/>
        <w:t>5.3</w:t>
      </w:r>
      <w:r>
        <w:rPr>
          <w:spacing w:val="-8"/>
        </w:rPr>
        <w:t> </w:t>
      </w:r>
      <w:r>
        <w:rPr/>
        <w:t>then</w:t>
      </w:r>
      <w:r>
        <w:rPr>
          <w:spacing w:val="-9"/>
        </w:rPr>
        <w:t> </w:t>
      </w:r>
      <w:r>
        <w:rPr/>
        <w:t>presents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relationship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households’</w:t>
      </w:r>
      <w:r>
        <w:rPr>
          <w:spacing w:val="-6"/>
        </w:rPr>
        <w:t> </w:t>
      </w:r>
      <w:r>
        <w:rPr/>
        <w:t>members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household</w:t>
      </w:r>
      <w:r>
        <w:rPr>
          <w:spacing w:val="-6"/>
        </w:rPr>
        <w:t> </w:t>
      </w:r>
      <w:r>
        <w:rPr/>
        <w:t>head.</w:t>
      </w:r>
      <w:r>
        <w:rPr>
          <w:spacing w:val="-5"/>
        </w:rPr>
        <w:t> </w:t>
      </w:r>
      <w:r>
        <w:rPr/>
        <w:t>Slightly</w:t>
      </w:r>
      <w:r>
        <w:rPr>
          <w:spacing w:val="-12"/>
        </w:rPr>
        <w:t> </w:t>
      </w:r>
      <w:r>
        <w:rPr/>
        <w:t>more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one-sixth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>
          <w:sz w:val="23"/>
        </w:rPr>
        <w:t>respondents</w:t>
      </w:r>
      <w:r>
        <w:rPr>
          <w:spacing w:val="-9"/>
          <w:sz w:val="23"/>
        </w:rPr>
        <w:t> </w:t>
      </w:r>
      <w:r>
        <w:rPr/>
        <w:t>were</w:t>
      </w:r>
      <w:r>
        <w:rPr>
          <w:spacing w:val="-12"/>
        </w:rPr>
        <w:t> </w:t>
      </w:r>
      <w:r>
        <w:rPr/>
        <w:t>heads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>
          <w:sz w:val="23"/>
        </w:rPr>
        <w:t>household</w:t>
      </w:r>
      <w:r>
        <w:rPr>
          <w:spacing w:val="-7"/>
          <w:sz w:val="23"/>
        </w:rPr>
        <w:t> </w:t>
      </w:r>
      <w:r>
        <w:rPr/>
        <w:t>(16%</w:t>
      </w:r>
      <w:r>
        <w:rPr>
          <w:spacing w:val="-13"/>
        </w:rPr>
        <w:t> </w:t>
      </w:r>
      <w:r>
        <w:rPr/>
        <w:t>in</w:t>
      </w:r>
      <w:r>
        <w:rPr>
          <w:spacing w:val="-10"/>
        </w:rPr>
        <w:t> </w:t>
      </w:r>
      <w:r>
        <w:rPr/>
        <w:t>2010,</w:t>
      </w:r>
      <w:r>
        <w:rPr>
          <w:spacing w:val="-10"/>
        </w:rPr>
        <w:t> </w:t>
      </w:r>
      <w:r>
        <w:rPr/>
        <w:t>17.5%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2013,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18.3%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2019).</w:t>
      </w:r>
      <w:r>
        <w:rPr>
          <w:spacing w:val="-11"/>
        </w:rPr>
        <w:t> </w:t>
      </w:r>
      <w:r>
        <w:rPr/>
        <w:t>More</w:t>
      </w:r>
      <w:r>
        <w:rPr>
          <w:spacing w:val="-12"/>
        </w:rPr>
        <w:t> </w:t>
      </w:r>
      <w:r>
        <w:rPr/>
        <w:t>than</w:t>
      </w:r>
      <w:r>
        <w:rPr>
          <w:spacing w:val="-58"/>
        </w:rPr>
        <w:t> </w:t>
      </w:r>
      <w:r>
        <w:rPr/>
        <w:t>halve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were</w:t>
      </w:r>
      <w:r>
        <w:rPr>
          <w:spacing w:val="-7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receive</w:t>
      </w:r>
      <w:r>
        <w:rPr>
          <w:spacing w:val="-7"/>
        </w:rPr>
        <w:t> </w:t>
      </w:r>
      <w:r>
        <w:rPr/>
        <w:t>parental</w:t>
      </w:r>
      <w:r>
        <w:rPr>
          <w:spacing w:val="-4"/>
        </w:rPr>
        <w:t> </w:t>
      </w:r>
      <w:r>
        <w:rPr/>
        <w:t>care,</w:t>
      </w:r>
      <w:r>
        <w:rPr>
          <w:spacing w:val="-5"/>
        </w:rPr>
        <w:t> </w:t>
      </w:r>
      <w:r>
        <w:rPr/>
        <w:t>education,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health-care,</w:t>
      </w:r>
      <w:r>
        <w:rPr>
          <w:spacing w:val="-4"/>
        </w:rPr>
        <w:t> </w:t>
      </w:r>
      <w:r>
        <w:rPr/>
        <w:t>from</w:t>
      </w:r>
      <w:r>
        <w:rPr>
          <w:spacing w:val="-58"/>
        </w:rPr>
        <w:t> </w:t>
      </w:r>
      <w:r>
        <w:rPr/>
        <w:t>household</w:t>
      </w:r>
      <w:r>
        <w:rPr>
          <w:spacing w:val="-3"/>
        </w:rPr>
        <w:t> </w:t>
      </w:r>
      <w:r>
        <w:rPr/>
        <w:t>head.</w:t>
      </w:r>
      <w:r>
        <w:rPr>
          <w:spacing w:val="-4"/>
        </w:rPr>
        <w:t> </w:t>
      </w:r>
      <w:r>
        <w:rPr/>
        <w:t>About</w:t>
      </w:r>
      <w:r>
        <w:rPr>
          <w:spacing w:val="-2"/>
        </w:rPr>
        <w:t> </w:t>
      </w:r>
      <w:r>
        <w:rPr/>
        <w:t>57.7%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2013,</w:t>
      </w:r>
      <w:r>
        <w:rPr>
          <w:spacing w:val="-4"/>
        </w:rPr>
        <w:t> </w:t>
      </w:r>
      <w:r>
        <w:rPr/>
        <w:t>57.3%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2016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56%</w:t>
      </w:r>
      <w:r>
        <w:rPr>
          <w:spacing w:val="-5"/>
        </w:rPr>
        <w:t> </w:t>
      </w:r>
      <w:r>
        <w:rPr/>
        <w:t>(2019)</w:t>
      </w:r>
      <w:r>
        <w:rPr>
          <w:spacing w:val="-1"/>
        </w:rPr>
        <w:t> </w:t>
      </w:r>
      <w:r>
        <w:rPr/>
        <w:t>were</w:t>
      </w:r>
      <w:r>
        <w:rPr>
          <w:spacing w:val="-5"/>
        </w:rPr>
        <w:t> </w:t>
      </w:r>
      <w:r>
        <w:rPr/>
        <w:t>direct</w:t>
      </w:r>
      <w:r>
        <w:rPr>
          <w:spacing w:val="-2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head. In addition, slightly one-sixth of the respondents were mothers. The statistics decline very</w:t>
      </w:r>
      <w:r>
        <w:rPr>
          <w:spacing w:val="1"/>
        </w:rPr>
        <w:t> </w:t>
      </w:r>
      <w:r>
        <w:rPr/>
        <w:t>slightly</w:t>
      </w:r>
      <w:r>
        <w:rPr>
          <w:spacing w:val="-6"/>
        </w:rPr>
        <w:t> </w:t>
      </w:r>
      <w:r>
        <w:rPr/>
        <w:t>from 16.2%</w:t>
      </w:r>
      <w:r>
        <w:rPr>
          <w:spacing w:val="-1"/>
        </w:rPr>
        <w:t> </w:t>
      </w:r>
      <w:r>
        <w:rPr/>
        <w:t>to 16.1%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2010 and</w:t>
      </w:r>
      <w:r>
        <w:rPr>
          <w:spacing w:val="2"/>
        </w:rPr>
        <w:t> </w:t>
      </w:r>
      <w:r>
        <w:rPr/>
        <w:t>2019.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Heading4"/>
        <w:spacing w:before="77" w:after="3"/>
        <w:ind w:left="120"/>
      </w:pPr>
      <w:r>
        <w:rPr/>
        <w:t>Table</w:t>
      </w:r>
      <w:r>
        <w:rPr>
          <w:spacing w:val="-3"/>
        </w:rPr>
        <w:t> </w:t>
      </w:r>
      <w:r>
        <w:rPr/>
        <w:t>5.3:</w:t>
      </w:r>
      <w:r>
        <w:rPr>
          <w:spacing w:val="-4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Households’</w:t>
      </w:r>
      <w:r>
        <w:rPr>
          <w:spacing w:val="-4"/>
        </w:rPr>
        <w:t> </w:t>
      </w:r>
      <w:r>
        <w:rPr/>
        <w:t>Head</w:t>
      </w:r>
      <w:r>
        <w:rPr>
          <w:spacing w:val="3"/>
        </w:rPr>
        <w:t> </w:t>
      </w:r>
      <w:r>
        <w:rPr/>
        <w:t>(NGHPS,</w:t>
      </w:r>
      <w:r>
        <w:rPr>
          <w:spacing w:val="-2"/>
        </w:rPr>
        <w:t> </w:t>
      </w:r>
      <w:r>
        <w:rPr/>
        <w:t>2010-2019)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900"/>
        <w:gridCol w:w="899"/>
        <w:gridCol w:w="899"/>
        <w:gridCol w:w="807"/>
        <w:gridCol w:w="1169"/>
        <w:gridCol w:w="718"/>
        <w:gridCol w:w="897"/>
        <w:gridCol w:w="801"/>
      </w:tblGrid>
      <w:tr>
        <w:trPr>
          <w:trHeight w:val="290" w:hRule="atLeast"/>
        </w:trPr>
        <w:tc>
          <w:tcPr>
            <w:tcW w:w="224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99" w:type="dxa"/>
            <w:gridSpan w:val="2"/>
          </w:tcPr>
          <w:p>
            <w:pPr>
              <w:pStyle w:val="TableParagraph"/>
              <w:spacing w:line="247" w:lineRule="exact"/>
              <w:ind w:left="16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1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(2010)</w:t>
            </w:r>
          </w:p>
        </w:tc>
        <w:tc>
          <w:tcPr>
            <w:tcW w:w="1706" w:type="dxa"/>
            <w:gridSpan w:val="2"/>
          </w:tcPr>
          <w:p>
            <w:pPr>
              <w:pStyle w:val="TableParagraph"/>
              <w:spacing w:line="247" w:lineRule="exact"/>
              <w:ind w:left="11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2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(2013)</w:t>
            </w:r>
          </w:p>
        </w:tc>
        <w:tc>
          <w:tcPr>
            <w:tcW w:w="1887" w:type="dxa"/>
            <w:gridSpan w:val="2"/>
          </w:tcPr>
          <w:p>
            <w:pPr>
              <w:pStyle w:val="TableParagraph"/>
              <w:spacing w:line="247" w:lineRule="exact"/>
              <w:ind w:left="216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(2016)</w:t>
            </w:r>
          </w:p>
        </w:tc>
        <w:tc>
          <w:tcPr>
            <w:tcW w:w="1698" w:type="dxa"/>
            <w:gridSpan w:val="2"/>
          </w:tcPr>
          <w:p>
            <w:pPr>
              <w:pStyle w:val="TableParagraph"/>
              <w:spacing w:line="247" w:lineRule="exact"/>
              <w:ind w:left="124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4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(2019)</w:t>
            </w:r>
          </w:p>
        </w:tc>
      </w:tr>
      <w:tr>
        <w:trPr>
          <w:trHeight w:val="266" w:hRule="atLeast"/>
        </w:trPr>
        <w:tc>
          <w:tcPr>
            <w:tcW w:w="22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ind w:left="124" w:right="118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Obs.</w:t>
            </w:r>
          </w:p>
        </w:tc>
        <w:tc>
          <w:tcPr>
            <w:tcW w:w="899" w:type="dxa"/>
          </w:tcPr>
          <w:p>
            <w:pPr>
              <w:pStyle w:val="TableParagraph"/>
              <w:spacing w:before="2"/>
              <w:ind w:left="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899" w:type="dxa"/>
          </w:tcPr>
          <w:p>
            <w:pPr>
              <w:pStyle w:val="TableParagraph"/>
              <w:spacing w:line="228" w:lineRule="exact"/>
              <w:ind w:left="126" w:right="117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Obs.</w:t>
            </w:r>
          </w:p>
        </w:tc>
        <w:tc>
          <w:tcPr>
            <w:tcW w:w="807" w:type="dxa"/>
          </w:tcPr>
          <w:p>
            <w:pPr>
              <w:pStyle w:val="TableParagraph"/>
              <w:spacing w:before="2"/>
              <w:ind w:left="1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1169" w:type="dxa"/>
          </w:tcPr>
          <w:p>
            <w:pPr>
              <w:pStyle w:val="TableParagraph"/>
              <w:spacing w:line="228" w:lineRule="exact"/>
              <w:ind w:left="190" w:right="171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Obs.</w:t>
            </w:r>
          </w:p>
        </w:tc>
        <w:tc>
          <w:tcPr>
            <w:tcW w:w="718" w:type="dxa"/>
          </w:tcPr>
          <w:p>
            <w:pPr>
              <w:pStyle w:val="TableParagraph"/>
              <w:spacing w:before="2"/>
              <w:ind w:left="1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897" w:type="dxa"/>
          </w:tcPr>
          <w:p>
            <w:pPr>
              <w:pStyle w:val="TableParagraph"/>
              <w:spacing w:line="228" w:lineRule="exact"/>
              <w:ind w:left="134" w:right="107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Obs.</w:t>
            </w:r>
          </w:p>
        </w:tc>
        <w:tc>
          <w:tcPr>
            <w:tcW w:w="801" w:type="dxa"/>
          </w:tcPr>
          <w:p>
            <w:pPr>
              <w:pStyle w:val="TableParagraph"/>
              <w:spacing w:before="2"/>
              <w:ind w:left="3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</w:tr>
      <w:tr>
        <w:trPr>
          <w:trHeight w:val="290" w:hRule="atLeast"/>
        </w:trPr>
        <w:tc>
          <w:tcPr>
            <w:tcW w:w="224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Head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4" w:right="11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4,323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16.02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6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4,724</w:t>
            </w:r>
          </w:p>
        </w:tc>
        <w:tc>
          <w:tcPr>
            <w:tcW w:w="807" w:type="dxa"/>
          </w:tcPr>
          <w:p>
            <w:pPr>
              <w:pStyle w:val="TableParagraph"/>
              <w:spacing w:line="247" w:lineRule="exact"/>
              <w:ind w:left="137" w:right="12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17.50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190" w:right="17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4,471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98" w:right="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16.56</w:t>
            </w:r>
          </w:p>
        </w:tc>
        <w:tc>
          <w:tcPr>
            <w:tcW w:w="897" w:type="dxa"/>
          </w:tcPr>
          <w:p>
            <w:pPr>
              <w:pStyle w:val="TableParagraph"/>
              <w:spacing w:line="247" w:lineRule="exact"/>
              <w:ind w:left="134" w:right="1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5,050</w:t>
            </w:r>
          </w:p>
        </w:tc>
        <w:tc>
          <w:tcPr>
            <w:tcW w:w="801" w:type="dxa"/>
          </w:tcPr>
          <w:p>
            <w:pPr>
              <w:pStyle w:val="TableParagraph"/>
              <w:spacing w:line="247" w:lineRule="exact"/>
              <w:ind w:left="122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18.29</w:t>
            </w:r>
          </w:p>
        </w:tc>
      </w:tr>
      <w:tr>
        <w:trPr>
          <w:trHeight w:val="292" w:hRule="atLeast"/>
        </w:trPr>
        <w:tc>
          <w:tcPr>
            <w:tcW w:w="224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Spouse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4" w:right="11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4,383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16.24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6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4,628</w:t>
            </w:r>
          </w:p>
        </w:tc>
        <w:tc>
          <w:tcPr>
            <w:tcW w:w="807" w:type="dxa"/>
          </w:tcPr>
          <w:p>
            <w:pPr>
              <w:pStyle w:val="TableParagraph"/>
              <w:spacing w:line="247" w:lineRule="exact"/>
              <w:ind w:left="137" w:right="12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17.15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190" w:right="17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3,914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98" w:right="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14.50</w:t>
            </w:r>
          </w:p>
        </w:tc>
        <w:tc>
          <w:tcPr>
            <w:tcW w:w="897" w:type="dxa"/>
          </w:tcPr>
          <w:p>
            <w:pPr>
              <w:pStyle w:val="TableParagraph"/>
              <w:spacing w:line="247" w:lineRule="exact"/>
              <w:ind w:left="134" w:right="1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4,432</w:t>
            </w:r>
          </w:p>
        </w:tc>
        <w:tc>
          <w:tcPr>
            <w:tcW w:w="801" w:type="dxa"/>
          </w:tcPr>
          <w:p>
            <w:pPr>
              <w:pStyle w:val="TableParagraph"/>
              <w:spacing w:line="247" w:lineRule="exact"/>
              <w:ind w:left="122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16.05</w:t>
            </w:r>
          </w:p>
        </w:tc>
      </w:tr>
      <w:tr>
        <w:trPr>
          <w:trHeight w:val="316" w:hRule="atLeast"/>
        </w:trPr>
        <w:tc>
          <w:tcPr>
            <w:tcW w:w="224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Own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Child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4" w:right="11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15,569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57.70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6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15,467</w:t>
            </w:r>
          </w:p>
        </w:tc>
        <w:tc>
          <w:tcPr>
            <w:tcW w:w="807" w:type="dxa"/>
          </w:tcPr>
          <w:p>
            <w:pPr>
              <w:pStyle w:val="TableParagraph"/>
              <w:spacing w:line="247" w:lineRule="exact"/>
              <w:ind w:left="137" w:right="12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57.31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190" w:right="17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15,367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98" w:right="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56.98</w:t>
            </w:r>
          </w:p>
        </w:tc>
        <w:tc>
          <w:tcPr>
            <w:tcW w:w="897" w:type="dxa"/>
          </w:tcPr>
          <w:p>
            <w:pPr>
              <w:pStyle w:val="TableParagraph"/>
              <w:spacing w:line="247" w:lineRule="exact"/>
              <w:ind w:left="134" w:right="1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15,384</w:t>
            </w:r>
          </w:p>
        </w:tc>
        <w:tc>
          <w:tcPr>
            <w:tcW w:w="801" w:type="dxa"/>
          </w:tcPr>
          <w:p>
            <w:pPr>
              <w:pStyle w:val="TableParagraph"/>
              <w:spacing w:line="270" w:lineRule="exact"/>
              <w:ind w:left="122" w:right="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55.72</w:t>
            </w:r>
          </w:p>
        </w:tc>
      </w:tr>
      <w:tr>
        <w:trPr>
          <w:trHeight w:val="316" w:hRule="atLeast"/>
        </w:trPr>
        <w:tc>
          <w:tcPr>
            <w:tcW w:w="224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Step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Child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3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139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0.52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104</w:t>
            </w:r>
          </w:p>
        </w:tc>
        <w:tc>
          <w:tcPr>
            <w:tcW w:w="807" w:type="dxa"/>
          </w:tcPr>
          <w:p>
            <w:pPr>
              <w:pStyle w:val="TableParagraph"/>
              <w:spacing w:line="247" w:lineRule="exact"/>
              <w:ind w:left="137" w:right="12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190" w:right="17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223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98" w:right="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0.83</w:t>
            </w:r>
          </w:p>
        </w:tc>
        <w:tc>
          <w:tcPr>
            <w:tcW w:w="897" w:type="dxa"/>
          </w:tcPr>
          <w:p>
            <w:pPr>
              <w:pStyle w:val="TableParagraph"/>
              <w:spacing w:line="247" w:lineRule="exact"/>
              <w:ind w:left="132" w:right="1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230</w:t>
            </w:r>
          </w:p>
        </w:tc>
        <w:tc>
          <w:tcPr>
            <w:tcW w:w="801" w:type="dxa"/>
          </w:tcPr>
          <w:p>
            <w:pPr>
              <w:pStyle w:val="TableParagraph"/>
              <w:spacing w:line="270" w:lineRule="exact"/>
              <w:ind w:left="122" w:right="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0.83</w:t>
            </w:r>
          </w:p>
        </w:tc>
      </w:tr>
      <w:tr>
        <w:trPr>
          <w:trHeight w:val="318" w:hRule="atLeast"/>
        </w:trPr>
        <w:tc>
          <w:tcPr>
            <w:tcW w:w="224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Adopted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Child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3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33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0.12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18</w:t>
            </w:r>
          </w:p>
        </w:tc>
        <w:tc>
          <w:tcPr>
            <w:tcW w:w="807" w:type="dxa"/>
          </w:tcPr>
          <w:p>
            <w:pPr>
              <w:pStyle w:val="TableParagraph"/>
              <w:spacing w:line="247" w:lineRule="exact"/>
              <w:ind w:left="137" w:right="12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0.07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190" w:right="17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98" w:right="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0.16</w:t>
            </w:r>
          </w:p>
        </w:tc>
        <w:tc>
          <w:tcPr>
            <w:tcW w:w="897" w:type="dxa"/>
          </w:tcPr>
          <w:p>
            <w:pPr>
              <w:pStyle w:val="TableParagraph"/>
              <w:spacing w:line="247" w:lineRule="exact"/>
              <w:ind w:left="132" w:right="1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103</w:t>
            </w:r>
          </w:p>
        </w:tc>
        <w:tc>
          <w:tcPr>
            <w:tcW w:w="801" w:type="dxa"/>
          </w:tcPr>
          <w:p>
            <w:pPr>
              <w:pStyle w:val="TableParagraph"/>
              <w:spacing w:line="270" w:lineRule="exact"/>
              <w:ind w:left="122" w:right="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0.37</w:t>
            </w:r>
          </w:p>
        </w:tc>
      </w:tr>
      <w:tr>
        <w:trPr>
          <w:trHeight w:val="316" w:hRule="atLeast"/>
        </w:trPr>
        <w:tc>
          <w:tcPr>
            <w:tcW w:w="224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Grand-Child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4" w:right="11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1,089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4.04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847</w:t>
            </w:r>
          </w:p>
        </w:tc>
        <w:tc>
          <w:tcPr>
            <w:tcW w:w="807" w:type="dxa"/>
          </w:tcPr>
          <w:p>
            <w:pPr>
              <w:pStyle w:val="TableParagraph"/>
              <w:spacing w:line="247" w:lineRule="exact"/>
              <w:ind w:left="137" w:right="12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3.14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190" w:right="17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1,296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98" w:right="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4.80</w:t>
            </w:r>
          </w:p>
        </w:tc>
        <w:tc>
          <w:tcPr>
            <w:tcW w:w="897" w:type="dxa"/>
          </w:tcPr>
          <w:p>
            <w:pPr>
              <w:pStyle w:val="TableParagraph"/>
              <w:spacing w:line="247" w:lineRule="exact"/>
              <w:ind w:left="134" w:right="1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1,033</w:t>
            </w:r>
          </w:p>
        </w:tc>
        <w:tc>
          <w:tcPr>
            <w:tcW w:w="801" w:type="dxa"/>
          </w:tcPr>
          <w:p>
            <w:pPr>
              <w:pStyle w:val="TableParagraph"/>
              <w:spacing w:line="270" w:lineRule="exact"/>
              <w:ind w:left="122" w:right="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3.70</w:t>
            </w:r>
          </w:p>
        </w:tc>
      </w:tr>
      <w:tr>
        <w:trPr>
          <w:trHeight w:val="318" w:hRule="atLeast"/>
        </w:trPr>
        <w:tc>
          <w:tcPr>
            <w:tcW w:w="224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Brother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Sister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3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351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1.30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318</w:t>
            </w:r>
          </w:p>
        </w:tc>
        <w:tc>
          <w:tcPr>
            <w:tcW w:w="807" w:type="dxa"/>
          </w:tcPr>
          <w:p>
            <w:pPr>
              <w:pStyle w:val="TableParagraph"/>
              <w:spacing w:line="247" w:lineRule="exact"/>
              <w:ind w:left="137" w:right="12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1.18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190" w:right="17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532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98" w:right="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1.97</w:t>
            </w:r>
          </w:p>
        </w:tc>
        <w:tc>
          <w:tcPr>
            <w:tcW w:w="897" w:type="dxa"/>
          </w:tcPr>
          <w:p>
            <w:pPr>
              <w:pStyle w:val="TableParagraph"/>
              <w:spacing w:line="247" w:lineRule="exact"/>
              <w:ind w:left="132" w:right="1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466</w:t>
            </w:r>
          </w:p>
        </w:tc>
        <w:tc>
          <w:tcPr>
            <w:tcW w:w="801" w:type="dxa"/>
          </w:tcPr>
          <w:p>
            <w:pPr>
              <w:pStyle w:val="TableParagraph"/>
              <w:spacing w:line="270" w:lineRule="exact"/>
              <w:ind w:left="122" w:right="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1.69</w:t>
            </w:r>
          </w:p>
        </w:tc>
      </w:tr>
      <w:tr>
        <w:trPr>
          <w:trHeight w:val="316" w:hRule="atLeast"/>
        </w:trPr>
        <w:tc>
          <w:tcPr>
            <w:tcW w:w="224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Niece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 Nephew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3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302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1.12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227</w:t>
            </w:r>
          </w:p>
        </w:tc>
        <w:tc>
          <w:tcPr>
            <w:tcW w:w="807" w:type="dxa"/>
          </w:tcPr>
          <w:p>
            <w:pPr>
              <w:pStyle w:val="TableParagraph"/>
              <w:spacing w:line="247" w:lineRule="exact"/>
              <w:ind w:left="137" w:right="12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0.84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190" w:right="17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380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98" w:right="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1.41</w:t>
            </w:r>
          </w:p>
        </w:tc>
        <w:tc>
          <w:tcPr>
            <w:tcW w:w="897" w:type="dxa"/>
          </w:tcPr>
          <w:p>
            <w:pPr>
              <w:pStyle w:val="TableParagraph"/>
              <w:spacing w:line="247" w:lineRule="exact"/>
              <w:ind w:left="132" w:right="1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238</w:t>
            </w:r>
          </w:p>
        </w:tc>
        <w:tc>
          <w:tcPr>
            <w:tcW w:w="801" w:type="dxa"/>
          </w:tcPr>
          <w:p>
            <w:pPr>
              <w:pStyle w:val="TableParagraph"/>
              <w:spacing w:line="270" w:lineRule="exact"/>
              <w:ind w:left="122" w:right="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0.86</w:t>
            </w:r>
          </w:p>
        </w:tc>
      </w:tr>
      <w:tr>
        <w:trPr>
          <w:trHeight w:val="317" w:hRule="atLeast"/>
        </w:trPr>
        <w:tc>
          <w:tcPr>
            <w:tcW w:w="224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Brother/Sister-in-law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3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195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0.72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128</w:t>
            </w:r>
          </w:p>
        </w:tc>
        <w:tc>
          <w:tcPr>
            <w:tcW w:w="807" w:type="dxa"/>
          </w:tcPr>
          <w:p>
            <w:pPr>
              <w:pStyle w:val="TableParagraph"/>
              <w:spacing w:line="247" w:lineRule="exact"/>
              <w:ind w:left="137" w:right="12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0.47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190" w:right="17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235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98" w:right="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0.87</w:t>
            </w:r>
          </w:p>
        </w:tc>
        <w:tc>
          <w:tcPr>
            <w:tcW w:w="897" w:type="dxa"/>
          </w:tcPr>
          <w:p>
            <w:pPr>
              <w:pStyle w:val="TableParagraph"/>
              <w:spacing w:line="247" w:lineRule="exact"/>
              <w:ind w:left="132" w:right="1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153</w:t>
            </w:r>
          </w:p>
        </w:tc>
        <w:tc>
          <w:tcPr>
            <w:tcW w:w="801" w:type="dxa"/>
          </w:tcPr>
          <w:p>
            <w:pPr>
              <w:pStyle w:val="TableParagraph"/>
              <w:spacing w:line="271" w:lineRule="exact"/>
              <w:ind w:left="122" w:right="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0.55</w:t>
            </w:r>
          </w:p>
        </w:tc>
      </w:tr>
      <w:tr>
        <w:trPr>
          <w:trHeight w:val="318" w:hRule="atLeast"/>
        </w:trPr>
        <w:tc>
          <w:tcPr>
            <w:tcW w:w="2246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Parent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/>
              <w:ind w:left="123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306</w:t>
            </w:r>
          </w:p>
        </w:tc>
        <w:tc>
          <w:tcPr>
            <w:tcW w:w="899" w:type="dxa"/>
          </w:tcPr>
          <w:p>
            <w:pPr>
              <w:pStyle w:val="TableParagraph"/>
              <w:spacing w:line="249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1.13</w:t>
            </w:r>
          </w:p>
        </w:tc>
        <w:tc>
          <w:tcPr>
            <w:tcW w:w="899" w:type="dxa"/>
          </w:tcPr>
          <w:p>
            <w:pPr>
              <w:pStyle w:val="TableParagraph"/>
              <w:spacing w:line="249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316</w:t>
            </w:r>
          </w:p>
        </w:tc>
        <w:tc>
          <w:tcPr>
            <w:tcW w:w="807" w:type="dxa"/>
          </w:tcPr>
          <w:p>
            <w:pPr>
              <w:pStyle w:val="TableParagraph"/>
              <w:spacing w:line="249" w:lineRule="exact"/>
              <w:ind w:left="137" w:right="12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1.17</w:t>
            </w:r>
          </w:p>
        </w:tc>
        <w:tc>
          <w:tcPr>
            <w:tcW w:w="1169" w:type="dxa"/>
          </w:tcPr>
          <w:p>
            <w:pPr>
              <w:pStyle w:val="TableParagraph"/>
              <w:spacing w:line="249" w:lineRule="exact"/>
              <w:ind w:left="190" w:right="17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336</w:t>
            </w:r>
          </w:p>
        </w:tc>
        <w:tc>
          <w:tcPr>
            <w:tcW w:w="718" w:type="dxa"/>
          </w:tcPr>
          <w:p>
            <w:pPr>
              <w:pStyle w:val="TableParagraph"/>
              <w:spacing w:line="249" w:lineRule="exact"/>
              <w:ind w:left="98" w:right="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1.24</w:t>
            </w:r>
          </w:p>
        </w:tc>
        <w:tc>
          <w:tcPr>
            <w:tcW w:w="897" w:type="dxa"/>
          </w:tcPr>
          <w:p>
            <w:pPr>
              <w:pStyle w:val="TableParagraph"/>
              <w:spacing w:line="249" w:lineRule="exact"/>
              <w:ind w:left="132" w:right="1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285</w:t>
            </w:r>
          </w:p>
        </w:tc>
        <w:tc>
          <w:tcPr>
            <w:tcW w:w="801" w:type="dxa"/>
          </w:tcPr>
          <w:p>
            <w:pPr>
              <w:pStyle w:val="TableParagraph"/>
              <w:spacing w:line="273" w:lineRule="exact"/>
              <w:ind w:left="122" w:right="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1.03</w:t>
            </w:r>
          </w:p>
        </w:tc>
      </w:tr>
      <w:tr>
        <w:trPr>
          <w:trHeight w:val="316" w:hRule="atLeast"/>
        </w:trPr>
        <w:tc>
          <w:tcPr>
            <w:tcW w:w="224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Parent-in-Law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3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26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0.10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19</w:t>
            </w:r>
          </w:p>
        </w:tc>
        <w:tc>
          <w:tcPr>
            <w:tcW w:w="807" w:type="dxa"/>
          </w:tcPr>
          <w:p>
            <w:pPr>
              <w:pStyle w:val="TableParagraph"/>
              <w:spacing w:line="247" w:lineRule="exact"/>
              <w:ind w:left="137" w:right="12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0.07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190" w:right="17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34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98" w:right="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</w:t>
            </w:r>
          </w:p>
        </w:tc>
        <w:tc>
          <w:tcPr>
            <w:tcW w:w="897" w:type="dxa"/>
          </w:tcPr>
          <w:p>
            <w:pPr>
              <w:pStyle w:val="TableParagraph"/>
              <w:spacing w:line="247" w:lineRule="exact"/>
              <w:ind w:left="132" w:right="1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18</w:t>
            </w:r>
          </w:p>
        </w:tc>
        <w:tc>
          <w:tcPr>
            <w:tcW w:w="801" w:type="dxa"/>
          </w:tcPr>
          <w:p>
            <w:pPr>
              <w:pStyle w:val="TableParagraph"/>
              <w:spacing w:line="270" w:lineRule="exact"/>
              <w:ind w:left="122" w:right="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0.07</w:t>
            </w:r>
          </w:p>
        </w:tc>
      </w:tr>
      <w:tr>
        <w:trPr>
          <w:trHeight w:val="318" w:hRule="atLeast"/>
        </w:trPr>
        <w:tc>
          <w:tcPr>
            <w:tcW w:w="224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Domestic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Help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3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124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0.46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24" w:right="11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94</w:t>
            </w:r>
          </w:p>
        </w:tc>
        <w:tc>
          <w:tcPr>
            <w:tcW w:w="807" w:type="dxa"/>
          </w:tcPr>
          <w:p>
            <w:pPr>
              <w:pStyle w:val="TableParagraph"/>
              <w:spacing w:line="247" w:lineRule="exact"/>
              <w:ind w:left="137" w:right="12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0.35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190" w:right="17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159</w:t>
            </w:r>
          </w:p>
        </w:tc>
        <w:tc>
          <w:tcPr>
            <w:tcW w:w="718" w:type="dxa"/>
          </w:tcPr>
          <w:p>
            <w:pPr>
              <w:pStyle w:val="TableParagraph"/>
              <w:spacing w:line="247" w:lineRule="exact"/>
              <w:ind w:left="98" w:right="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0.59</w:t>
            </w:r>
          </w:p>
        </w:tc>
        <w:tc>
          <w:tcPr>
            <w:tcW w:w="897" w:type="dxa"/>
          </w:tcPr>
          <w:p>
            <w:pPr>
              <w:pStyle w:val="TableParagraph"/>
              <w:spacing w:line="247" w:lineRule="exact"/>
              <w:ind w:left="132" w:right="1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196</w:t>
            </w:r>
          </w:p>
        </w:tc>
        <w:tc>
          <w:tcPr>
            <w:tcW w:w="801" w:type="dxa"/>
          </w:tcPr>
          <w:p>
            <w:pPr>
              <w:pStyle w:val="TableParagraph"/>
              <w:spacing w:line="270" w:lineRule="exact"/>
              <w:ind w:left="122" w:right="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0.82</w:t>
            </w:r>
          </w:p>
        </w:tc>
      </w:tr>
      <w:tr>
        <w:trPr>
          <w:trHeight w:val="316" w:hRule="atLeast"/>
        </w:trPr>
        <w:tc>
          <w:tcPr>
            <w:tcW w:w="2246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Total</w:t>
            </w:r>
          </w:p>
        </w:tc>
        <w:tc>
          <w:tcPr>
            <w:tcW w:w="900" w:type="dxa"/>
          </w:tcPr>
          <w:p>
            <w:pPr>
              <w:pStyle w:val="TableParagraph"/>
              <w:spacing w:line="251" w:lineRule="exact"/>
              <w:ind w:left="124" w:right="118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26,840</w:t>
            </w:r>
          </w:p>
        </w:tc>
        <w:tc>
          <w:tcPr>
            <w:tcW w:w="89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line="251" w:lineRule="exact"/>
              <w:ind w:left="126" w:right="117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26,890</w:t>
            </w:r>
          </w:p>
        </w:tc>
        <w:tc>
          <w:tcPr>
            <w:tcW w:w="80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251" w:lineRule="exact"/>
              <w:ind w:left="190" w:right="171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26,990</w:t>
            </w:r>
          </w:p>
        </w:tc>
        <w:tc>
          <w:tcPr>
            <w:tcW w:w="71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251" w:lineRule="exact"/>
              <w:ind w:left="134" w:right="107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27,607</w:t>
            </w:r>
          </w:p>
        </w:tc>
        <w:tc>
          <w:tcPr>
            <w:tcW w:w="801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2"/>
          <w:sz w:val="20"/>
        </w:rPr>
        <w:t> </w:t>
      </w:r>
      <w:r>
        <w:rPr>
          <w:sz w:val="20"/>
        </w:rPr>
        <w:t>NGHS,</w:t>
      </w:r>
      <w:r>
        <w:rPr>
          <w:spacing w:val="-2"/>
          <w:sz w:val="20"/>
        </w:rPr>
        <w:t> </w:t>
      </w:r>
      <w:r>
        <w:rPr>
          <w:sz w:val="20"/>
        </w:rPr>
        <w:t>National</w:t>
      </w:r>
      <w:r>
        <w:rPr>
          <w:spacing w:val="-2"/>
          <w:sz w:val="20"/>
        </w:rPr>
        <w:t> </w:t>
      </w:r>
      <w:r>
        <w:rPr>
          <w:sz w:val="20"/>
        </w:rPr>
        <w:t>Bureau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Statistics</w:t>
      </w:r>
      <w:r>
        <w:rPr>
          <w:spacing w:val="-3"/>
          <w:sz w:val="20"/>
        </w:rPr>
        <w:t> </w:t>
      </w:r>
      <w:r>
        <w:rPr>
          <w:sz w:val="20"/>
        </w:rPr>
        <w:t>(for</w:t>
      </w:r>
      <w:r>
        <w:rPr>
          <w:spacing w:val="-2"/>
          <w:sz w:val="20"/>
        </w:rPr>
        <w:t> </w:t>
      </w:r>
      <w:r>
        <w:rPr>
          <w:sz w:val="20"/>
        </w:rPr>
        <w:t>various years)</w:t>
      </w:r>
    </w:p>
    <w:p>
      <w:pPr>
        <w:pStyle w:val="BodyText"/>
        <w:spacing w:before="4"/>
      </w:pPr>
    </w:p>
    <w:p>
      <w:pPr>
        <w:pStyle w:val="Heading5"/>
        <w:numPr>
          <w:ilvl w:val="2"/>
          <w:numId w:val="14"/>
        </w:numPr>
        <w:tabs>
          <w:tab w:pos="841" w:val="left" w:leader="none"/>
        </w:tabs>
        <w:spacing w:line="240" w:lineRule="auto" w:before="0" w:after="0"/>
        <w:ind w:left="840" w:right="0" w:hanging="721"/>
        <w:jc w:val="both"/>
      </w:pPr>
      <w:r>
        <w:rPr/>
        <w:t>Household</w:t>
      </w:r>
      <w:r>
        <w:rPr>
          <w:spacing w:val="-1"/>
        </w:rPr>
        <w:t> </w:t>
      </w:r>
      <w:r>
        <w:rPr/>
        <w:t>Size</w:t>
      </w:r>
    </w:p>
    <w:p>
      <w:pPr>
        <w:spacing w:line="360" w:lineRule="auto" w:before="17"/>
        <w:ind w:left="120" w:right="118" w:firstLine="0"/>
        <w:jc w:val="both"/>
        <w:rPr>
          <w:b/>
          <w:sz w:val="24"/>
        </w:rPr>
      </w:pPr>
      <w:r>
        <w:rPr/>
        <w:pict>
          <v:shape style="position:absolute;margin-left:72.024002pt;margin-top:77.113129pt;width:468.35pt;height:179.8pt;mso-position-horizontal-relative:page;mso-position-vertical-relative:paragraph;z-index:15776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46"/>
                    <w:gridCol w:w="900"/>
                    <w:gridCol w:w="899"/>
                    <w:gridCol w:w="899"/>
                    <w:gridCol w:w="807"/>
                    <w:gridCol w:w="1169"/>
                    <w:gridCol w:w="718"/>
                    <w:gridCol w:w="897"/>
                    <w:gridCol w:w="801"/>
                  </w:tblGrid>
                  <w:tr>
                    <w:trPr>
                      <w:trHeight w:val="290" w:hRule="atLeast"/>
                    </w:trPr>
                    <w:tc>
                      <w:tcPr>
                        <w:tcW w:w="2246" w:type="dxa"/>
                        <w:vMerge w:val="restart"/>
                      </w:tcPr>
                      <w:p>
                        <w:pPr>
                          <w:pStyle w:val="TableParagraph"/>
                          <w:spacing w:line="275" w:lineRule="exact"/>
                          <w:ind w:left="107"/>
                          <w:jc w:val="lef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Household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Size</w:t>
                        </w:r>
                      </w:p>
                    </w:tc>
                    <w:tc>
                      <w:tcPr>
                        <w:tcW w:w="1799" w:type="dxa"/>
                        <w:gridSpan w:val="2"/>
                      </w:tcPr>
                      <w:p>
                        <w:pPr>
                          <w:pStyle w:val="TableParagraph"/>
                          <w:spacing w:line="247" w:lineRule="exact"/>
                          <w:ind w:left="163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WAVE 1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(2010)</w:t>
                        </w:r>
                      </w:p>
                    </w:tc>
                    <w:tc>
                      <w:tcPr>
                        <w:tcW w:w="1706" w:type="dxa"/>
                        <w:gridSpan w:val="2"/>
                      </w:tcPr>
                      <w:p>
                        <w:pPr>
                          <w:pStyle w:val="TableParagraph"/>
                          <w:spacing w:line="247" w:lineRule="exact"/>
                          <w:ind w:left="119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WAVE 2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(2013)</w:t>
                        </w:r>
                      </w:p>
                    </w:tc>
                    <w:tc>
                      <w:tcPr>
                        <w:tcW w:w="1887" w:type="dxa"/>
                        <w:gridSpan w:val="2"/>
                      </w:tcPr>
                      <w:p>
                        <w:pPr>
                          <w:pStyle w:val="TableParagraph"/>
                          <w:spacing w:line="247" w:lineRule="exact"/>
                          <w:ind w:left="216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WAVE 3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(2016)</w:t>
                        </w:r>
                      </w:p>
                    </w:tc>
                    <w:tc>
                      <w:tcPr>
                        <w:tcW w:w="1698" w:type="dxa"/>
                        <w:gridSpan w:val="2"/>
                      </w:tcPr>
                      <w:p>
                        <w:pPr>
                          <w:pStyle w:val="TableParagraph"/>
                          <w:spacing w:line="247" w:lineRule="exact"/>
                          <w:ind w:left="124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WAVE 4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(2019)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22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24" w:right="118"/>
                          <w:jc w:val="center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Obs.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ind w:left="7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26" w:right="117"/>
                          <w:jc w:val="center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Obs.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90" w:right="171"/>
                          <w:jc w:val="center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Obs.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34" w:right="107"/>
                          <w:jc w:val="center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Obs.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33"/>
                          <w:jc w:val="center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7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Less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than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4" w:right="118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17,305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4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61.17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6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17,126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37" w:right="12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56.64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90" w:right="171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14,104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98" w:right="7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42.96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34" w:right="10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17,456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2" w:right="8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57.52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7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5 – 8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4" w:right="118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8,559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4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30.25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6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9,284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37" w:right="12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30.71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90" w:right="171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11,971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98" w:right="7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36.47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34" w:right="10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8,993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2" w:right="8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29.63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7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9 – 12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4" w:right="118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2,118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4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7.48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6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3,450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37" w:right="12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11.40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90" w:right="171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6,037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98" w:right="7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18.39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34" w:right="10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2,826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2" w:right="8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18.02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7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13 –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16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3" w:right="11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200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4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0.71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4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240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37" w:right="12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0.79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90" w:right="17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481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98" w:right="7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1.47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32" w:right="10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778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2" w:right="8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2.57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7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17 –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3" w:right="11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84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4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0.30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4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91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37" w:right="12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0.31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90" w:right="17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138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98" w:right="7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0.42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32" w:right="10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206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2" w:right="8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0.67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07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21 –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24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23" w:right="11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24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0.07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24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27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37" w:right="12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0.10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90" w:right="17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53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98" w:right="7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0.16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32" w:right="10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57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22" w:right="8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0.19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7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25 –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28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4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0.01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4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13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37" w:right="12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0.04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90" w:right="17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26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98" w:right="7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0.08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32" w:right="10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2" w:right="8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0.07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7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</w:rPr>
                          <w:t>29 –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32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4" w:right="1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0.01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37" w:right="12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0.01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90" w:right="17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98" w:right="7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0.03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2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2" w:right="8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7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Greater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than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32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98" w:right="7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0.02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2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47" w:lineRule="exact"/>
                          <w:ind w:left="122" w:right="8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107"/>
                          <w:jc w:val="left"/>
                          <w:rPr>
                            <w:rFonts w:ascii="Times New Roman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z w:val="22"/>
                          </w:rPr>
                          <w:t>Total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124" w:right="118"/>
                          <w:jc w:val="center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28,292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126" w:right="117"/>
                          <w:jc w:val="center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30,234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190" w:right="171"/>
                          <w:jc w:val="center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32,827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134" w:right="107"/>
                          <w:jc w:val="center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30,346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Family size is a matter of great importance not only for the nation as a whole but also for welfare</w:t>
      </w:r>
      <w:r>
        <w:rPr>
          <w:spacing w:val="-57"/>
          <w:sz w:val="24"/>
        </w:rPr>
        <w:t> </w:t>
      </w:r>
      <w:r>
        <w:rPr>
          <w:sz w:val="24"/>
        </w:rPr>
        <w:t>and health of all family members. Table 5.4 presented the % of households with less than 5 sizes.</w:t>
      </w:r>
      <w:r>
        <w:rPr>
          <w:spacing w:val="-57"/>
          <w:sz w:val="24"/>
        </w:rPr>
        <w:t> </w:t>
      </w:r>
      <w:r>
        <w:rPr>
          <w:sz w:val="24"/>
        </w:rPr>
        <w:t>This statistics declines from 61.2% to 43% between 2010 and 2016, but surged to 57.5% in 2019.</w:t>
      </w:r>
      <w:r>
        <w:rPr>
          <w:spacing w:val="-57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5.4: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Respondents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According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Family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Sizes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NGHPS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(2010-2019)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2"/>
          <w:sz w:val="20"/>
        </w:rPr>
        <w:t> </w:t>
      </w:r>
      <w:r>
        <w:rPr>
          <w:sz w:val="20"/>
        </w:rPr>
        <w:t>NGHS,</w:t>
      </w:r>
      <w:r>
        <w:rPr>
          <w:spacing w:val="-2"/>
          <w:sz w:val="20"/>
        </w:rPr>
        <w:t> </w:t>
      </w:r>
      <w:r>
        <w:rPr>
          <w:sz w:val="20"/>
        </w:rPr>
        <w:t>National</w:t>
      </w:r>
      <w:r>
        <w:rPr>
          <w:spacing w:val="-3"/>
          <w:sz w:val="20"/>
        </w:rPr>
        <w:t> </w:t>
      </w:r>
      <w:r>
        <w:rPr>
          <w:sz w:val="20"/>
        </w:rPr>
        <w:t>Bureau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Statistics</w:t>
      </w:r>
      <w:r>
        <w:rPr>
          <w:spacing w:val="-3"/>
          <w:sz w:val="20"/>
        </w:rPr>
        <w:t> </w:t>
      </w:r>
      <w:r>
        <w:rPr>
          <w:sz w:val="20"/>
        </w:rPr>
        <w:t>(various</w:t>
      </w:r>
      <w:r>
        <w:rPr>
          <w:spacing w:val="-1"/>
          <w:sz w:val="20"/>
        </w:rPr>
        <w:t> </w:t>
      </w:r>
      <w:r>
        <w:rPr>
          <w:sz w:val="20"/>
        </w:rPr>
        <w:t>years)</w:t>
      </w:r>
    </w:p>
    <w:p>
      <w:pPr>
        <w:pStyle w:val="BodyText"/>
        <w:spacing w:line="360" w:lineRule="auto" w:before="160"/>
        <w:ind w:left="120" w:right="113"/>
        <w:jc w:val="both"/>
      </w:pPr>
      <w:r>
        <w:rPr/>
        <w:t>The</w:t>
      </w:r>
      <w:r>
        <w:rPr>
          <w:spacing w:val="-7"/>
        </w:rPr>
        <w:t> </w:t>
      </w:r>
      <w:r>
        <w:rPr/>
        <w:t>family</w:t>
      </w:r>
      <w:r>
        <w:rPr>
          <w:spacing w:val="-8"/>
        </w:rPr>
        <w:t> </w:t>
      </w:r>
      <w:r>
        <w:rPr/>
        <w:t>with</w:t>
      </w:r>
      <w:r>
        <w:rPr>
          <w:spacing w:val="-5"/>
        </w:rPr>
        <w:t> </w:t>
      </w:r>
      <w:r>
        <w:rPr/>
        <w:t>5-8</w:t>
      </w:r>
      <w:r>
        <w:rPr>
          <w:spacing w:val="-6"/>
        </w:rPr>
        <w:t> </w:t>
      </w:r>
      <w:r>
        <w:rPr/>
        <w:t>sizes</w:t>
      </w:r>
      <w:r>
        <w:rPr>
          <w:spacing w:val="-5"/>
        </w:rPr>
        <w:t> </w:t>
      </w:r>
      <w:r>
        <w:rPr/>
        <w:t>rose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30.3%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30.7%</w:t>
      </w:r>
      <w:r>
        <w:rPr>
          <w:spacing w:val="-7"/>
        </w:rPr>
        <w:t> </w:t>
      </w:r>
      <w:r>
        <w:rPr/>
        <w:t>between</w:t>
      </w:r>
      <w:r>
        <w:rPr>
          <w:spacing w:val="-5"/>
        </w:rPr>
        <w:t> </w:t>
      </w:r>
      <w:r>
        <w:rPr/>
        <w:t>2010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2013,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37%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2016,</w:t>
      </w:r>
      <w:r>
        <w:rPr>
          <w:spacing w:val="-57"/>
        </w:rPr>
        <w:t> </w:t>
      </w:r>
      <w:r>
        <w:rPr/>
        <w:t>however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statistics</w:t>
      </w:r>
      <w:r>
        <w:rPr>
          <w:spacing w:val="-12"/>
        </w:rPr>
        <w:t> </w:t>
      </w:r>
      <w:r>
        <w:rPr/>
        <w:t>reduce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29.6%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2019.</w:t>
      </w:r>
      <w:r>
        <w:rPr>
          <w:spacing w:val="-12"/>
        </w:rPr>
        <w:t> </w:t>
      </w:r>
      <w:r>
        <w:rPr/>
        <w:t>Again,</w:t>
      </w:r>
      <w:r>
        <w:rPr>
          <w:spacing w:val="-12"/>
        </w:rPr>
        <w:t> </w:t>
      </w:r>
      <w:r>
        <w:rPr/>
        <w:t>families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9-12</w:t>
      </w:r>
      <w:r>
        <w:rPr>
          <w:spacing w:val="-12"/>
        </w:rPr>
        <w:t> </w:t>
      </w:r>
      <w:r>
        <w:rPr/>
        <w:t>numbers</w:t>
      </w:r>
      <w:r>
        <w:rPr>
          <w:spacing w:val="-11"/>
        </w:rPr>
        <w:t> </w:t>
      </w:r>
      <w:r>
        <w:rPr/>
        <w:t>rose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2,118</w:t>
      </w:r>
      <w:r>
        <w:rPr>
          <w:spacing w:val="-57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2010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2,826</w:t>
      </w:r>
      <w:r>
        <w:rPr>
          <w:spacing w:val="-15"/>
        </w:rPr>
        <w:t> </w:t>
      </w:r>
      <w:r>
        <w:rPr/>
        <w:t>in</w:t>
      </w:r>
      <w:r>
        <w:rPr>
          <w:spacing w:val="-17"/>
        </w:rPr>
        <w:t> </w:t>
      </w:r>
      <w:r>
        <w:rPr/>
        <w:t>2019.</w:t>
      </w:r>
      <w:r>
        <w:rPr>
          <w:spacing w:val="-17"/>
        </w:rPr>
        <w:t> </w:t>
      </w:r>
      <w:r>
        <w:rPr/>
        <w:t>This</w:t>
      </w:r>
      <w:r>
        <w:rPr>
          <w:spacing w:val="-14"/>
        </w:rPr>
        <w:t> </w:t>
      </w:r>
      <w:r>
        <w:rPr/>
        <w:t>distribution</w:t>
      </w:r>
      <w:r>
        <w:rPr>
          <w:spacing w:val="-17"/>
        </w:rPr>
        <w:t> </w:t>
      </w:r>
      <w:r>
        <w:rPr/>
        <w:t>thus</w:t>
      </w:r>
      <w:r>
        <w:rPr>
          <w:spacing w:val="-13"/>
        </w:rPr>
        <w:t> </w:t>
      </w:r>
      <w:r>
        <w:rPr/>
        <w:t>suggest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Nigeria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characterized</w:t>
      </w:r>
      <w:r>
        <w:rPr>
          <w:spacing w:val="-15"/>
        </w:rPr>
        <w:t> </w:t>
      </w:r>
      <w:r>
        <w:rPr/>
        <w:t>by</w:t>
      </w:r>
      <w:r>
        <w:rPr>
          <w:spacing w:val="-20"/>
        </w:rPr>
        <w:t> </w:t>
      </w:r>
      <w:r>
        <w:rPr/>
        <w:t>large</w:t>
      </w:r>
      <w:r>
        <w:rPr>
          <w:spacing w:val="-16"/>
        </w:rPr>
        <w:t> </w:t>
      </w:r>
      <w:r>
        <w:rPr/>
        <w:t>family</w:t>
      </w:r>
      <w:r>
        <w:rPr>
          <w:spacing w:val="-57"/>
        </w:rPr>
        <w:t> </w:t>
      </w:r>
      <w:r>
        <w:rPr/>
        <w:t>size</w:t>
      </w:r>
      <w:r>
        <w:rPr>
          <w:spacing w:val="7"/>
        </w:rPr>
        <w:t> </w:t>
      </w:r>
      <w:r>
        <w:rPr/>
        <w:t>between</w:t>
      </w:r>
      <w:r>
        <w:rPr>
          <w:spacing w:val="9"/>
        </w:rPr>
        <w:t> </w:t>
      </w:r>
      <w:r>
        <w:rPr/>
        <w:t>2010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2019.</w:t>
      </w:r>
      <w:r>
        <w:rPr>
          <w:spacing w:val="10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9"/>
        </w:rPr>
        <w:t> </w:t>
      </w:r>
      <w:r>
        <w:rPr/>
        <w:t>pertinent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note</w:t>
      </w:r>
      <w:r>
        <w:rPr>
          <w:spacing w:val="7"/>
        </w:rPr>
        <w:t> </w:t>
      </w:r>
      <w:r>
        <w:rPr/>
        <w:t>that,</w:t>
      </w:r>
      <w:r>
        <w:rPr>
          <w:spacing w:val="9"/>
        </w:rPr>
        <w:t> </w:t>
      </w:r>
      <w:r>
        <w:rPr/>
        <w:t>large</w:t>
      </w:r>
      <w:r>
        <w:rPr>
          <w:spacing w:val="7"/>
        </w:rPr>
        <w:t> </w:t>
      </w:r>
      <w:r>
        <w:rPr/>
        <w:t>family</w:t>
      </w:r>
      <w:r>
        <w:rPr>
          <w:spacing w:val="4"/>
        </w:rPr>
        <w:t> </w:t>
      </w:r>
      <w:r>
        <w:rPr/>
        <w:t>size</w:t>
      </w:r>
      <w:r>
        <w:rPr>
          <w:spacing w:val="9"/>
        </w:rPr>
        <w:t> </w:t>
      </w:r>
      <w:r>
        <w:rPr/>
        <w:t>could</w:t>
      </w:r>
      <w:r>
        <w:rPr>
          <w:spacing w:val="9"/>
        </w:rPr>
        <w:t> </w:t>
      </w:r>
      <w:r>
        <w:rPr/>
        <w:t>stretch</w:t>
      </w:r>
      <w:r>
        <w:rPr>
          <w:spacing w:val="11"/>
        </w:rPr>
        <w:t> </w:t>
      </w:r>
      <w:r>
        <w:rPr/>
        <w:t>available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BodyText"/>
        <w:spacing w:line="360" w:lineRule="auto" w:before="74"/>
        <w:ind w:left="120" w:right="115"/>
        <w:jc w:val="both"/>
      </w:pPr>
      <w:r>
        <w:rPr/>
        <w:t>resources and thus move them into poverty. Notably, most emerging nations, such as, Nigeria are</w:t>
      </w:r>
      <w:r>
        <w:rPr>
          <w:spacing w:val="-57"/>
        </w:rPr>
        <w:t> </w:t>
      </w:r>
      <w:r>
        <w:rPr/>
        <w:t>characterized by high birth rates with low welfare. This may be traced to low level of knowledge</w:t>
      </w:r>
      <w:r>
        <w:rPr>
          <w:spacing w:val="1"/>
        </w:rPr>
        <w:t> </w:t>
      </w:r>
      <w:r>
        <w:rPr/>
        <w:t>about</w:t>
      </w:r>
      <w:r>
        <w:rPr>
          <w:spacing w:val="-14"/>
        </w:rPr>
        <w:t> </w:t>
      </w:r>
      <w:r>
        <w:rPr/>
        <w:t>family</w:t>
      </w:r>
      <w:r>
        <w:rPr>
          <w:spacing w:val="-20"/>
        </w:rPr>
        <w:t> </w:t>
      </w:r>
      <w:r>
        <w:rPr/>
        <w:t>planning,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belief</w:t>
      </w:r>
      <w:r>
        <w:rPr>
          <w:spacing w:val="-16"/>
        </w:rPr>
        <w:t> </w:t>
      </w:r>
      <w:r>
        <w:rPr/>
        <w:t>that</w:t>
      </w:r>
      <w:r>
        <w:rPr>
          <w:spacing w:val="-15"/>
        </w:rPr>
        <w:t> </w:t>
      </w:r>
      <w:r>
        <w:rPr/>
        <w:t>large</w:t>
      </w:r>
      <w:r>
        <w:rPr>
          <w:spacing w:val="-16"/>
        </w:rPr>
        <w:t> </w:t>
      </w:r>
      <w:r>
        <w:rPr/>
        <w:t>size</w:t>
      </w:r>
      <w:r>
        <w:rPr>
          <w:spacing w:val="-11"/>
        </w:rPr>
        <w:t> </w:t>
      </w:r>
      <w:r>
        <w:rPr/>
        <w:t>provide</w:t>
      </w:r>
      <w:r>
        <w:rPr>
          <w:spacing w:val="-16"/>
        </w:rPr>
        <w:t> </w:t>
      </w:r>
      <w:r>
        <w:rPr/>
        <w:t>social</w:t>
      </w:r>
      <w:r>
        <w:rPr>
          <w:spacing w:val="-15"/>
        </w:rPr>
        <w:t> </w:t>
      </w:r>
      <w:r>
        <w:rPr/>
        <w:t>security</w:t>
      </w:r>
      <w:r>
        <w:rPr>
          <w:spacing w:val="-2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old</w:t>
      </w:r>
      <w:r>
        <w:rPr>
          <w:spacing w:val="-14"/>
        </w:rPr>
        <w:t> </w:t>
      </w:r>
      <w:r>
        <w:rPr/>
        <w:t>age</w:t>
      </w:r>
      <w:r>
        <w:rPr>
          <w:spacing w:val="-14"/>
        </w:rPr>
        <w:t> </w:t>
      </w:r>
      <w:r>
        <w:rPr/>
        <w:t>(Dasgupta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Solomon, 2017).</w:t>
      </w:r>
      <w:r>
        <w:rPr>
          <w:spacing w:val="-1"/>
        </w:rPr>
        <w:t> </w:t>
      </w:r>
      <w:r>
        <w:rPr/>
        <w:t>Cultural and religious</w:t>
      </w:r>
      <w:r>
        <w:rPr>
          <w:spacing w:val="-1"/>
        </w:rPr>
        <w:t> </w:t>
      </w:r>
      <w:r>
        <w:rPr/>
        <w:t>factors also explain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differences.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  <w:numPr>
          <w:ilvl w:val="2"/>
          <w:numId w:val="14"/>
        </w:numPr>
        <w:tabs>
          <w:tab w:pos="841" w:val="left" w:leader="none"/>
        </w:tabs>
        <w:spacing w:line="240" w:lineRule="auto" w:before="0" w:after="0"/>
        <w:ind w:left="840" w:right="0" w:hanging="721"/>
        <w:jc w:val="both"/>
      </w:pPr>
      <w:r>
        <w:rPr/>
        <w:t>Educational</w:t>
      </w:r>
      <w:r>
        <w:rPr>
          <w:spacing w:val="-4"/>
        </w:rPr>
        <w:t> </w:t>
      </w:r>
      <w:r>
        <w:rPr/>
        <w:t>Attainment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line="360" w:lineRule="auto" w:before="20"/>
        <w:ind w:left="120" w:right="117"/>
        <w:jc w:val="both"/>
      </w:pPr>
      <w:r>
        <w:rPr/>
        <w:pict>
          <v:group style="position:absolute;margin-left:71.639999pt;margin-top:83.703102pt;width:466.45pt;height:308.2pt;mso-position-horizontal-relative:page;mso-position-vertical-relative:paragraph;z-index:15777280" coordorigin="1433,1674" coordsize="9329,6164">
            <v:shape style="position:absolute;left:2592;top:1899;width:6442;height:4263" type="#_x0000_t75" stroked="false">
              <v:imagedata r:id="rId155" o:title=""/>
            </v:shape>
            <v:shape style="position:absolute;left:2592;top:5876;width:6442;height:144" coordorigin="2592,5876" coordsize="6442,144" path="m2592,6020l2746,6020m3156,6020l3461,6020m3871,6020l4178,6020m4586,6020l4894,6020m5302,6020l5609,6020m6017,6020l6324,6020m6732,6020l7039,6020m7450,6020l7961,6020m8165,6020l9034,6020m2592,5876l2746,5876m3156,5876l3461,5876m3871,5876l4178,5876m4586,5876l4894,5876e" filled="false" stroked="true" strokeweight=".72pt" strokecolor="#f1f1f1">
              <v:path arrowok="t"/>
              <v:stroke dashstyle="solid"/>
            </v:shape>
            <v:shape style="position:absolute;left:5301;top:5875;width:1023;height:8" coordorigin="5302,5875" coordsize="1023,8" path="m5302,5882l5916,5882m6017,5882l6324,5882m5302,5875l5916,5875m6017,5875l6324,5875e" filled="false" stroked="true" strokeweight=".12pt" strokecolor="#f1f1f1">
              <v:path arrowok="t"/>
              <v:stroke dashstyle="solid"/>
            </v:shape>
            <v:shape style="position:absolute;left:2592;top:5593;width:6442;height:284" coordorigin="2592,5593" coordsize="6442,284" path="m6732,5876l7039,5876m7450,5876l8062,5876m8165,5876l9034,5876m2592,5735l2746,5735m3156,5735l3461,5735m3871,5735l4178,5735m4586,5735l4894,5735m5302,5735l6324,5735m6732,5735l7039,5735m7450,5735l9034,5735m2592,5593l2746,5593m3156,5593l3461,5593m3871,5593l4279,5593e" filled="false" stroked="true" strokeweight=".72pt" strokecolor="#f1f1f1">
              <v:path arrowok="t"/>
              <v:stroke dashstyle="solid"/>
            </v:shape>
            <v:shape style="position:absolute;left:4382;top:5590;width:512;height:8" coordorigin="4382,5591" coordsize="512,8" path="m4382,5598l4483,5598m4586,5598l4894,5598m4382,5591l4483,5591m4586,5591l4894,5591e" filled="false" stroked="true" strokeweight=".24pt" strokecolor="#f1f1f1">
              <v:path arrowok="t"/>
              <v:stroke dashstyle="solid"/>
            </v:shape>
            <v:shape style="position:absolute;left:2592;top:4314;width:6442;height:1280" coordorigin="2592,4314" coordsize="6442,1280" path="m5302,5593l6324,5593m6732,5593l7039,5593m7450,5593l9034,5593m2592,5310l2746,5310m3156,5310l3461,5310m3871,5310l4894,5310m4994,5310l5098,5310m5302,5310l6324,5310m6732,5310l7039,5310m7450,5310l9034,5310m2592,5168l2746,5168m3156,5168l3461,5168m3871,5168l5098,5168m5302,5168l6324,5168m6732,5168l7039,5168m7450,5168l9034,5168m2592,5024l2746,5024m3156,5024l3564,5024m3871,5024l5098,5024m5302,5024l7039,5024m7450,5024l9034,5024m2592,4883l2746,4883m3156,4883l3564,4883m3871,4883l5201,4883m5302,4883l7039,4883m7450,4883l9034,4883m2592,4600l2746,4600m3156,4600l7039,4600m7450,4600l9034,4600m2592,4458l2746,4458m3156,4458l7039,4458m7450,4458l9034,4458m2592,4314l2746,4314e" filled="false" stroked="true" strokeweight=".72pt" strokecolor="#f1f1f1">
              <v:path arrowok="t"/>
              <v:stroke dashstyle="solid"/>
            </v:shape>
            <v:shape style="position:absolute;left:3156;top:4312;width:5878;height:8" coordorigin="3156,4313" coordsize="5878,8" path="m3156,4320l7142,4320m7450,4320l9034,4320m3156,4313l7142,4313m7450,4313l9034,4313e" filled="false" stroked="true" strokeweight=".12pt" strokecolor="#f1f1f1">
              <v:path arrowok="t"/>
              <v:stroke dashstyle="solid"/>
            </v:shape>
            <v:shape style="position:absolute;left:2592;top:2468;width:6442;height:1704" coordorigin="2592,2468" coordsize="6442,1704" path="m2592,4172l2746,4172m3156,4172l7142,4172m7450,4172l9034,4172m2592,3889l2746,3889m3156,3889l7142,3889m7450,3889l9034,3889m2592,3748l2849,3748m3156,3748l7142,3748m7450,3748l9034,3748m2592,3606l2950,3606m3156,3606l7142,3606m7450,3606l9034,3606m2592,3462l3053,3462m3156,3462l7142,3462m7450,3462l9034,3462m2592,3179l7243,3179m7450,3179l9034,3179m2592,3037l7243,3037m7450,3037l9034,3037m2592,2896l7243,2896m7450,2896l9034,2896m2592,2752l7243,2752m7450,2752l9034,2752m2592,2468l7346,2468m7450,2468l9034,2468e" filled="false" stroked="true" strokeweight=".72pt" strokecolor="#f1f1f1">
              <v:path arrowok="t"/>
              <v:stroke dashstyle="solid"/>
            </v:shape>
            <v:shape style="position:absolute;left:2592;top:2041;width:6442;height:286" coordorigin="2592,2041" coordsize="6442,286" path="m2592,2327l9034,2327m2592,2185l9034,2185m2592,2041l9034,2041e" filled="false" stroked="true" strokeweight=".72pt" strokecolor="#f1f1f1">
              <v:path arrowok="t"/>
              <v:stroke dashstyle="solid"/>
            </v:shape>
            <v:shape style="position:absolute;left:2592;top:2610;width:6442;height:2842" coordorigin="2592,2610" coordsize="6442,2842" path="m2592,5452l2746,5452m3156,5452l3461,5452m3871,5452l4894,5452m5302,5452l6324,5452m6732,5452l7039,5452m7450,5452l9034,5452m2592,4741l2746,4741m3156,4741l3667,4741m3768,4741l7039,4741m7450,4741l9034,4741m2592,4031l2746,4031m3156,4031l7142,4031m7450,4031l9034,4031m2592,3320l7142,3320m7450,3320l9034,3320m2592,2610l7346,2610m7450,2610l9034,2610e" filled="false" stroked="true" strokeweight=".72pt" strokecolor="#d9d9d9">
              <v:path arrowok="t"/>
              <v:stroke dashstyle="solid"/>
            </v:shape>
            <v:line style="position:absolute" from="2592,1900" to="9034,1900" stroked="true" strokeweight=".72pt" strokecolor="#d9d9d9">
              <v:stroke dashstyle="solid"/>
            </v:line>
            <v:shape style="position:absolute;left:2745;top:3829;width:5828;height:2333" coordorigin="2746,3829" coordsize="5828,2333" path="m2849,3829l2746,3829,2746,6162,2849,6162,2849,3829xm3564,5044l3461,5044,3461,6162,3564,6162,3564,5044xm4279,5624l4178,5624,4178,6162,4279,6162,4279,5624xm4994,5257l4894,5257,4894,6162,4994,6162,4994,5257xm5712,5987l5609,5987,5609,6162,5712,6162,5712,5987xm6427,5161l6324,5161,6324,6162,6427,6162,6427,5161xm7142,4319l7039,4319,7039,6162,7142,6162,7142,4319xm7858,6085l7754,6085,7754,6162,7858,6162,7858,6085xm8573,6136l8472,6136,8472,6162,8573,6162,8573,6136xe" filled="true" fillcolor="#818181" stroked="false">
              <v:path arrowok="t"/>
              <v:fill type="solid"/>
            </v:shape>
            <v:shape style="position:absolute;left:2848;top:3301;width:5828;height:2861" coordorigin="2849,3301" coordsize="5828,2861" path="m2950,3620l2849,3620,2849,6162,2950,6162,2950,3620xm3667,4787l3564,4787,3564,6162,3667,6162,3667,4787xm4382,5581l4279,5581,4279,6162,4382,6162,4382,5581xm5098,5387l4994,5387,4994,6162,5098,6162,5098,5387xm5813,5972l5712,5972,5712,6162,5813,6162,5813,5972xm6528,5123l6427,5123,6427,6162,6528,6162,6528,5123xm7243,3301l7142,3301,7142,6162,7243,6162,7243,3301xm7961,6052l7858,6052,7858,6162,7961,6162,7961,6052xm8676,6131l8573,6131,8573,6162,8676,6162,8676,6131xe" filled="true" fillcolor="#9a9a9a" stroked="false">
              <v:path arrowok="t"/>
              <v:fill type="solid"/>
            </v:shape>
            <v:shape style="position:absolute;left:2949;top:2670;width:5828;height:3492" coordorigin="2950,2670" coordsize="5828,3492" path="m3053,3560l2950,3560,2950,6162,3053,6162,3053,3560xm3768,4700l3667,4700,3667,6162,3768,6162,3768,4700xm4483,5596l4382,5596,4382,6162,4483,6162,4483,5596xm5201,4931l5098,4931,5098,6162,5201,6162,5201,4931xm5916,5881l5813,5881,5813,6162,5916,6162,5916,5881xm6631,5106l6528,5106,6528,6162,6631,6162,6631,5106xm7346,2670l7243,2670,7243,6162,7346,6162,7346,2670xm8062,5917l7961,5917,7961,6162,8062,6162,8062,5917xm8777,6128l8676,6128,8676,6162,8777,6162,8777,6128xe" filled="true" fillcolor="#b5b5b5" stroked="false">
              <v:path arrowok="t"/>
              <v:fill type="solid"/>
            </v:shape>
            <v:shape style="position:absolute;left:3052;top:2415;width:5828;height:3747" coordorigin="3053,2416" coordsize="5828,3747" path="m3156,3452l3053,3452,3053,6162,3156,6162,3156,3452xm3871,4751l3768,4751,3768,6162,3871,6162,3871,4751xm4586,5464l4483,5464,4483,6162,4586,6162,4586,5464xm5302,4828l5201,4828,5201,6162,5302,6162,5302,4828xm6017,5838l5916,5838,5916,6162,6017,6162,6017,5838xm6732,5053l6631,5053,6631,6162,6732,6162,6732,5053xm7450,2416l7346,2416,7346,6162,7450,6162,7450,2416xm8165,5836l8062,5836,8062,6162,8165,6162,8165,5836xm8880,6112l8777,6112,8777,6162,8880,6162,8880,6112xe" filled="true" fillcolor="#d1d1d1" stroked="false">
              <v:path arrowok="t"/>
              <v:fill type="solid"/>
            </v:shape>
            <v:line style="position:absolute" from="2592,6162" to="9034,6162" stroked="true" strokeweight=".72pt" strokecolor="#d9d9d9">
              <v:stroke dashstyle="solid"/>
            </v:line>
            <v:shape style="position:absolute;left:2646;top:6320;width:2485;height:1335" type="#_x0000_t75" stroked="false">
              <v:imagedata r:id="rId156" o:title=""/>
            </v:shape>
            <v:shape style="position:absolute;left:5354;top:6343;width:1906;height:996" type="#_x0000_t75" stroked="false">
              <v:imagedata r:id="rId157" o:title=""/>
            </v:shape>
            <v:shape style="position:absolute;left:7413;top:6348;width:587;height:558" type="#_x0000_t75" stroked="false">
              <v:imagedata r:id="rId158" o:title=""/>
            </v:shape>
            <v:shape style="position:absolute;left:8440;top:6342;width:252;height:254" type="#_x0000_t75" stroked="false">
              <v:imagedata r:id="rId159" o:title=""/>
            </v:shape>
            <v:rect style="position:absolute;left:9348;top:4198;width:99;height:101" filled="true" fillcolor="#818181" stroked="false">
              <v:fill type="solid"/>
            </v:rect>
            <v:rect style="position:absolute;left:9348;top:4537;width:99;height:99" filled="true" fillcolor="#9a9a9a" stroked="false">
              <v:fill type="solid"/>
            </v:rect>
            <v:rect style="position:absolute;left:9348;top:4875;width:99;height:99" filled="true" fillcolor="#b5b5b5" stroked="false">
              <v:fill type="solid"/>
            </v:rect>
            <v:rect style="position:absolute;left:9348;top:5211;width:99;height:99" filled="true" fillcolor="#d1d1d1" stroked="false">
              <v:fill type="solid"/>
            </v:rect>
            <v:rect style="position:absolute;left:1440;top:1681;width:9315;height:6149" filled="false" stroked="true" strokeweight=".72pt" strokecolor="#d9d9d9">
              <v:stroke dashstyle="solid"/>
            </v:rect>
            <v:shape style="position:absolute;left:1969;top:1817;width:4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12000</w:t>
                    </w:r>
                  </w:p>
                </w:txbxContent>
              </v:textbox>
              <w10:wrap type="none"/>
            </v:shape>
            <v:shape style="position:absolute;left:1969;top:2527;width:4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10000</w:t>
                    </w:r>
                  </w:p>
                </w:txbxContent>
              </v:textbox>
              <w10:wrap type="none"/>
            </v:shape>
            <v:shape style="position:absolute;left:2061;top:3237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8000</w:t>
                    </w:r>
                  </w:p>
                </w:txbxContent>
              </v:textbox>
              <w10:wrap type="none"/>
            </v:shape>
            <v:shape style="position:absolute;left:2061;top:3947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6000</w:t>
                    </w:r>
                  </w:p>
                </w:txbxContent>
              </v:textbox>
              <w10:wrap type="none"/>
            </v:shape>
            <v:shape style="position:absolute;left:2061;top:465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9490;top:4166;width:1085;height:119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(2010)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(2013)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(2016)</w:t>
                    </w:r>
                  </w:p>
                  <w:p>
                    <w:pPr>
                      <w:spacing w:line="216" w:lineRule="exact"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(2019)</w:t>
                    </w:r>
                  </w:p>
                </w:txbxContent>
              </v:textbox>
              <w10:wrap type="none"/>
            </v:shape>
            <v:shape style="position:absolute;left:2061;top:536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2334;top:607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3.478661pt;margin-top:181.266403pt;width:13pt;height:40.8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/>
        <w:t>Education is key to any development and welfare. Figure 5.1 indicated the level of education of</w:t>
      </w:r>
      <w:r>
        <w:rPr>
          <w:spacing w:val="1"/>
        </w:rPr>
        <w:t> </w:t>
      </w:r>
      <w:r>
        <w:rPr/>
        <w:t>respondents.</w:t>
      </w:r>
      <w:r>
        <w:rPr>
          <w:spacing w:val="-8"/>
        </w:rPr>
        <w:t> </w:t>
      </w:r>
      <w:r>
        <w:rPr/>
        <w:t>It</w:t>
      </w:r>
      <w:r>
        <w:rPr>
          <w:spacing w:val="-9"/>
        </w:rPr>
        <w:t> </w:t>
      </w:r>
      <w:r>
        <w:rPr/>
        <w:t>was</w:t>
      </w:r>
      <w:r>
        <w:rPr>
          <w:spacing w:val="-9"/>
        </w:rPr>
        <w:t> </w:t>
      </w:r>
      <w:r>
        <w:rPr/>
        <w:t>found</w:t>
      </w:r>
      <w:r>
        <w:rPr>
          <w:spacing w:val="-7"/>
        </w:rPr>
        <w:t> </w:t>
      </w:r>
      <w:r>
        <w:rPr/>
        <w:t>that</w:t>
      </w:r>
      <w:r>
        <w:rPr>
          <w:spacing w:val="-10"/>
        </w:rPr>
        <w:t> </w:t>
      </w:r>
      <w:r>
        <w:rPr/>
        <w:t>larger</w:t>
      </w:r>
      <w:r>
        <w:rPr>
          <w:spacing w:val="-10"/>
        </w:rPr>
        <w:t> </w:t>
      </w:r>
      <w:r>
        <w:rPr/>
        <w:t>numbers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respondents</w:t>
      </w:r>
      <w:r>
        <w:rPr>
          <w:spacing w:val="-9"/>
        </w:rPr>
        <w:t> </w:t>
      </w:r>
      <w:r>
        <w:rPr/>
        <w:t>had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formal</w:t>
      </w:r>
      <w:r>
        <w:rPr>
          <w:spacing w:val="-12"/>
        </w:rPr>
        <w:t> </w:t>
      </w:r>
      <w:r>
        <w:rPr/>
        <w:t>education.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figures</w:t>
      </w:r>
      <w:r>
        <w:rPr>
          <w:spacing w:val="-58"/>
        </w:rPr>
        <w:t> </w:t>
      </w:r>
      <w:r>
        <w:rPr/>
        <w:t>rose progressively between 2010 and 2019 from 6,569 to 7,628. This suggest that the numbers of</w:t>
      </w:r>
      <w:r>
        <w:rPr>
          <w:spacing w:val="-57"/>
        </w:rPr>
        <w:t> </w:t>
      </w:r>
      <w:r>
        <w:rPr/>
        <w:t>citizens</w:t>
      </w:r>
      <w:r>
        <w:rPr>
          <w:spacing w:val="-1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with no education</w:t>
      </w:r>
      <w:r>
        <w:rPr>
          <w:spacing w:val="-1"/>
        </w:rPr>
        <w:t> </w:t>
      </w:r>
      <w:r>
        <w:rPr/>
        <w:t>is rising</w:t>
      </w:r>
      <w:r>
        <w:rPr>
          <w:spacing w:val="-2"/>
        </w:rPr>
        <w:t> </w:t>
      </w:r>
      <w:r>
        <w:rPr/>
        <w:t>over</w:t>
      </w:r>
      <w:r>
        <w:rPr>
          <w:spacing w:val="1"/>
        </w:rPr>
        <w:t> </w:t>
      </w:r>
      <w:r>
        <w:rPr/>
        <w:t>the recent</w:t>
      </w:r>
      <w:r>
        <w:rPr>
          <w:spacing w:val="1"/>
        </w:rPr>
        <w:t> </w:t>
      </w:r>
      <w:r>
        <w:rPr/>
        <w:t>years.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1368" w:right="1372"/>
        <w:jc w:val="center"/>
      </w:pPr>
      <w:r>
        <w:rPr/>
        <w:t>Figure</w:t>
      </w:r>
      <w:r>
        <w:rPr>
          <w:spacing w:val="-3"/>
        </w:rPr>
        <w:t> </w:t>
      </w:r>
      <w:r>
        <w:rPr/>
        <w:t>5.1:</w:t>
      </w:r>
      <w:r>
        <w:rPr>
          <w:spacing w:val="1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Respondents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Education</w:t>
      </w:r>
      <w:r>
        <w:rPr>
          <w:spacing w:val="2"/>
        </w:rPr>
        <w:t> </w:t>
      </w:r>
      <w:r>
        <w:rPr/>
        <w:t>Level</w:t>
      </w: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120" w:right="116"/>
        <w:jc w:val="both"/>
      </w:pPr>
      <w:r>
        <w:rPr/>
        <w:t>Similar</w:t>
      </w:r>
      <w:r>
        <w:rPr>
          <w:spacing w:val="-14"/>
        </w:rPr>
        <w:t> </w:t>
      </w:r>
      <w:r>
        <w:rPr/>
        <w:t>results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obtained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those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bachelor</w:t>
      </w:r>
      <w:r>
        <w:rPr>
          <w:spacing w:val="-14"/>
        </w:rPr>
        <w:t> </w:t>
      </w:r>
      <w:r>
        <w:rPr/>
        <w:t>degrees,</w:t>
      </w:r>
      <w:r>
        <w:rPr>
          <w:spacing w:val="-13"/>
        </w:rPr>
        <w:t> </w:t>
      </w:r>
      <w:r>
        <w:rPr/>
        <w:t>where</w:t>
      </w:r>
      <w:r>
        <w:rPr>
          <w:spacing w:val="-14"/>
        </w:rPr>
        <w:t> </w:t>
      </w:r>
      <w:r>
        <w:rPr/>
        <w:t>more</w:t>
      </w:r>
      <w:r>
        <w:rPr>
          <w:spacing w:val="-12"/>
        </w:rPr>
        <w:t> </w:t>
      </w:r>
      <w:r>
        <w:rPr/>
        <w:t>than</w:t>
      </w:r>
      <w:r>
        <w:rPr>
          <w:spacing w:val="-13"/>
        </w:rPr>
        <w:t> </w:t>
      </w:r>
      <w:r>
        <w:rPr/>
        <w:t>one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four</w:t>
      </w:r>
      <w:r>
        <w:rPr>
          <w:spacing w:val="-15"/>
        </w:rPr>
        <w:t> </w:t>
      </w:r>
      <w:r>
        <w:rPr/>
        <w:t>responds</w:t>
      </w:r>
      <w:r>
        <w:rPr>
          <w:spacing w:val="-57"/>
        </w:rPr>
        <w:t> </w:t>
      </w:r>
      <w:r>
        <w:rPr/>
        <w:t>had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degree.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figure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doubled between</w:t>
      </w:r>
      <w:r>
        <w:rPr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2019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5,189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10,551,</w:t>
      </w:r>
      <w:r>
        <w:rPr>
          <w:spacing w:val="-4"/>
        </w:rPr>
        <w:t> </w:t>
      </w:r>
      <w:r>
        <w:rPr/>
        <w:t>suggest</w:t>
      </w:r>
      <w:r>
        <w:rPr>
          <w:spacing w:val="-58"/>
        </w:rPr>
        <w:t> </w:t>
      </w:r>
      <w:r>
        <w:rPr/>
        <w:t>increase in unemployment rate in Nigeria. This could pose a host of cumulative long-term issues</w:t>
      </w:r>
      <w:r>
        <w:rPr>
          <w:spacing w:val="1"/>
        </w:rPr>
        <w:t> </w:t>
      </w:r>
      <w:r>
        <w:rPr/>
        <w:t>ranging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income</w:t>
      </w:r>
      <w:r>
        <w:rPr>
          <w:spacing w:val="-7"/>
        </w:rPr>
        <w:t> </w:t>
      </w:r>
      <w:r>
        <w:rPr/>
        <w:t>disparity,</w:t>
      </w:r>
      <w:r>
        <w:rPr>
          <w:spacing w:val="-6"/>
        </w:rPr>
        <w:t> </w:t>
      </w:r>
      <w:r>
        <w:rPr/>
        <w:t>insecurity,</w:t>
      </w:r>
      <w:r>
        <w:rPr>
          <w:spacing w:val="-7"/>
        </w:rPr>
        <w:t> </w:t>
      </w:r>
      <w:r>
        <w:rPr/>
        <w:t>reduce</w:t>
      </w:r>
      <w:r>
        <w:rPr>
          <w:spacing w:val="-2"/>
        </w:rPr>
        <w:t> </w:t>
      </w:r>
      <w:r>
        <w:rPr/>
        <w:t>consumption</w:t>
      </w:r>
      <w:r>
        <w:rPr>
          <w:spacing w:val="-5"/>
        </w:rPr>
        <w:t> </w:t>
      </w:r>
      <w:r>
        <w:rPr>
          <w:sz w:val="22"/>
        </w:rPr>
        <w:t>that </w:t>
      </w:r>
      <w:r>
        <w:rPr/>
        <w:t>weaken</w:t>
      </w:r>
      <w:r>
        <w:rPr>
          <w:spacing w:val="-5"/>
        </w:rPr>
        <w:t> </w:t>
      </w:r>
      <w:r>
        <w:rPr/>
        <w:t>health</w:t>
      </w:r>
      <w:r>
        <w:rPr>
          <w:spacing w:val="-6"/>
        </w:rPr>
        <w:t> </w:t>
      </w:r>
      <w:r>
        <w:rPr/>
        <w:t>outcomes.</w:t>
      </w:r>
      <w:r>
        <w:rPr>
          <w:spacing w:val="-5"/>
        </w:rPr>
        <w:t> </w:t>
      </w:r>
      <w:r>
        <w:rPr/>
        <w:t>This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in harmony</w:t>
      </w:r>
      <w:r>
        <w:rPr>
          <w:spacing w:val="-6"/>
        </w:rPr>
        <w:t> </w:t>
      </w:r>
      <w:r>
        <w:rPr/>
        <w:t>with</w:t>
      </w:r>
      <w:r>
        <w:rPr>
          <w:spacing w:val="1"/>
        </w:rPr>
        <w:t> </w:t>
      </w:r>
      <w:r>
        <w:rPr/>
        <w:t>Galama</w:t>
      </w:r>
      <w:r>
        <w:rPr>
          <w:spacing w:val="-1"/>
        </w:rPr>
        <w:t>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(2018)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higher educational attainment</w:t>
      </w:r>
      <w:r>
        <w:rPr>
          <w:spacing w:val="2"/>
        </w:rPr>
        <w:t> </w:t>
      </w:r>
      <w:r>
        <w:rPr/>
        <w:t>related to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lives.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Heading5"/>
        <w:numPr>
          <w:ilvl w:val="2"/>
          <w:numId w:val="14"/>
        </w:numPr>
        <w:tabs>
          <w:tab w:pos="841" w:val="left" w:leader="none"/>
        </w:tabs>
        <w:spacing w:line="240" w:lineRule="auto" w:before="77" w:after="0"/>
        <w:ind w:left="840" w:right="0" w:hanging="721"/>
        <w:jc w:val="both"/>
      </w:pPr>
      <w:bookmarkStart w:name="_TOC_250021" w:id="56"/>
      <w:r>
        <w:rPr/>
        <w:t>Marital</w:t>
      </w:r>
      <w:r>
        <w:rPr>
          <w:spacing w:val="-1"/>
        </w:rPr>
        <w:t> </w:t>
      </w:r>
      <w:bookmarkEnd w:id="56"/>
      <w:r>
        <w:rPr/>
        <w:t>Status</w:t>
      </w:r>
    </w:p>
    <w:p>
      <w:pPr>
        <w:pStyle w:val="BodyText"/>
        <w:spacing w:line="360" w:lineRule="auto" w:before="19"/>
        <w:ind w:left="120" w:right="114"/>
        <w:jc w:val="both"/>
      </w:pPr>
      <w:r>
        <w:rPr/>
        <w:t>One major factor that influences the income, health and welfare of citizens is their marital status.</w:t>
      </w:r>
      <w:r>
        <w:rPr>
          <w:spacing w:val="1"/>
        </w:rPr>
        <w:t> </w:t>
      </w:r>
      <w:r>
        <w:rPr/>
        <w:t>Table 5.5 presented the marital status of the respondents. It was revealed that the percentanges of</w:t>
      </w:r>
      <w:r>
        <w:rPr>
          <w:spacing w:val="-57"/>
        </w:rPr>
        <w:t> </w:t>
      </w:r>
      <w:r>
        <w:rPr/>
        <w:t>single (never married) is more than two out of every five respondents. This might largely be as a</w:t>
      </w:r>
      <w:r>
        <w:rPr>
          <w:spacing w:val="1"/>
        </w:rPr>
        <w:t> </w:t>
      </w:r>
      <w:r>
        <w:rPr/>
        <w:t>result of rising unemployment and income inequality that can put download pressure on marital</w:t>
      </w:r>
      <w:r>
        <w:rPr>
          <w:spacing w:val="1"/>
        </w:rPr>
        <w:t> </w:t>
      </w:r>
      <w:r>
        <w:rPr/>
        <w:t>decisions. On the other hand, the percentage of respondents currently married to one wife is more</w:t>
      </w:r>
      <w:r>
        <w:rPr>
          <w:spacing w:val="-58"/>
        </w:rPr>
        <w:t> </w:t>
      </w:r>
      <w:r>
        <w:rPr/>
        <w:t>than one in every five responds. This increase from 23% to 34% between 2010 and 2019. Similar</w:t>
      </w:r>
      <w:r>
        <w:rPr>
          <w:spacing w:val="-57"/>
        </w:rPr>
        <w:t> </w:t>
      </w:r>
      <w:r>
        <w:rPr/>
        <w:t>trend was observed for those who are presently married (polygamous) from 9.3% to 13.4% over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periods.</w:t>
      </w:r>
    </w:p>
    <w:p>
      <w:pPr>
        <w:pStyle w:val="Heading4"/>
        <w:spacing w:before="188" w:after="4"/>
        <w:ind w:left="120"/>
      </w:pPr>
      <w:r>
        <w:rPr/>
        <w:t>Table</w:t>
      </w:r>
      <w:r>
        <w:rPr>
          <w:spacing w:val="-2"/>
        </w:rPr>
        <w:t> </w:t>
      </w:r>
      <w:r>
        <w:rPr/>
        <w:t>5.5:</w:t>
      </w:r>
      <w:r>
        <w:rPr>
          <w:spacing w:val="-3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of Respondents</w:t>
      </w:r>
      <w:r>
        <w:rPr>
          <w:spacing w:val="-1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Marital</w:t>
      </w:r>
      <w:r>
        <w:rPr>
          <w:spacing w:val="-2"/>
        </w:rPr>
        <w:t> </w:t>
      </w:r>
      <w:r>
        <w:rPr/>
        <w:t>Status</w:t>
      </w:r>
      <w:r>
        <w:rPr>
          <w:spacing w:val="3"/>
        </w:rPr>
        <w:t> </w:t>
      </w:r>
      <w:r>
        <w:rPr/>
        <w:t>(NGHPS,</w:t>
      </w:r>
      <w:r>
        <w:rPr>
          <w:spacing w:val="-1"/>
        </w:rPr>
        <w:t> </w:t>
      </w:r>
      <w:r>
        <w:rPr/>
        <w:t>2010-2019)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7"/>
        <w:gridCol w:w="900"/>
        <w:gridCol w:w="809"/>
        <w:gridCol w:w="901"/>
        <w:gridCol w:w="812"/>
        <w:gridCol w:w="1081"/>
        <w:gridCol w:w="722"/>
        <w:gridCol w:w="901"/>
        <w:gridCol w:w="805"/>
      </w:tblGrid>
      <w:tr>
        <w:trPr>
          <w:trHeight w:val="290" w:hRule="atLeast"/>
        </w:trPr>
        <w:tc>
          <w:tcPr>
            <w:tcW w:w="2427" w:type="dxa"/>
            <w:vMerge w:val="restart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Marital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Status</w:t>
            </w:r>
          </w:p>
        </w:tc>
        <w:tc>
          <w:tcPr>
            <w:tcW w:w="1709" w:type="dxa"/>
            <w:gridSpan w:val="2"/>
          </w:tcPr>
          <w:p>
            <w:pPr>
              <w:pStyle w:val="TableParagraph"/>
              <w:spacing w:line="247" w:lineRule="exact"/>
              <w:ind w:left="11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1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(2010)</w:t>
            </w:r>
          </w:p>
        </w:tc>
        <w:tc>
          <w:tcPr>
            <w:tcW w:w="1713" w:type="dxa"/>
            <w:gridSpan w:val="2"/>
          </w:tcPr>
          <w:p>
            <w:pPr>
              <w:pStyle w:val="TableParagraph"/>
              <w:spacing w:line="247" w:lineRule="exact"/>
              <w:ind w:left="11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2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(2013)</w:t>
            </w:r>
          </w:p>
        </w:tc>
        <w:tc>
          <w:tcPr>
            <w:tcW w:w="1803" w:type="dxa"/>
            <w:gridSpan w:val="2"/>
          </w:tcPr>
          <w:p>
            <w:pPr>
              <w:pStyle w:val="TableParagraph"/>
              <w:spacing w:line="247" w:lineRule="exact"/>
              <w:ind w:left="16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(2016)</w:t>
            </w:r>
          </w:p>
        </w:tc>
        <w:tc>
          <w:tcPr>
            <w:tcW w:w="1706" w:type="dxa"/>
            <w:gridSpan w:val="2"/>
          </w:tcPr>
          <w:p>
            <w:pPr>
              <w:pStyle w:val="TableParagraph"/>
              <w:spacing w:line="247" w:lineRule="exact"/>
              <w:ind w:left="11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4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(2019)</w:t>
            </w:r>
          </w:p>
        </w:tc>
      </w:tr>
      <w:tr>
        <w:trPr>
          <w:trHeight w:val="263" w:hRule="atLeast"/>
        </w:trPr>
        <w:tc>
          <w:tcPr>
            <w:tcW w:w="2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line="225" w:lineRule="exact"/>
              <w:ind w:left="123" w:right="119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Obs.</w:t>
            </w:r>
          </w:p>
        </w:tc>
        <w:tc>
          <w:tcPr>
            <w:tcW w:w="809" w:type="dxa"/>
          </w:tcPr>
          <w:p>
            <w:pPr>
              <w:pStyle w:val="TableParagraph"/>
              <w:ind w:lef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901" w:type="dxa"/>
          </w:tcPr>
          <w:p>
            <w:pPr>
              <w:pStyle w:val="TableParagraph"/>
              <w:spacing w:line="225" w:lineRule="exact"/>
              <w:ind w:left="74" w:right="67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Obs.</w:t>
            </w:r>
          </w:p>
        </w:tc>
        <w:tc>
          <w:tcPr>
            <w:tcW w:w="812" w:type="dxa"/>
          </w:tcPr>
          <w:p>
            <w:pPr>
              <w:pStyle w:val="TableParagraph"/>
              <w:ind w:lef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1081" w:type="dxa"/>
          </w:tcPr>
          <w:p>
            <w:pPr>
              <w:pStyle w:val="TableParagraph"/>
              <w:spacing w:line="225" w:lineRule="exact"/>
              <w:ind w:left="212" w:right="212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Obs.</w:t>
            </w:r>
          </w:p>
        </w:tc>
        <w:tc>
          <w:tcPr>
            <w:tcW w:w="722" w:type="dxa"/>
          </w:tcPr>
          <w:p>
            <w:pPr>
              <w:pStyle w:val="TableParagraph"/>
              <w:ind w:right="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901" w:type="dxa"/>
          </w:tcPr>
          <w:p>
            <w:pPr>
              <w:pStyle w:val="TableParagraph"/>
              <w:spacing w:line="225" w:lineRule="exact"/>
              <w:ind w:left="74" w:right="76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Obs.</w:t>
            </w:r>
          </w:p>
        </w:tc>
        <w:tc>
          <w:tcPr>
            <w:tcW w:w="805" w:type="dxa"/>
          </w:tcPr>
          <w:p>
            <w:pPr>
              <w:pStyle w:val="TableParagraph"/>
              <w:ind w:righ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</w:tr>
      <w:tr>
        <w:trPr>
          <w:trHeight w:val="292" w:hRule="atLeast"/>
        </w:trPr>
        <w:tc>
          <w:tcPr>
            <w:tcW w:w="2427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Married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(Monogamous)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/>
              <w:ind w:left="123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6,510</w:t>
            </w:r>
          </w:p>
        </w:tc>
        <w:tc>
          <w:tcPr>
            <w:tcW w:w="809" w:type="dxa"/>
          </w:tcPr>
          <w:p>
            <w:pPr>
              <w:pStyle w:val="TableParagraph"/>
              <w:spacing w:line="249" w:lineRule="exact"/>
              <w:ind w:left="134" w:right="13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23.04</w:t>
            </w:r>
          </w:p>
        </w:tc>
        <w:tc>
          <w:tcPr>
            <w:tcW w:w="901" w:type="dxa"/>
          </w:tcPr>
          <w:p>
            <w:pPr>
              <w:pStyle w:val="TableParagraph"/>
              <w:spacing w:line="249" w:lineRule="exact"/>
              <w:ind w:left="74" w:right="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6,021</w:t>
            </w:r>
          </w:p>
        </w:tc>
        <w:tc>
          <w:tcPr>
            <w:tcW w:w="812" w:type="dxa"/>
          </w:tcPr>
          <w:p>
            <w:pPr>
              <w:pStyle w:val="TableParagraph"/>
              <w:spacing w:line="249" w:lineRule="exact"/>
              <w:ind w:left="135" w:right="13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20.74</w:t>
            </w:r>
          </w:p>
        </w:tc>
        <w:tc>
          <w:tcPr>
            <w:tcW w:w="1081" w:type="dxa"/>
          </w:tcPr>
          <w:p>
            <w:pPr>
              <w:pStyle w:val="TableParagraph"/>
              <w:spacing w:line="249" w:lineRule="exact"/>
              <w:ind w:left="214" w:right="21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5,869</w:t>
            </w:r>
          </w:p>
        </w:tc>
        <w:tc>
          <w:tcPr>
            <w:tcW w:w="722" w:type="dxa"/>
          </w:tcPr>
          <w:p>
            <w:pPr>
              <w:pStyle w:val="TableParagraph"/>
              <w:spacing w:line="249" w:lineRule="exact"/>
              <w:ind w:left="88" w:right="8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22.42</w:t>
            </w:r>
          </w:p>
        </w:tc>
        <w:tc>
          <w:tcPr>
            <w:tcW w:w="901" w:type="dxa"/>
          </w:tcPr>
          <w:p>
            <w:pPr>
              <w:pStyle w:val="TableParagraph"/>
              <w:spacing w:line="249" w:lineRule="exact"/>
              <w:ind w:left="74" w:right="7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6,001</w:t>
            </w:r>
          </w:p>
        </w:tc>
        <w:tc>
          <w:tcPr>
            <w:tcW w:w="805" w:type="dxa"/>
          </w:tcPr>
          <w:p>
            <w:pPr>
              <w:pStyle w:val="TableParagraph"/>
              <w:spacing w:line="249" w:lineRule="exact"/>
              <w:ind w:left="128" w:right="1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34.58</w:t>
            </w:r>
          </w:p>
        </w:tc>
      </w:tr>
      <w:tr>
        <w:trPr>
          <w:trHeight w:val="290" w:hRule="atLeast"/>
        </w:trPr>
        <w:tc>
          <w:tcPr>
            <w:tcW w:w="2427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Married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(Polygamous)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3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2,614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34" w:right="13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9.25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74" w:right="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2,956</w:t>
            </w:r>
          </w:p>
        </w:tc>
        <w:tc>
          <w:tcPr>
            <w:tcW w:w="812" w:type="dxa"/>
          </w:tcPr>
          <w:p>
            <w:pPr>
              <w:pStyle w:val="TableParagraph"/>
              <w:spacing w:line="247" w:lineRule="exact"/>
              <w:ind w:left="135" w:right="13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10.19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/>
              <w:ind w:left="214" w:right="21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3,253</w:t>
            </w:r>
          </w:p>
        </w:tc>
        <w:tc>
          <w:tcPr>
            <w:tcW w:w="722" w:type="dxa"/>
          </w:tcPr>
          <w:p>
            <w:pPr>
              <w:pStyle w:val="TableParagraph"/>
              <w:spacing w:line="247" w:lineRule="exact"/>
              <w:ind w:left="88" w:right="8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12.43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74" w:right="7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2,328</w:t>
            </w:r>
          </w:p>
        </w:tc>
        <w:tc>
          <w:tcPr>
            <w:tcW w:w="805" w:type="dxa"/>
          </w:tcPr>
          <w:p>
            <w:pPr>
              <w:pStyle w:val="TableParagraph"/>
              <w:spacing w:line="247" w:lineRule="exact"/>
              <w:ind w:left="128" w:right="1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13.42</w:t>
            </w:r>
          </w:p>
        </w:tc>
      </w:tr>
      <w:tr>
        <w:trPr>
          <w:trHeight w:val="292" w:hRule="atLeast"/>
        </w:trPr>
        <w:tc>
          <w:tcPr>
            <w:tcW w:w="2427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Informal Union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1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37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34" w:right="13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0.13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74" w:right="6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</w:t>
            </w:r>
          </w:p>
        </w:tc>
        <w:tc>
          <w:tcPr>
            <w:tcW w:w="812" w:type="dxa"/>
          </w:tcPr>
          <w:p>
            <w:pPr>
              <w:pStyle w:val="TableParagraph"/>
              <w:spacing w:line="247" w:lineRule="exact"/>
              <w:ind w:left="135" w:right="13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0.08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/>
              <w:ind w:left="212" w:right="21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</w:t>
            </w:r>
          </w:p>
        </w:tc>
        <w:tc>
          <w:tcPr>
            <w:tcW w:w="722" w:type="dxa"/>
          </w:tcPr>
          <w:p>
            <w:pPr>
              <w:pStyle w:val="TableParagraph"/>
              <w:spacing w:line="247" w:lineRule="exact"/>
              <w:ind w:left="88" w:right="8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0.01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74" w:right="7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49</w:t>
            </w:r>
          </w:p>
        </w:tc>
        <w:tc>
          <w:tcPr>
            <w:tcW w:w="805" w:type="dxa"/>
          </w:tcPr>
          <w:p>
            <w:pPr>
              <w:pStyle w:val="TableParagraph"/>
              <w:spacing w:line="247" w:lineRule="exact"/>
              <w:ind w:left="128" w:right="1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0.28</w:t>
            </w:r>
          </w:p>
        </w:tc>
      </w:tr>
      <w:tr>
        <w:trPr>
          <w:trHeight w:val="290" w:hRule="atLeast"/>
        </w:trPr>
        <w:tc>
          <w:tcPr>
            <w:tcW w:w="2427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Divorced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1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76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34" w:right="13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0.27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74" w:right="6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92</w:t>
            </w:r>
          </w:p>
        </w:tc>
        <w:tc>
          <w:tcPr>
            <w:tcW w:w="812" w:type="dxa"/>
          </w:tcPr>
          <w:p>
            <w:pPr>
              <w:pStyle w:val="TableParagraph"/>
              <w:spacing w:line="247" w:lineRule="exact"/>
              <w:ind w:left="135" w:right="13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0.32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/>
              <w:ind w:left="212" w:right="21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148</w:t>
            </w:r>
          </w:p>
        </w:tc>
        <w:tc>
          <w:tcPr>
            <w:tcW w:w="722" w:type="dxa"/>
          </w:tcPr>
          <w:p>
            <w:pPr>
              <w:pStyle w:val="TableParagraph"/>
              <w:spacing w:line="247" w:lineRule="exact"/>
              <w:ind w:left="88" w:right="8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0.57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74" w:right="7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114</w:t>
            </w:r>
          </w:p>
        </w:tc>
        <w:tc>
          <w:tcPr>
            <w:tcW w:w="805" w:type="dxa"/>
          </w:tcPr>
          <w:p>
            <w:pPr>
              <w:pStyle w:val="TableParagraph"/>
              <w:spacing w:line="247" w:lineRule="exact"/>
              <w:ind w:left="128" w:right="1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0.66</w:t>
            </w:r>
          </w:p>
        </w:tc>
      </w:tr>
      <w:tr>
        <w:trPr>
          <w:trHeight w:val="290" w:hRule="atLeast"/>
        </w:trPr>
        <w:tc>
          <w:tcPr>
            <w:tcW w:w="2427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Separated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1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151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34" w:right="13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0.53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74" w:right="6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175</w:t>
            </w:r>
          </w:p>
        </w:tc>
        <w:tc>
          <w:tcPr>
            <w:tcW w:w="812" w:type="dxa"/>
          </w:tcPr>
          <w:p>
            <w:pPr>
              <w:pStyle w:val="TableParagraph"/>
              <w:spacing w:line="247" w:lineRule="exact"/>
              <w:ind w:left="135" w:right="13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0.60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/>
              <w:ind w:left="212" w:right="21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252</w:t>
            </w:r>
          </w:p>
        </w:tc>
        <w:tc>
          <w:tcPr>
            <w:tcW w:w="722" w:type="dxa"/>
          </w:tcPr>
          <w:p>
            <w:pPr>
              <w:pStyle w:val="TableParagraph"/>
              <w:spacing w:line="247" w:lineRule="exact"/>
              <w:ind w:left="88" w:right="8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0.96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74" w:right="7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220</w:t>
            </w:r>
          </w:p>
        </w:tc>
        <w:tc>
          <w:tcPr>
            <w:tcW w:w="805" w:type="dxa"/>
          </w:tcPr>
          <w:p>
            <w:pPr>
              <w:pStyle w:val="TableParagraph"/>
              <w:spacing w:line="247" w:lineRule="exact"/>
              <w:ind w:left="128" w:right="1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1.27</w:t>
            </w:r>
          </w:p>
        </w:tc>
      </w:tr>
      <w:tr>
        <w:trPr>
          <w:trHeight w:val="292" w:hRule="atLeast"/>
        </w:trPr>
        <w:tc>
          <w:tcPr>
            <w:tcW w:w="2427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Widowed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1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915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34" w:right="13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3.24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74" w:right="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1,054</w:t>
            </w:r>
          </w:p>
        </w:tc>
        <w:tc>
          <w:tcPr>
            <w:tcW w:w="812" w:type="dxa"/>
          </w:tcPr>
          <w:p>
            <w:pPr>
              <w:pStyle w:val="TableParagraph"/>
              <w:spacing w:line="247" w:lineRule="exact"/>
              <w:ind w:left="135" w:right="13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3.63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/>
              <w:ind w:left="214" w:right="21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1,156</w:t>
            </w:r>
          </w:p>
        </w:tc>
        <w:tc>
          <w:tcPr>
            <w:tcW w:w="722" w:type="dxa"/>
          </w:tcPr>
          <w:p>
            <w:pPr>
              <w:pStyle w:val="TableParagraph"/>
              <w:spacing w:line="247" w:lineRule="exact"/>
              <w:ind w:left="88" w:right="8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4.42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74" w:right="7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1,173</w:t>
            </w:r>
          </w:p>
        </w:tc>
        <w:tc>
          <w:tcPr>
            <w:tcW w:w="805" w:type="dxa"/>
          </w:tcPr>
          <w:p>
            <w:pPr>
              <w:pStyle w:val="TableParagraph"/>
              <w:spacing w:line="247" w:lineRule="exact"/>
              <w:ind w:left="128" w:right="1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6.76</w:t>
            </w:r>
          </w:p>
        </w:tc>
      </w:tr>
      <w:tr>
        <w:trPr>
          <w:trHeight w:val="290" w:hRule="atLeast"/>
        </w:trPr>
        <w:tc>
          <w:tcPr>
            <w:tcW w:w="2427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Never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Married</w:t>
            </w:r>
          </w:p>
        </w:tc>
        <w:tc>
          <w:tcPr>
            <w:tcW w:w="900" w:type="dxa"/>
          </w:tcPr>
          <w:p>
            <w:pPr>
              <w:pStyle w:val="TableParagraph"/>
              <w:spacing w:line="247" w:lineRule="exact"/>
              <w:ind w:left="123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17,967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34" w:right="13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63.56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74" w:right="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18,680</w:t>
            </w:r>
          </w:p>
        </w:tc>
        <w:tc>
          <w:tcPr>
            <w:tcW w:w="812" w:type="dxa"/>
          </w:tcPr>
          <w:p>
            <w:pPr>
              <w:pStyle w:val="TableParagraph"/>
              <w:spacing w:line="247" w:lineRule="exact"/>
              <w:ind w:left="135" w:right="13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64.41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/>
              <w:ind w:left="214" w:right="21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15,473</w:t>
            </w:r>
          </w:p>
        </w:tc>
        <w:tc>
          <w:tcPr>
            <w:tcW w:w="722" w:type="dxa"/>
          </w:tcPr>
          <w:p>
            <w:pPr>
              <w:pStyle w:val="TableParagraph"/>
              <w:spacing w:line="247" w:lineRule="exact"/>
              <w:ind w:left="88" w:right="8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59.19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74" w:right="7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7,467</w:t>
            </w:r>
          </w:p>
        </w:tc>
        <w:tc>
          <w:tcPr>
            <w:tcW w:w="805" w:type="dxa"/>
          </w:tcPr>
          <w:p>
            <w:pPr>
              <w:pStyle w:val="TableParagraph"/>
              <w:spacing w:line="247" w:lineRule="exact"/>
              <w:ind w:left="128" w:right="1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43.03</w:t>
            </w:r>
          </w:p>
        </w:tc>
      </w:tr>
      <w:tr>
        <w:trPr>
          <w:trHeight w:val="292" w:hRule="atLeast"/>
        </w:trPr>
        <w:tc>
          <w:tcPr>
            <w:tcW w:w="2427" w:type="dxa"/>
          </w:tcPr>
          <w:p>
            <w:pPr>
              <w:pStyle w:val="TableParagraph"/>
              <w:spacing w:line="252" w:lineRule="exact"/>
              <w:ind w:right="98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Total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/>
              <w:ind w:left="123" w:right="11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28,270</w:t>
            </w:r>
          </w:p>
        </w:tc>
        <w:tc>
          <w:tcPr>
            <w:tcW w:w="80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252" w:lineRule="exact"/>
              <w:ind w:left="74" w:right="66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29,000</w:t>
            </w:r>
          </w:p>
        </w:tc>
        <w:tc>
          <w:tcPr>
            <w:tcW w:w="812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spacing w:line="252" w:lineRule="exact"/>
              <w:ind w:left="214" w:right="21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26,176</w:t>
            </w:r>
          </w:p>
        </w:tc>
        <w:tc>
          <w:tcPr>
            <w:tcW w:w="722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252" w:lineRule="exact"/>
              <w:ind w:left="74" w:right="76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17,352</w:t>
            </w:r>
          </w:p>
        </w:tc>
        <w:tc>
          <w:tcPr>
            <w:tcW w:w="805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3"/>
          <w:sz w:val="20"/>
        </w:rPr>
        <w:t> </w:t>
      </w:r>
      <w:r>
        <w:rPr>
          <w:sz w:val="20"/>
        </w:rPr>
        <w:t>Nigeria-General</w:t>
      </w:r>
      <w:r>
        <w:rPr>
          <w:spacing w:val="-2"/>
          <w:sz w:val="20"/>
        </w:rPr>
        <w:t> </w:t>
      </w:r>
      <w:r>
        <w:rPr>
          <w:sz w:val="20"/>
        </w:rPr>
        <w:t>Panel</w:t>
      </w:r>
      <w:r>
        <w:rPr>
          <w:spacing w:val="-2"/>
          <w:sz w:val="20"/>
        </w:rPr>
        <w:t> </w:t>
      </w:r>
      <w:r>
        <w:rPr>
          <w:sz w:val="20"/>
        </w:rPr>
        <w:t>Household</w:t>
      </w:r>
      <w:r>
        <w:rPr>
          <w:spacing w:val="-2"/>
          <w:sz w:val="20"/>
        </w:rPr>
        <w:t> </w:t>
      </w:r>
      <w:r>
        <w:rPr>
          <w:sz w:val="20"/>
        </w:rPr>
        <w:t>Survey,</w:t>
      </w:r>
      <w:r>
        <w:rPr>
          <w:spacing w:val="-3"/>
          <w:sz w:val="20"/>
        </w:rPr>
        <w:t> </w:t>
      </w:r>
      <w:r>
        <w:rPr>
          <w:sz w:val="20"/>
        </w:rPr>
        <w:t>National</w:t>
      </w:r>
      <w:r>
        <w:rPr>
          <w:spacing w:val="-1"/>
          <w:sz w:val="20"/>
        </w:rPr>
        <w:t> </w:t>
      </w:r>
      <w:r>
        <w:rPr>
          <w:sz w:val="20"/>
        </w:rPr>
        <w:t>Bureau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Statistics</w:t>
      </w:r>
      <w:r>
        <w:rPr>
          <w:spacing w:val="-3"/>
          <w:sz w:val="20"/>
        </w:rPr>
        <w:t> </w:t>
      </w:r>
      <w:r>
        <w:rPr>
          <w:sz w:val="20"/>
        </w:rPr>
        <w:t>(various</w:t>
      </w:r>
      <w:r>
        <w:rPr>
          <w:spacing w:val="-2"/>
          <w:sz w:val="20"/>
        </w:rPr>
        <w:t> </w:t>
      </w:r>
      <w:r>
        <w:rPr>
          <w:sz w:val="20"/>
        </w:rPr>
        <w:t>years)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  <w:numPr>
          <w:ilvl w:val="2"/>
          <w:numId w:val="14"/>
        </w:numPr>
        <w:tabs>
          <w:tab w:pos="841" w:val="left" w:leader="none"/>
        </w:tabs>
        <w:spacing w:line="240" w:lineRule="auto" w:before="0" w:after="0"/>
        <w:ind w:left="840" w:right="0" w:hanging="721"/>
        <w:jc w:val="both"/>
      </w:pPr>
      <w:bookmarkStart w:name="_TOC_250020" w:id="57"/>
      <w:r>
        <w:rPr/>
        <w:t>Households’</w:t>
      </w:r>
      <w:r>
        <w:rPr>
          <w:spacing w:val="-2"/>
        </w:rPr>
        <w:t> </w:t>
      </w:r>
      <w:r>
        <w:rPr/>
        <w:t>Sources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57"/>
      <w:r>
        <w:rPr/>
        <w:t>Water</w:t>
      </w:r>
    </w:p>
    <w:p>
      <w:pPr>
        <w:pStyle w:val="BodyText"/>
        <w:spacing w:line="360" w:lineRule="auto" w:before="19"/>
        <w:ind w:left="120" w:right="115"/>
        <w:jc w:val="both"/>
      </w:pPr>
      <w:r>
        <w:rPr/>
        <w:t>Safe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drinkable</w:t>
      </w:r>
      <w:r>
        <w:rPr>
          <w:spacing w:val="-3"/>
        </w:rPr>
        <w:t> </w:t>
      </w:r>
      <w:r>
        <w:rPr/>
        <w:t>water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paramount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healthy</w:t>
      </w:r>
      <w:r>
        <w:rPr>
          <w:spacing w:val="-10"/>
        </w:rPr>
        <w:t> </w:t>
      </w:r>
      <w:r>
        <w:rPr/>
        <w:t>living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5"/>
        </w:rPr>
        <w:t> </w:t>
      </w:r>
      <w:r>
        <w:rPr/>
        <w:t>domestic</w:t>
      </w:r>
      <w:r>
        <w:rPr>
          <w:spacing w:val="-4"/>
        </w:rPr>
        <w:t> </w:t>
      </w:r>
      <w:r>
        <w:rPr/>
        <w:t>uses. The</w:t>
      </w:r>
      <w:r>
        <w:rPr>
          <w:spacing w:val="-5"/>
        </w:rPr>
        <w:t> </w:t>
      </w:r>
      <w:r>
        <w:rPr/>
        <w:t>household’s</w:t>
      </w:r>
      <w:r>
        <w:rPr>
          <w:spacing w:val="-57"/>
        </w:rPr>
        <w:t> </w:t>
      </w:r>
      <w:r>
        <w:rPr/>
        <w:t>main source of drinking water is presented in Figure 5.2. The results indicate that the percentages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respondents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had</w:t>
      </w:r>
      <w:r>
        <w:rPr>
          <w:spacing w:val="-6"/>
        </w:rPr>
        <w:t> </w:t>
      </w:r>
      <w:r>
        <w:rPr/>
        <w:t>access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pipe</w:t>
      </w:r>
      <w:r>
        <w:rPr>
          <w:spacing w:val="-7"/>
        </w:rPr>
        <w:t> </w:t>
      </w:r>
      <w:r>
        <w:rPr/>
        <w:t>borne</w:t>
      </w:r>
      <w:r>
        <w:rPr>
          <w:spacing w:val="-8"/>
        </w:rPr>
        <w:t> </w:t>
      </w:r>
      <w:r>
        <w:rPr/>
        <w:t>(treated)</w:t>
      </w:r>
      <w:r>
        <w:rPr>
          <w:spacing w:val="-7"/>
        </w:rPr>
        <w:t> </w:t>
      </w:r>
      <w:r>
        <w:rPr/>
        <w:t>water</w:t>
      </w:r>
      <w:r>
        <w:rPr>
          <w:spacing w:val="-6"/>
        </w:rPr>
        <w:t> </w:t>
      </w:r>
      <w:r>
        <w:rPr/>
        <w:t>decreased</w:t>
      </w:r>
      <w:r>
        <w:rPr>
          <w:spacing w:val="-4"/>
        </w:rPr>
        <w:t> </w:t>
      </w:r>
      <w:r>
        <w:rPr/>
        <w:t>greatly</w:t>
      </w:r>
      <w:r>
        <w:rPr>
          <w:spacing w:val="-11"/>
        </w:rPr>
        <w:t> </w:t>
      </w:r>
      <w:r>
        <w:rPr/>
        <w:t>from</w:t>
      </w:r>
      <w:r>
        <w:rPr>
          <w:spacing w:val="-6"/>
        </w:rPr>
        <w:t> </w:t>
      </w:r>
      <w:r>
        <w:rPr/>
        <w:t>8.9%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5.08%</w:t>
      </w:r>
      <w:r>
        <w:rPr>
          <w:spacing w:val="-58"/>
        </w:rPr>
        <w:t> </w:t>
      </w:r>
      <w:r>
        <w:rPr/>
        <w:t>between</w:t>
      </w:r>
      <w:r>
        <w:rPr>
          <w:spacing w:val="-5"/>
        </w:rPr>
        <w:t> </w:t>
      </w:r>
      <w:r>
        <w:rPr/>
        <w:t>2010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2019.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suggest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proportion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using</w:t>
      </w:r>
      <w:r>
        <w:rPr>
          <w:spacing w:val="-6"/>
        </w:rPr>
        <w:t> </w:t>
      </w:r>
      <w:r>
        <w:rPr/>
        <w:t>improved</w:t>
      </w:r>
      <w:r>
        <w:rPr>
          <w:spacing w:val="-4"/>
        </w:rPr>
        <w:t> </w:t>
      </w:r>
      <w:r>
        <w:rPr/>
        <w:t>safe</w:t>
      </w:r>
      <w:r>
        <w:rPr>
          <w:spacing w:val="-5"/>
        </w:rPr>
        <w:t> </w:t>
      </w:r>
      <w:r>
        <w:rPr/>
        <w:t>water</w:t>
      </w:r>
      <w:r>
        <w:rPr>
          <w:spacing w:val="-58"/>
        </w:rPr>
        <w:t> </w:t>
      </w:r>
      <w:r>
        <w:rPr/>
        <w:t>source</w:t>
      </w:r>
      <w:r>
        <w:rPr>
          <w:spacing w:val="-2"/>
        </w:rPr>
        <w:t> </w:t>
      </w:r>
      <w:r>
        <w:rPr/>
        <w:t>is declining</w:t>
      </w:r>
      <w:r>
        <w:rPr>
          <w:spacing w:val="-3"/>
        </w:rPr>
        <w:t> </w:t>
      </w:r>
      <w:r>
        <w:rPr/>
        <w:t>in Nigeria.</w:t>
      </w:r>
    </w:p>
    <w:p>
      <w:pPr>
        <w:pStyle w:val="BodyText"/>
        <w:spacing w:line="360" w:lineRule="auto" w:before="184"/>
        <w:ind w:left="120" w:right="115"/>
        <w:jc w:val="both"/>
      </w:pPr>
      <w:r>
        <w:rPr/>
        <w:t>Critically, more than one-seventh of the respondents had access to river and spring as the major</w:t>
      </w:r>
      <w:r>
        <w:rPr>
          <w:spacing w:val="1"/>
        </w:rPr>
        <w:t> </w:t>
      </w:r>
      <w:r>
        <w:rPr/>
        <w:t>source of their drinking water. The statistics stood at 12.1% in 2019 from merely 11.4% in 2010</w:t>
      </w:r>
      <w:r>
        <w:rPr>
          <w:spacing w:val="1"/>
        </w:rPr>
        <w:t> </w:t>
      </w:r>
      <w:r>
        <w:rPr/>
        <w:t>for river and spring source. Improved water access was still a challenge among households: 7.7%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 depend on tanker,</w:t>
      </w:r>
      <w:r>
        <w:rPr>
          <w:spacing w:val="-1"/>
        </w:rPr>
        <w:t> </w:t>
      </w:r>
      <w:r>
        <w:rPr/>
        <w:t>truck or vendor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their main source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7.026001pt;margin-top:125.069923pt;width:12pt;height:44.4pt;mso-position-horizontal-relative:page;mso-position-vertical-relative:page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Frequency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90"/>
        <w:ind w:left="506"/>
      </w:pPr>
      <w:r>
        <w:rPr/>
        <w:pict>
          <v:group style="position:absolute;margin-left:73.199997pt;margin-top:-229.506882pt;width:464.9pt;height:234pt;mso-position-horizontal-relative:page;mso-position-vertical-relative:paragraph;z-index:15778304" coordorigin="1464,-4590" coordsize="9298,4680">
            <v:shape style="position:absolute;left:2618;top:-2107;width:154;height:207" coordorigin="2618,-2106" coordsize="154,207" path="m2618,-1900l2772,-1900m2618,-2003l2772,-2003m2618,-2106l2772,-2106e" filled="false" stroked="true" strokeweight=".72pt" strokecolor="#f1f1f1">
              <v:path arrowok="t"/>
              <v:stroke dashstyle="solid"/>
            </v:shape>
            <v:shape style="position:absolute;left:2618;top:-2211;width:1580;height:8" coordorigin="2618,-2211" coordsize="1580,8" path="m2618,-2203l4198,-2203m2618,-2211l4198,-2211e" filled="false" stroked="true" strokeweight=".36pt" strokecolor="#f1f1f1">
              <v:path arrowok="t"/>
              <v:stroke dashstyle="solid"/>
            </v:shape>
            <v:rect style="position:absolute;left:2772;top:-2171;width:101;height:375" filled="true" fillcolor="#d1d1d1" stroked="false">
              <v:fill type="solid"/>
            </v:rect>
            <v:line style="position:absolute" from="3180,-1900" to="3485,-1900" stroked="true" strokeweight=".72pt" strokecolor="#f1f1f1">
              <v:stroke dashstyle="solid"/>
            </v:line>
            <v:shape style="position:absolute;left:3585;top:-1905;width:104;height:8" coordorigin="3586,-1905" coordsize="104,8" path="m3586,-1897l3689,-1897m3586,-1905l3689,-1905e" filled="false" stroked="true" strokeweight=".48pt" strokecolor="#f1f1f1">
              <v:path arrowok="t"/>
              <v:stroke dashstyle="solid"/>
            </v:shape>
            <v:line style="position:absolute" from="3180,-2003" to="4198,-2003" stroked="true" strokeweight=".72pt" strokecolor="#f1f1f1">
              <v:stroke dashstyle="solid"/>
            </v:line>
            <v:rect style="position:absolute;left:3484;top:-1953;width:101;height:156" filled="true" fillcolor="#d1d1d1" stroked="false">
              <v:fill type="solid"/>
            </v:rect>
            <v:shape style="position:absolute;left:3892;top:-1905;width:305;height:8" coordorigin="3893,-1905" coordsize="305,8" path="m3893,-1897l4198,-1897m3893,-1905l4198,-1905e" filled="false" stroked="true" strokeweight=".48pt" strokecolor="#f1f1f1">
              <v:path arrowok="t"/>
              <v:stroke dashstyle="solid"/>
            </v:shape>
            <v:shape style="position:absolute;left:2618;top:-3542;width:1680;height:1436" coordorigin="2618,-3541" coordsize="1680,1436" path="m3077,-2106l4198,-2106m2618,-2413l4198,-2413m2618,-2517l4198,-2517m2618,-2617l4198,-2617m2618,-2721l4198,-2721m2618,-2927l4198,-2927m2618,-3028l4198,-3028m2618,-3131l4198,-3131m2618,-3234l4198,-3234m2618,-3441l4198,-3441m2618,-3541l4298,-3541e" filled="false" stroked="true" strokeweight=".72pt" strokecolor="#f1f1f1">
              <v:path arrowok="t"/>
              <v:stroke dashstyle="solid"/>
            </v:shape>
            <v:shape style="position:absolute;left:2618;top:-3338;width:1580;height:1028" coordorigin="2618,-3337" coordsize="1580,1028" path="m2618,-2310l4198,-2310m2618,-2824l4198,-2824m2618,-3337l4198,-3337e" filled="false" stroked="true" strokeweight=".72pt" strokecolor="#d9d9d9">
              <v:path arrowok="t"/>
              <v:stroke dashstyle="solid"/>
            </v:shape>
            <v:rect style="position:absolute;left:4197;top:-3525;width:101;height:1728" filled="true" fillcolor="#d1d1d1" stroked="false">
              <v:fill type="solid"/>
            </v:rect>
            <v:shape style="position:absolute;left:2872;top:-2207;width:816;height:411" coordorigin="2873,-2207" coordsize="816,411" path="m2976,-2207l2873,-2207,2873,-1797,2976,-1797,2976,-2207xm3689,-1902l3586,-1902,3586,-1797,3689,-1797,3689,-1902xe" filled="true" fillcolor="#b5b5b5" stroked="false">
              <v:path arrowok="t"/>
              <v:fill type="solid"/>
            </v:shape>
            <v:shape style="position:absolute;left:2618;top:-3645;width:1884;height:2" coordorigin="2618,-3645" coordsize="1884,0" path="m2618,-3645l4298,-3645m4402,-3645l4502,-3645e" filled="false" stroked="true" strokeweight=".72pt" strokecolor="#f1f1f1">
              <v:path arrowok="t"/>
              <v:stroke dashstyle="solid"/>
            </v:shape>
            <v:rect style="position:absolute;left:4298;top:-3664;width:104;height:1868" filled="true" fillcolor="#b5b5b5" stroked="false">
              <v:fill type="solid"/>
            </v:rect>
            <v:shape style="position:absolute;left:2976;top:-3583;width:1527;height:1786" coordorigin="2976,-3582" coordsize="1527,1786" path="m3077,-2193l2976,-2193,2976,-1797,3077,-1797,3077,-2193xm3790,-1936l3689,-1936,3689,-1797,3790,-1797,3790,-1936xm4502,-3582l4402,-3582,4402,-1797,4502,-1797,4502,-3582xe" filled="true" fillcolor="#9a9a9a" stroked="false">
              <v:path arrowok="t"/>
              <v:fill type="solid"/>
            </v:shape>
            <v:shape style="position:absolute;left:3076;top:-2039;width:816;height:243" coordorigin="3077,-2039" coordsize="816,243" path="m3180,-2039l3077,-2039,3077,-1797,3180,-1797,3180,-2039xm3893,-1974l3790,-1974,3790,-1797,3893,-1797,3893,-1974xe" filled="true" fillcolor="#818181" stroked="false">
              <v:path arrowok="t"/>
              <v:fill type="solid"/>
            </v:shape>
            <v:shape style="position:absolute;left:4605;top:-2618;width:4428;height:718" coordorigin="4606,-2617" coordsize="4428,718" path="m4606,-1900l4910,-1900m4606,-2003l4910,-2003m4606,-2106l4910,-2106m4606,-2207l4910,-2207m4606,-2413l4910,-2413m4606,-2517l4910,-2517m4606,-2617l9034,-2617e" filled="false" stroked="true" strokeweight=".72pt" strokecolor="#f1f1f1">
              <v:path arrowok="t"/>
              <v:stroke dashstyle="solid"/>
            </v:shape>
            <v:line style="position:absolute" from="4606,-2310" to="4910,-2310" stroked="true" strokeweight=".72pt" strokecolor="#d9d9d9">
              <v:stroke dashstyle="solid"/>
            </v:line>
            <v:rect style="position:absolute;left:4910;top:-2582;width:101;height:785" filled="true" fillcolor="#d1d1d1" stroked="false">
              <v:fill type="solid"/>
            </v:rect>
            <v:shape style="position:absolute;left:5318;top:-2207;width:305;height:308" coordorigin="5318,-2207" coordsize="305,308" path="m5318,-1900l5623,-1900m5318,-2003l5623,-2003m5318,-2106l5623,-2106m5318,-2207l5623,-2207e" filled="false" stroked="true" strokeweight=".72pt" strokecolor="#f1f1f1">
              <v:path arrowok="t"/>
              <v:stroke dashstyle="solid"/>
            </v:shape>
            <v:shape style="position:absolute;left:5215;top:-2419;width:408;height:8" coordorigin="5215,-2418" coordsize="408,8" path="m5215,-2411l5623,-2411m5215,-2418l5623,-2418e" filled="false" stroked="true" strokeweight=".48pt" strokecolor="#f1f1f1">
              <v:path arrowok="t"/>
              <v:stroke dashstyle="solid"/>
            </v:shape>
            <v:shape style="position:absolute;left:5215;top:-2517;width:3819;height:2" coordorigin="5215,-2517" coordsize="3819,0" path="m5215,-2517l5623,-2517m5724,-2517l9034,-2517e" filled="false" stroked="true" strokeweight=".72pt" strokecolor="#f1f1f1">
              <v:path arrowok="t"/>
              <v:stroke dashstyle="solid"/>
            </v:shape>
            <v:line style="position:absolute" from="5318,-2310" to="5623,-2310" stroked="true" strokeweight=".72pt" strokecolor="#d9d9d9">
              <v:stroke dashstyle="solid"/>
            </v:line>
            <v:rect style="position:absolute;left:5623;top:-2555;width:101;height:759" filled="true" fillcolor="#d1d1d1" stroked="false">
              <v:fill type="solid"/>
            </v:rect>
            <v:shape style="position:absolute;left:6031;top:-2414;width:406;height:514" coordorigin="6031,-2413" coordsize="406,514" path="m6031,-1900l6336,-1900m6031,-2003l6336,-2003m6031,-2106l6336,-2106m6031,-2207l6336,-2207m6031,-2413l6437,-2413e" filled="false" stroked="true" strokeweight=".72pt" strokecolor="#f1f1f1">
              <v:path arrowok="t"/>
              <v:stroke dashstyle="solid"/>
            </v:shape>
            <v:line style="position:absolute" from="6031,-2310" to="6336,-2310" stroked="true" strokeweight=".72pt" strokecolor="#d9d9d9">
              <v:stroke dashstyle="solid"/>
            </v:line>
            <v:rect style="position:absolute;left:6336;top:-2337;width:101;height:540" filled="true" fillcolor="#d1d1d1" stroked="false">
              <v:fill type="solid"/>
            </v:rect>
            <v:line style="position:absolute" from="6742,-1900" to="7762,-1900" stroked="true" strokeweight=".72pt" strokecolor="#f1f1f1">
              <v:stroke dashstyle="solid"/>
            </v:line>
            <v:rect style="position:absolute;left:7048;top:-1850;width:101;height:53" filled="true" fillcolor="#d1d1d1" stroked="false">
              <v:fill type="solid"/>
            </v:rect>
            <v:shape style="position:absolute;left:6741;top:-2003;width:1935;height:2" coordorigin="6742,-2003" coordsize="1935,0" path="m6742,-2003l7762,-2003m7862,-2003l8676,-2003e" filled="false" stroked="true" strokeweight=".72pt" strokecolor="#f1f1f1">
              <v:path arrowok="t"/>
              <v:stroke dashstyle="solid"/>
            </v:shape>
            <v:rect style="position:absolute;left:7761;top:-2018;width:101;height:221" filled="true" fillcolor="#d1d1d1" stroked="false">
              <v:fill type="solid"/>
            </v:rect>
            <v:line style="position:absolute" from="8167,-1900" to="8474,-1900" stroked="true" strokeweight=".72pt" strokecolor="#f1f1f1">
              <v:stroke dashstyle="solid"/>
            </v:line>
            <v:rect style="position:absolute;left:8474;top:-1924;width:101;height:128" filled="true" fillcolor="#d1d1d1" stroked="false">
              <v:fill type="solid"/>
            </v:rect>
            <v:shape style="position:absolute;left:5011;top:-2567;width:816;height:771" coordorigin="5011,-2567" coordsize="816,771" path="m5114,-2567l5011,-2567,5011,-1797,5114,-1797,5114,-2567xm5827,-2493l5724,-2493,5724,-1797,5827,-1797,5827,-2493xe" filled="true" fillcolor="#b5b5b5" stroked="false">
              <v:path arrowok="t"/>
              <v:fill type="solid"/>
            </v:shape>
            <v:line style="position:absolute" from="6540,-2413" to="9034,-2413" stroked="true" strokeweight=".72pt" strokecolor="#f1f1f1">
              <v:stroke dashstyle="solid"/>
            </v:line>
            <v:shape style="position:absolute;left:6436;top:-2476;width:2240;height:680" coordorigin="6437,-2476" coordsize="2240,680" path="m6540,-2476l6437,-2476,6437,-1797,6540,-1797,6540,-2476xm7253,-1845l7150,-1845,7150,-1797,7253,-1797,7253,-1845xm7966,-1933l7862,-1933,7862,-1797,7966,-1797,7966,-1933xm8676,-1957l8575,-1957,8575,-1797,8676,-1797,8676,-1957xe" filled="true" fillcolor="#b5b5b5" stroked="false">
              <v:path arrowok="t"/>
              <v:fill type="solid"/>
            </v:shape>
            <v:shape style="position:absolute;left:5114;top:-2529;width:3665;height:732" coordorigin="5114,-2529" coordsize="3665,732" path="m5215,-2529l5114,-2529,5114,-1797,5215,-1797,5215,-2529xm5928,-2454l5827,-2454,5827,-1797,5928,-1797,5928,-2454xm6641,-2334l6540,-2334,6540,-1797,6641,-1797,6641,-2334xm7354,-1840l7253,-1840,7253,-1797,7354,-1797,7354,-1840xm8066,-1924l7966,-1924,7966,-1797,8066,-1797,8066,-1924xm8779,-2027l8676,-2027,8676,-1797,8779,-1797,8779,-2027xe" filled="true" fillcolor="#9a9a9a" stroked="false">
              <v:path arrowok="t"/>
              <v:fill type="solid"/>
            </v:shape>
            <v:shape style="position:absolute;left:2618;top:-3748;width:6416;height:1028" coordorigin="2618,-3748" coordsize="6416,1028" path="m4606,-2721l9034,-2721m4606,-2927l9034,-2927m4606,-3028l9034,-3028m4606,-3131l9034,-3131m4606,-3234l9034,-3234m4606,-3441l9034,-3441m4606,-3541l9034,-3541m4606,-3645l9034,-3645m2618,-3748l4502,-3748m4606,-3748l9034,-3748e" filled="false" stroked="true" strokeweight=".72pt" strokecolor="#f1f1f1">
              <v:path arrowok="t"/>
              <v:stroke dashstyle="solid"/>
            </v:shape>
            <v:shape style="position:absolute;left:4605;top:-3338;width:4428;height:514" coordorigin="4606,-3337" coordsize="4428,514" path="m4606,-2824l9034,-2824m4606,-3337l9034,-3337e" filled="false" stroked="true" strokeweight=".72pt" strokecolor="#d9d9d9">
              <v:path arrowok="t"/>
              <v:stroke dashstyle="solid"/>
            </v:shape>
            <v:line style="position:absolute" from="2618,-3851" to="9034,-3851" stroked="true" strokeweight=".72pt" strokecolor="#d9d9d9">
              <v:stroke dashstyle="solid"/>
            </v:line>
            <v:shape style="position:absolute;left:4502;top:-3775;width:1529;height:1978" coordorigin="4502,-3774" coordsize="1529,1978" path="m4606,-3774l4502,-3774,4502,-1797,4606,-1797,4606,-3774xm5318,-2416l5215,-2416,5215,-1797,5318,-1797,5318,-2416xm6031,-2435l5928,-2435,5928,-1797,6031,-1797,6031,-2435xe" filled="true" fillcolor="#818181" stroked="false">
              <v:path arrowok="t"/>
              <v:fill type="solid"/>
            </v:shape>
            <v:shape style="position:absolute;left:6741;top:-2207;width:2292;height:101" coordorigin="6742,-2207" coordsize="2292,101" path="m6742,-2106l8779,-2106m6742,-2207l9034,-2207e" filled="false" stroked="true" strokeweight=".72pt" strokecolor="#f1f1f1">
              <v:path arrowok="t"/>
              <v:stroke dashstyle="solid"/>
            </v:shape>
            <v:line style="position:absolute" from="6742,-2310" to="9034,-2310" stroked="true" strokeweight=".72pt" strokecolor="#d9d9d9">
              <v:stroke dashstyle="solid"/>
            </v:line>
            <v:shape style="position:absolute;left:6640;top:-2373;width:1527;height:576" coordorigin="6641,-2373" coordsize="1527,576" path="m6742,-2373l6641,-2373,6641,-1797,6742,-1797,6742,-2373xm7454,-1835l7354,-1835,7354,-1797,7454,-1797,7454,-1835xm8167,-1912l8066,-1912,8066,-1797,8167,-1797,8167,-1912xe" filled="true" fillcolor="#818181" stroked="false">
              <v:path arrowok="t"/>
              <v:fill type="solid"/>
            </v:shape>
            <v:shape style="position:absolute;left:8880;top:-2107;width:154;height:207" coordorigin="8880,-2106" coordsize="154,207" path="m8880,-1900l9034,-1900m8880,-2003l9034,-2003m8880,-2106l9034,-2106e" filled="false" stroked="true" strokeweight=".72pt" strokecolor="#f1f1f1">
              <v:path arrowok="t"/>
              <v:stroke dashstyle="solid"/>
            </v:shape>
            <v:rect style="position:absolute;left:8779;top:-2164;width:101;height:368" filled="true" fillcolor="#818181" stroked="false">
              <v:fill type="solid"/>
            </v:rect>
            <v:line style="position:absolute" from="2618,-1797" to="9034,-1797" stroked="true" strokeweight=".72pt" strokecolor="#d9d9d9">
              <v:stroke dashstyle="solid"/>
            </v:line>
            <v:shape style="position:absolute;left:2618;top:-4159;width:6416;height:207" coordorigin="2618,-4158" coordsize="6416,207" path="m2618,-3952l9034,-3952m2618,-4055l9034,-4055m2618,-4158l9034,-4158e" filled="false" stroked="true" strokeweight=".72pt" strokecolor="#f1f1f1">
              <v:path arrowok="t"/>
              <v:stroke dashstyle="solid"/>
            </v:shape>
            <v:line style="position:absolute" from="2618,-4362" to="9034,-4362" stroked="true" strokeweight=".72pt" strokecolor="#d9d9d9">
              <v:stroke dashstyle="solid"/>
            </v:line>
            <v:shape style="position:absolute;left:1600;top:-1639;width:5669;height:1545" type="#_x0000_t75" stroked="false">
              <v:imagedata r:id="rId160" o:title=""/>
            </v:shape>
            <v:shape style="position:absolute;left:7360;top:-1618;width:1336;height:1148" type="#_x0000_t75" stroked="false">
              <v:imagedata r:id="rId161" o:title=""/>
            </v:shape>
            <v:rect style="position:absolute;left:9348;top:-2807;width:99;height:101" filled="true" fillcolor="#d1d1d1" stroked="false">
              <v:fill type="solid"/>
            </v:rect>
            <v:rect style="position:absolute;left:9348;top:-2469;width:99;height:99" filled="true" fillcolor="#b5b5b5" stroked="false">
              <v:fill type="solid"/>
            </v:rect>
            <v:rect style="position:absolute;left:9348;top:-2131;width:99;height:99" filled="true" fillcolor="#9a9a9a" stroked="false">
              <v:fill type="solid"/>
            </v:rect>
            <v:rect style="position:absolute;left:9348;top:-1795;width:99;height:99" filled="true" fillcolor="#818181" stroked="false">
              <v:fill type="solid"/>
            </v:rect>
            <v:rect style="position:absolute;left:1471;top:-4583;width:9284;height:4666" filled="false" stroked="true" strokeweight=".72pt" strokecolor="#d9d9d9">
              <v:stroke dashstyle="solid"/>
            </v:rect>
            <v:shape style="position:absolute;left:2088;top:-4448;width:7002;height:1720" type="#_x0000_t202" filled="false" stroked="false">
              <v:textbox inset="0,0,0,0">
                <w:txbxContent>
                  <w:p>
                    <w:pPr>
                      <w:tabs>
                        <w:tab w:pos="6981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2500   </w:t>
                    </w:r>
                    <w:r>
                      <w:rPr>
                        <w:rFonts w:ascii="Calibri"/>
                        <w:color w:val="585858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  <w:u w:val="single" w:color="F1F1F1"/>
                      </w:rPr>
                      <w:t> </w:t>
                      <w:tab/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9490;top:-2841;width:10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(2010)</w:t>
                    </w:r>
                  </w:p>
                </w:txbxContent>
              </v:textbox>
              <w10:wrap type="none"/>
            </v:shape>
            <v:shape style="position:absolute;left:2179;top:-2504;width:8396;height:518" type="#_x0000_t202" filled="false" stroked="false">
              <v:textbox inset="0,0,0,0">
                <w:txbxContent>
                  <w:p>
                    <w:pPr>
                      <w:tabs>
                        <w:tab w:pos="7311" w:val="left" w:leader="none"/>
                      </w:tabs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position w:val="-10"/>
                        <w:sz w:val="18"/>
                      </w:rPr>
                      <w:t>500</w:t>
                      <w:tab/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(2013)</w:t>
                    </w:r>
                  </w:p>
                  <w:p>
                    <w:pPr>
                      <w:spacing w:line="216" w:lineRule="exact" w:before="18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(2016)</w:t>
                    </w:r>
                  </w:p>
                </w:txbxContent>
              </v:textbox>
              <w10:wrap type="none"/>
            </v:shape>
            <v:shape style="position:absolute;left:2361;top:-188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490;top:-1828;width:10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(2019)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5.2:</w:t>
      </w:r>
      <w:r>
        <w:rPr>
          <w:spacing w:val="1"/>
        </w:rPr>
        <w:t> </w:t>
      </w:r>
      <w:r>
        <w:rPr/>
        <w:t>Frequency</w:t>
      </w:r>
      <w:r>
        <w:rPr>
          <w:spacing w:val="-7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Households’ Access to</w:t>
      </w:r>
      <w:r>
        <w:rPr>
          <w:spacing w:val="-1"/>
        </w:rPr>
        <w:t> </w:t>
      </w:r>
      <w:r>
        <w:rPr/>
        <w:t>Safe</w:t>
      </w:r>
      <w:r>
        <w:rPr>
          <w:spacing w:val="-4"/>
        </w:rPr>
        <w:t> </w:t>
      </w:r>
      <w:r>
        <w:rPr/>
        <w:t>Water</w:t>
      </w:r>
    </w:p>
    <w:p>
      <w:pPr>
        <w:pStyle w:val="BodyText"/>
        <w:spacing w:before="10"/>
        <w:rPr>
          <w:sz w:val="25"/>
        </w:rPr>
      </w:pPr>
    </w:p>
    <w:p>
      <w:pPr>
        <w:pStyle w:val="Heading5"/>
        <w:numPr>
          <w:ilvl w:val="2"/>
          <w:numId w:val="14"/>
        </w:numPr>
        <w:tabs>
          <w:tab w:pos="841" w:val="left" w:leader="none"/>
        </w:tabs>
        <w:spacing w:line="240" w:lineRule="auto" w:before="0" w:after="0"/>
        <w:ind w:left="840" w:right="0" w:hanging="721"/>
        <w:jc w:val="both"/>
      </w:pPr>
      <w:bookmarkStart w:name="_TOC_250019" w:id="58"/>
      <w:r>
        <w:rPr/>
        <w:t>Access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bookmarkEnd w:id="58"/>
      <w:r>
        <w:rPr/>
        <w:t>Electricity</w:t>
      </w:r>
    </w:p>
    <w:p>
      <w:pPr>
        <w:pStyle w:val="BodyText"/>
        <w:spacing w:line="360" w:lineRule="auto" w:before="19"/>
        <w:ind w:left="120" w:right="117"/>
        <w:jc w:val="both"/>
      </w:pPr>
      <w:r>
        <w:rPr/>
        <w:pict>
          <v:group style="position:absolute;margin-left:71.639999pt;margin-top:108.943115pt;width:464.2pt;height:180pt;mso-position-horizontal-relative:page;mso-position-vertical-relative:paragraph;z-index:15778816" coordorigin="1433,2179" coordsize="9284,3600">
            <v:shape style="position:absolute;left:2342;top:4653;width:562;height:581" coordorigin="2342,4653" coordsize="562,581" path="m2342,5234l2904,5234m2342,5162l2904,5162m2342,5090l2904,5090m2342,5016l2904,5016m2342,4872l2904,4872m2342,4800l2904,4800m2342,4728l2904,4728m2342,4653l2904,4653e" filled="false" stroked="true" strokeweight=".72pt" strokecolor="#f1f1f1">
              <v:path arrowok="t"/>
              <v:stroke dashstyle="solid"/>
            </v:shape>
            <v:line style="position:absolute" from="2342,4944" to="2904,4944" stroked="true" strokeweight=".72pt" strokecolor="#d9d9d9">
              <v:stroke dashstyle="solid"/>
            </v:line>
            <v:shape style="position:absolute;left:2342;top:4290;width:562;height:219" coordorigin="2342,4291" coordsize="562,219" path="m2342,4509l2904,4509m2342,4437l2904,4437m2342,4363l2904,4363m2342,4291l2904,4291e" filled="false" stroked="true" strokeweight=".72pt" strokecolor="#f1f1f1">
              <v:path arrowok="t"/>
              <v:stroke dashstyle="solid"/>
            </v:shape>
            <v:line style="position:absolute" from="2342,4581" to="2904,4581" stroked="true" strokeweight=".72pt" strokecolor="#d9d9d9">
              <v:stroke dashstyle="solid"/>
            </v:line>
            <v:shape style="position:absolute;left:2342;top:3928;width:934;height:219" coordorigin="2342,3928" coordsize="934,219" path="m2342,4147l3276,4147m2342,4075l3276,4075m2342,4000l3276,4000m2342,3928l3276,3928e" filled="false" stroked="true" strokeweight=".72pt" strokecolor="#f1f1f1">
              <v:path arrowok="t"/>
              <v:stroke dashstyle="solid"/>
            </v:shape>
            <v:line style="position:absolute" from="2342,4219" to="2904,4219" stroked="true" strokeweight=".72pt" strokecolor="#d9d9d9">
              <v:stroke dashstyle="solid"/>
            </v:line>
            <v:shape style="position:absolute;left:2342;top:3566;width:934;height:219" coordorigin="2342,3566" coordsize="934,219" path="m2342,3784l3276,3784m2342,3712l3276,3712m2342,3638l3276,3638m2342,3566l3276,3566e" filled="false" stroked="true" strokeweight=".72pt" strokecolor="#f1f1f1">
              <v:path arrowok="t"/>
              <v:stroke dashstyle="solid"/>
            </v:shape>
            <v:line style="position:absolute" from="2342,3856" to="3276,3856" stroked="true" strokeweight=".72pt" strokecolor="#d9d9d9">
              <v:stroke dashstyle="solid"/>
            </v:line>
            <v:shape style="position:absolute;left:2342;top:3203;width:934;height:219" coordorigin="2342,3204" coordsize="934,219" path="m2342,3422l3276,3422m2342,3348l3276,3348m2342,3276l3276,3276m2342,3204l3276,3204e" filled="false" stroked="true" strokeweight=".72pt" strokecolor="#f1f1f1">
              <v:path arrowok="t"/>
              <v:stroke dashstyle="solid"/>
            </v:shape>
            <v:line style="position:absolute" from="2342,3494" to="3276,3494" stroked="true" strokeweight=".72pt" strokecolor="#d9d9d9">
              <v:stroke dashstyle="solid"/>
            </v:line>
            <v:shape style="position:absolute;left:2342;top:2841;width:934;height:219" coordorigin="2342,2841" coordsize="934,219" path="m2342,3060l3276,3060m2342,2985l3276,2985m2342,2913l3276,2913m2342,2841l3276,2841e" filled="false" stroked="true" strokeweight=".72pt" strokecolor="#f1f1f1">
              <v:path arrowok="t"/>
              <v:stroke dashstyle="solid"/>
            </v:shape>
            <v:line style="position:absolute" from="2342,3132" to="3276,3132" stroked="true" strokeweight=".72pt" strokecolor="#d9d9d9">
              <v:stroke dashstyle="solid"/>
            </v:line>
            <v:shape style="position:absolute;left:3648;top:4653;width:1121;height:581" coordorigin="3648,4653" coordsize="1121,581" path="m3648,5234l4769,5234m3648,5162l4769,5162m3648,5090l4769,5090m3648,5016l4769,5016m3648,4872l4769,4872m3648,4800l4769,4800m3648,4728l4769,4728m3648,4653l4769,4653e" filled="false" stroked="true" strokeweight=".72pt" strokecolor="#f1f1f1">
              <v:path arrowok="t"/>
              <v:stroke dashstyle="solid"/>
            </v:shape>
            <v:line style="position:absolute" from="3648,4944" to="4769,4944" stroked="true" strokeweight=".72pt" strokecolor="#d9d9d9">
              <v:stroke dashstyle="solid"/>
            </v:line>
            <v:shape style="position:absolute;left:3648;top:4290;width:1121;height:219" coordorigin="3648,4291" coordsize="1121,219" path="m3648,4509l4769,4509m3648,4437l4769,4437m3648,4363l4769,4363m3648,4291l4769,4291e" filled="false" stroked="true" strokeweight=".72pt" strokecolor="#f1f1f1">
              <v:path arrowok="t"/>
              <v:stroke dashstyle="solid"/>
            </v:shape>
            <v:line style="position:absolute" from="3648,4581" to="4769,4581" stroked="true" strokeweight=".72pt" strokecolor="#d9d9d9">
              <v:stroke dashstyle="solid"/>
            </v:line>
            <v:shape style="position:absolute;left:3648;top:3928;width:1121;height:219" coordorigin="3648,3928" coordsize="1121,219" path="m3648,4147l4769,4147m3648,4075l4769,4075m3648,4000l4769,4000m3648,3928l4769,3928e" filled="false" stroked="true" strokeweight=".72pt" strokecolor="#f1f1f1">
              <v:path arrowok="t"/>
              <v:stroke dashstyle="solid"/>
            </v:shape>
            <v:line style="position:absolute" from="3648,4219" to="4769,4219" stroked="true" strokeweight=".72pt" strokecolor="#d9d9d9">
              <v:stroke dashstyle="solid"/>
            </v:line>
            <v:shape style="position:absolute;left:3648;top:3566;width:1121;height:219" coordorigin="3648,3566" coordsize="1121,219" path="m3648,3784l4769,3784m3648,3712l4769,3712m3648,3638l4769,3638m3648,3566l4769,3566e" filled="false" stroked="true" strokeweight=".72pt" strokecolor="#f1f1f1">
              <v:path arrowok="t"/>
              <v:stroke dashstyle="solid"/>
            </v:shape>
            <v:line style="position:absolute" from="3648,3856" to="4769,3856" stroked="true" strokeweight=".72pt" strokecolor="#d9d9d9">
              <v:stroke dashstyle="solid"/>
            </v:line>
            <v:shape style="position:absolute;left:3648;top:3203;width:6156;height:219" coordorigin="3648,3204" coordsize="6156,219" path="m3648,3422l6634,3422m7006,3422l8498,3422m3648,3348l8498,3348m8873,3422l9804,3422m8873,3348l9804,3348m3648,3276l9804,3276m3648,3204l9804,3204e" filled="false" stroked="true" strokeweight=".72pt" strokecolor="#f1f1f1">
              <v:path arrowok="t"/>
              <v:stroke dashstyle="solid"/>
            </v:shape>
            <v:line style="position:absolute" from="3648,3494" to="5141,3494" stroked="true" strokeweight=".72pt" strokecolor="#d9d9d9">
              <v:stroke dashstyle="solid"/>
            </v:line>
            <v:shape style="position:absolute;left:5515;top:4653;width:1119;height:581" coordorigin="5515,4653" coordsize="1119,581" path="m5515,5234l6634,5234m5515,5162l6634,5162m5515,5090l6634,5090m5515,5016l6634,5016m5515,4872l6634,4872m5515,4800l6634,4800m5515,4728l6634,4728m5515,4653l6634,4653e" filled="false" stroked="true" strokeweight=".72pt" strokecolor="#f1f1f1">
              <v:path arrowok="t"/>
              <v:stroke dashstyle="solid"/>
            </v:shape>
            <v:line style="position:absolute" from="5515,4944" to="6634,4944" stroked="true" strokeweight=".72pt" strokecolor="#d9d9d9">
              <v:stroke dashstyle="solid"/>
            </v:line>
            <v:shape style="position:absolute;left:5515;top:4290;width:1119;height:219" coordorigin="5515,4291" coordsize="1119,219" path="m5515,4509l6634,4509m5515,4437l6634,4437m5515,4363l6634,4363m5515,4291l6634,4291e" filled="false" stroked="true" strokeweight=".72pt" strokecolor="#f1f1f1">
              <v:path arrowok="t"/>
              <v:stroke dashstyle="solid"/>
            </v:shape>
            <v:line style="position:absolute" from="5515,4581" to="6634,4581" stroked="true" strokeweight=".72pt" strokecolor="#d9d9d9">
              <v:stroke dashstyle="solid"/>
            </v:line>
            <v:shape style="position:absolute;left:5515;top:3928;width:1119;height:219" coordorigin="5515,3928" coordsize="1119,219" path="m5515,4147l6634,4147m5515,4075l6634,4075m5515,4000l6634,4000m5515,3928l6634,3928e" filled="false" stroked="true" strokeweight=".72pt" strokecolor="#f1f1f1">
              <v:path arrowok="t"/>
              <v:stroke dashstyle="solid"/>
            </v:shape>
            <v:line style="position:absolute" from="5515,4219" to="6634,4219" stroked="true" strokeweight=".72pt" strokecolor="#d9d9d9">
              <v:stroke dashstyle="solid"/>
            </v:line>
            <v:shape style="position:absolute;left:5515;top:3566;width:1119;height:219" coordorigin="5515,3566" coordsize="1119,219" path="m5515,3784l6634,3784m5515,3712l6634,3712m5515,3638l6634,3638m5515,3566l6634,3566e" filled="false" stroked="true" strokeweight=".72pt" strokecolor="#f1f1f1">
              <v:path arrowok="t"/>
              <v:stroke dashstyle="solid"/>
            </v:shape>
            <v:shape style="position:absolute;left:5515;top:3494;width:1119;height:363" coordorigin="5515,3494" coordsize="1119,363" path="m5515,3856l6634,3856m5515,3494l6634,3494e" filled="false" stroked="true" strokeweight=".72pt" strokecolor="#d9d9d9">
              <v:path arrowok="t"/>
              <v:stroke dashstyle="solid"/>
            </v:shape>
            <v:shape style="position:absolute;left:7380;top:4653;width:1119;height:581" coordorigin="7380,4653" coordsize="1119,581" path="m7380,5234l8498,5234m7380,5162l8498,5162m7380,5090l8498,5090m7380,5016l8498,5016m7380,4872l8498,4872m7380,4800l8498,4800m7380,4728l8498,4728m7380,4653l8498,4653e" filled="false" stroked="true" strokeweight=".72pt" strokecolor="#f1f1f1">
              <v:path arrowok="t"/>
              <v:stroke dashstyle="solid"/>
            </v:shape>
            <v:line style="position:absolute" from="7380,4944" to="8498,4944" stroked="true" strokeweight=".72pt" strokecolor="#d9d9d9">
              <v:stroke dashstyle="solid"/>
            </v:line>
            <v:shape style="position:absolute;left:7380;top:4290;width:1119;height:219" coordorigin="7380,4291" coordsize="1119,219" path="m7380,4509l8498,4509m7380,4437l8498,4437m7380,4363l8498,4363m7380,4291l8498,4291e" filled="false" stroked="true" strokeweight=".72pt" strokecolor="#f1f1f1">
              <v:path arrowok="t"/>
              <v:stroke dashstyle="solid"/>
            </v:shape>
            <v:line style="position:absolute" from="7380,4581" to="8498,4581" stroked="true" strokeweight=".72pt" strokecolor="#d9d9d9">
              <v:stroke dashstyle="solid"/>
            </v:line>
            <v:shape style="position:absolute;left:7380;top:3928;width:1119;height:219" coordorigin="7380,3928" coordsize="1119,219" path="m7380,4147l8498,4147m7380,4075l8498,4075m7380,4000l8498,4000m7380,3928l8498,3928e" filled="false" stroked="true" strokeweight=".72pt" strokecolor="#f1f1f1">
              <v:path arrowok="t"/>
              <v:stroke dashstyle="solid"/>
            </v:shape>
            <v:line style="position:absolute" from="7380,4219" to="8498,4219" stroked="true" strokeweight=".72pt" strokecolor="#d9d9d9">
              <v:stroke dashstyle="solid"/>
            </v:line>
            <v:shape style="position:absolute;left:7005;top:3566;width:1493;height:219" coordorigin="7006,3566" coordsize="1493,219" path="m7380,3784l8498,3784m7380,3712l8498,3712m7380,3638l8498,3638m7006,3566l8498,3566e" filled="false" stroked="true" strokeweight=".72pt" strokecolor="#f1f1f1">
              <v:path arrowok="t"/>
              <v:stroke dashstyle="solid"/>
            </v:shape>
            <v:shape style="position:absolute;left:7005;top:3494;width:1493;height:363" coordorigin="7006,3494" coordsize="1493,363" path="m7380,3856l8498,3856m7006,3494l8498,3494e" filled="false" stroked="true" strokeweight=".72pt" strokecolor="#d9d9d9">
              <v:path arrowok="t"/>
              <v:stroke dashstyle="solid"/>
            </v:shape>
            <v:shape style="position:absolute;left:9244;top:4653;width:560;height:581" coordorigin="9245,4653" coordsize="560,581" path="m9245,5234l9804,5234m9245,5162l9804,5162m9245,5090l9804,5090m9245,5016l9804,5016m9245,4872l9804,4872m9245,4800l9804,4800m9245,4728l9804,4728m9245,4653l9804,4653e" filled="false" stroked="true" strokeweight=".72pt" strokecolor="#f1f1f1">
              <v:path arrowok="t"/>
              <v:stroke dashstyle="solid"/>
            </v:shape>
            <v:line style="position:absolute" from="9245,4944" to="9804,4944" stroked="true" strokeweight=".72pt" strokecolor="#d9d9d9">
              <v:stroke dashstyle="solid"/>
            </v:line>
            <v:shape style="position:absolute;left:9244;top:4290;width:560;height:219" coordorigin="9245,4291" coordsize="560,219" path="m9245,4509l9804,4509m9245,4437l9804,4437m9245,4363l9804,4363m9245,4291l9804,4291e" filled="false" stroked="true" strokeweight=".72pt" strokecolor="#f1f1f1">
              <v:path arrowok="t"/>
              <v:stroke dashstyle="solid"/>
            </v:shape>
            <v:line style="position:absolute" from="9245,4581" to="9804,4581" stroked="true" strokeweight=".72pt" strokecolor="#d9d9d9">
              <v:stroke dashstyle="solid"/>
            </v:line>
            <v:shape style="position:absolute;left:9244;top:3928;width:560;height:219" coordorigin="9245,3928" coordsize="560,219" path="m9245,4147l9804,4147m9245,4075l9804,4075m9245,4000l9804,4000m9245,3928l9804,3928e" filled="false" stroked="true" strokeweight=".72pt" strokecolor="#f1f1f1">
              <v:path arrowok="t"/>
              <v:stroke dashstyle="solid"/>
            </v:shape>
            <v:line style="position:absolute" from="9245,4219" to="9804,4219" stroked="true" strokeweight=".72pt" strokecolor="#d9d9d9">
              <v:stroke dashstyle="solid"/>
            </v:line>
            <v:shape style="position:absolute;left:8872;top:3566;width:932;height:219" coordorigin="8873,3566" coordsize="932,219" path="m9245,3784l9804,3784m9245,3712l9804,3712m8873,3638l9804,3638m8873,3566l9804,3566e" filled="false" stroked="true" strokeweight=".72pt" strokecolor="#f1f1f1">
              <v:path arrowok="t"/>
              <v:stroke dashstyle="solid"/>
            </v:shape>
            <v:shape style="position:absolute;left:8872;top:3494;width:932;height:363" coordorigin="8873,3494" coordsize="932,363" path="m9245,3856l9804,3856m8873,3494l9804,3494e" filled="false" stroked="true" strokeweight=".72pt" strokecolor="#d9d9d9">
              <v:path arrowok="t"/>
              <v:stroke dashstyle="solid"/>
            </v:shape>
            <v:shape style="position:absolute;left:3648;top:2841;width:6156;height:219" coordorigin="3648,2841" coordsize="6156,219" path="m3648,3060l9804,3060m3648,2985l9804,2985m3648,2913l9804,2913m3648,2841l9804,2841e" filled="false" stroked="true" strokeweight=".72pt" strokecolor="#f1f1f1">
              <v:path arrowok="t"/>
              <v:stroke dashstyle="solid"/>
            </v:shape>
            <v:line style="position:absolute" from="3648,3132" to="9804,3132" stroked="true" strokeweight=".72pt" strokecolor="#d9d9d9">
              <v:stroke dashstyle="solid"/>
            </v:line>
            <v:shape style="position:absolute;left:2342;top:2478;width:7462;height:216" coordorigin="2342,2479" coordsize="7462,216" path="m2342,2695l9804,2695m2342,2623l9804,2623m2342,2551l9804,2551m2342,2479l9804,2479e" filled="false" stroked="true" strokeweight=".72pt" strokecolor="#f1f1f1">
              <v:path arrowok="t"/>
              <v:stroke dashstyle="solid"/>
            </v:shape>
            <v:shape style="position:absolute;left:2342;top:2406;width:7462;height:363" coordorigin="2342,2407" coordsize="7462,363" path="m2342,2769l9804,2769m2342,2407l9804,2407e" filled="false" stroked="true" strokeweight=".72pt" strokecolor="#d9d9d9">
              <v:path arrowok="t"/>
              <v:stroke dashstyle="solid"/>
            </v:shape>
            <v:shape style="position:absolute;left:2904;top:3328;width:5969;height:1978" coordorigin="2904,3328" coordsize="5969,1978" path="m3276,4173l2904,4173,2904,5306,3276,5306,3276,4173xm5141,3516l4769,3516,4769,5306,5141,5306,5141,3516xm7006,3386l6634,3386,6634,5306,7006,5306,7006,3386xm8873,3328l8498,3328,8498,5306,8873,5306,8873,3328xe" filled="true" fillcolor="#929292" stroked="false">
              <v:path arrowok="t"/>
              <v:fill type="solid"/>
            </v:shape>
            <v:shape style="position:absolute;left:3276;top:2814;width:5969;height:2492" coordorigin="3276,2815" coordsize="5969,2492" path="m3648,2815l3276,2815,3276,5306,3648,5306,3648,2815xm5515,3472l5141,3472,5141,5306,5515,5306,5515,3472xm7380,3602l7006,3602,7006,5306,7380,5306,7380,3602xm9245,3660l8873,3660,8873,5306,9245,5306,9245,3660xe" filled="true" fillcolor="#bebebe" stroked="false">
              <v:path arrowok="t"/>
              <v:fill type="solid"/>
            </v:shape>
            <v:line style="position:absolute" from="2342,5306" to="9804,5306" stroked="true" strokeweight=".72pt" strokecolor="#d9d9d9">
              <v:stroke dashstyle="solid"/>
            </v:line>
            <v:rect style="position:absolute;left:10118;top:3760;width:99;height:99" filled="true" fillcolor="#929292" stroked="false">
              <v:fill type="solid"/>
            </v:rect>
            <v:rect style="position:absolute;left:10118;top:4098;width:99;height:99" filled="true" fillcolor="#bebebe" stroked="false">
              <v:fill type="solid"/>
            </v:rect>
            <v:rect style="position:absolute;left:1440;top:2186;width:9269;height:3586" filled="false" stroked="true" strokeweight=".72pt" strokecolor="#d9d9d9">
              <v:stroke dashstyle="solid"/>
            </v:rect>
            <v:shape style="position:absolute;left:1994;top:2322;width:203;height:199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16" w:lineRule="exact" w:before="14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0262;top:3726;width:268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Yes</w:t>
                    </w:r>
                  </w:p>
                  <w:p>
                    <w:pPr>
                      <w:spacing w:line="216" w:lineRule="exact"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1994;top:4499;width:203;height:90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16" w:lineRule="exact" w:before="143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44;top:5458;width:10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(2010)</w:t>
                    </w:r>
                  </w:p>
                </w:txbxContent>
              </v:textbox>
              <w10:wrap type="none"/>
            </v:shape>
            <v:shape style="position:absolute;left:4610;top:5458;width:10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(2013)</w:t>
                    </w:r>
                  </w:p>
                </w:txbxContent>
              </v:textbox>
              <w10:wrap type="none"/>
            </v:shape>
            <v:shape style="position:absolute;left:6476;top:5458;width:10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(2016)</w:t>
                    </w:r>
                  </w:p>
                </w:txbxContent>
              </v:textbox>
              <w10:wrap type="none"/>
            </v:shape>
            <v:shape style="position:absolute;left:8382;top:5458;width:10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Wae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 (2019)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169.015472pt;width:12pt;height:47.75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Percentage</w:t>
                  </w:r>
                </w:p>
              </w:txbxContent>
            </v:textbox>
            <w10:wrap type="none"/>
          </v:shape>
        </w:pict>
      </w:r>
      <w:r>
        <w:rPr/>
        <w:t>Access to electricity supply is essential to health and economic development. However, access to</w:t>
      </w:r>
      <w:r>
        <w:rPr>
          <w:spacing w:val="-57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electricity</w:t>
      </w:r>
      <w:r>
        <w:rPr>
          <w:spacing w:val="-9"/>
        </w:rPr>
        <w:t> </w:t>
      </w:r>
      <w:r>
        <w:rPr/>
        <w:t>is</w:t>
      </w:r>
      <w:r>
        <w:rPr>
          <w:spacing w:val="-3"/>
        </w:rPr>
        <w:t> </w:t>
      </w:r>
      <w:r>
        <w:rPr/>
        <w:t>extremely</w:t>
      </w:r>
      <w:r>
        <w:rPr>
          <w:spacing w:val="-8"/>
        </w:rPr>
        <w:t> </w:t>
      </w:r>
      <w:r>
        <w:rPr/>
        <w:t>low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Nigeria.</w:t>
      </w:r>
      <w:r>
        <w:rPr>
          <w:spacing w:val="1"/>
        </w:rPr>
        <w:t> </w:t>
      </w:r>
      <w:r>
        <w:rPr/>
        <w:t>Figure</w:t>
      </w:r>
      <w:r>
        <w:rPr>
          <w:spacing w:val="-5"/>
        </w:rPr>
        <w:t> </w:t>
      </w:r>
      <w:r>
        <w:rPr/>
        <w:t>5.3</w:t>
      </w:r>
      <w:r>
        <w:rPr>
          <w:spacing w:val="-3"/>
        </w:rPr>
        <w:t> </w:t>
      </w:r>
      <w:r>
        <w:rPr/>
        <w:t>depicts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respondents</w:t>
      </w:r>
      <w:r>
        <w:rPr>
          <w:spacing w:val="-58"/>
        </w:rPr>
        <w:t> </w:t>
      </w:r>
      <w:r>
        <w:rPr/>
        <w:t>based on their access to electricity supply. Though the percentage of respondent with access to</w:t>
      </w:r>
      <w:r>
        <w:rPr>
          <w:spacing w:val="1"/>
        </w:rPr>
        <w:t> </w:t>
      </w:r>
      <w:r>
        <w:rPr/>
        <w:t>electricity</w:t>
      </w:r>
      <w:r>
        <w:rPr>
          <w:spacing w:val="-17"/>
        </w:rPr>
        <w:t> </w:t>
      </w:r>
      <w:r>
        <w:rPr/>
        <w:t>increased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31%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54.6%</w:t>
      </w:r>
      <w:r>
        <w:rPr>
          <w:spacing w:val="-13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2010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2019;</w:t>
      </w:r>
      <w:r>
        <w:rPr>
          <w:spacing w:val="-12"/>
        </w:rPr>
        <w:t> </w:t>
      </w:r>
      <w:r>
        <w:rPr/>
        <w:t>more</w:t>
      </w:r>
      <w:r>
        <w:rPr>
          <w:spacing w:val="-10"/>
        </w:rPr>
        <w:t> </w:t>
      </w:r>
      <w:r>
        <w:rPr/>
        <w:t>households</w:t>
      </w:r>
      <w:r>
        <w:rPr>
          <w:spacing w:val="-12"/>
        </w:rPr>
        <w:t> </w:t>
      </w:r>
      <w:r>
        <w:rPr/>
        <w:t>still</w:t>
      </w:r>
      <w:r>
        <w:rPr>
          <w:spacing w:val="-12"/>
        </w:rPr>
        <w:t> </w:t>
      </w:r>
      <w:r>
        <w:rPr/>
        <w:t>experience</w:t>
      </w:r>
      <w:r>
        <w:rPr>
          <w:spacing w:val="-57"/>
        </w:rPr>
        <w:t> </w:t>
      </w:r>
      <w:r>
        <w:rPr/>
        <w:t>inadequate</w:t>
      </w:r>
      <w:r>
        <w:rPr>
          <w:spacing w:val="-1"/>
        </w:rPr>
        <w:t> </w:t>
      </w:r>
      <w:r>
        <w:rPr/>
        <w:t>supply</w:t>
      </w:r>
      <w:r>
        <w:rPr>
          <w:spacing w:val="-5"/>
        </w:rPr>
        <w:t> </w:t>
      </w:r>
      <w:r>
        <w:rPr/>
        <w:t>and high prices.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5"/>
        </w:rPr>
      </w:pPr>
    </w:p>
    <w:p>
      <w:pPr>
        <w:pStyle w:val="BodyText"/>
        <w:ind w:left="523"/>
      </w:pPr>
      <w:r>
        <w:rPr/>
        <w:t>Figure</w:t>
      </w:r>
      <w:r>
        <w:rPr>
          <w:spacing w:val="-4"/>
        </w:rPr>
        <w:t> </w:t>
      </w:r>
      <w:r>
        <w:rPr/>
        <w:t>5.3: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Households’ Access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Electricity</w:t>
      </w:r>
    </w:p>
    <w:p>
      <w:pPr>
        <w:pStyle w:val="BodyText"/>
        <w:spacing w:before="5"/>
      </w:pPr>
    </w:p>
    <w:p>
      <w:pPr>
        <w:pStyle w:val="Heading5"/>
        <w:numPr>
          <w:ilvl w:val="2"/>
          <w:numId w:val="14"/>
        </w:numPr>
        <w:tabs>
          <w:tab w:pos="841" w:val="left" w:leader="none"/>
        </w:tabs>
        <w:spacing w:line="275" w:lineRule="exact" w:before="0" w:after="0"/>
        <w:ind w:left="840" w:right="0" w:hanging="721"/>
        <w:jc w:val="both"/>
      </w:pPr>
      <w:bookmarkStart w:name="_TOC_250018" w:id="59"/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Toilet</w:t>
      </w:r>
      <w:r>
        <w:rPr>
          <w:spacing w:val="-1"/>
        </w:rPr>
        <w:t> </w:t>
      </w:r>
      <w:bookmarkEnd w:id="59"/>
      <w:r>
        <w:rPr/>
        <w:t>Facility</w:t>
      </w:r>
    </w:p>
    <w:p>
      <w:pPr>
        <w:pStyle w:val="BodyText"/>
        <w:spacing w:line="360" w:lineRule="auto"/>
        <w:ind w:left="120" w:right="115"/>
        <w:jc w:val="both"/>
      </w:pPr>
      <w:r>
        <w:rPr/>
        <w:t>Access to</w:t>
      </w:r>
      <w:r>
        <w:rPr>
          <w:spacing w:val="-2"/>
        </w:rPr>
        <w:t> </w:t>
      </w:r>
      <w:r>
        <w:rPr/>
        <w:t>quality</w:t>
      </w:r>
      <w:r>
        <w:rPr>
          <w:spacing w:val="-8"/>
        </w:rPr>
        <w:t> </w:t>
      </w:r>
      <w:r>
        <w:rPr/>
        <w:t>toilet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sanitation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primary</w:t>
      </w:r>
      <w:r>
        <w:rPr>
          <w:spacing w:val="-5"/>
        </w:rPr>
        <w:t> </w:t>
      </w:r>
      <w:r>
        <w:rPr/>
        <w:t>drivers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positive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particularly</w:t>
      </w:r>
      <w:r>
        <w:rPr>
          <w:spacing w:val="-57"/>
        </w:rPr>
        <w:t> </w:t>
      </w:r>
      <w:r>
        <w:rPr/>
        <w:t>in</w:t>
      </w:r>
      <w:r>
        <w:rPr>
          <w:spacing w:val="5"/>
        </w:rPr>
        <w:t> </w:t>
      </w:r>
      <w:r>
        <w:rPr/>
        <w:t>emerging</w:t>
      </w:r>
      <w:r>
        <w:rPr>
          <w:spacing w:val="3"/>
        </w:rPr>
        <w:t> </w:t>
      </w:r>
      <w:r>
        <w:rPr/>
        <w:t>nation</w:t>
      </w:r>
      <w:r>
        <w:rPr>
          <w:spacing w:val="5"/>
        </w:rPr>
        <w:t> </w:t>
      </w:r>
      <w:r>
        <w:rPr/>
        <w:t>such</w:t>
      </w:r>
      <w:r>
        <w:rPr>
          <w:spacing w:val="4"/>
        </w:rPr>
        <w:t> </w:t>
      </w:r>
      <w:r>
        <w:rPr/>
        <w:t>as,</w:t>
      </w:r>
      <w:r>
        <w:rPr>
          <w:spacing w:val="6"/>
        </w:rPr>
        <w:t> </w:t>
      </w:r>
      <w:r>
        <w:rPr/>
        <w:t>Nigeria.</w:t>
      </w:r>
      <w:r>
        <w:rPr>
          <w:spacing w:val="7"/>
        </w:rPr>
        <w:t> </w:t>
      </w:r>
      <w:r>
        <w:rPr/>
        <w:t>Figure</w:t>
      </w:r>
      <w:r>
        <w:rPr>
          <w:spacing w:val="5"/>
        </w:rPr>
        <w:t> </w:t>
      </w:r>
      <w:r>
        <w:rPr/>
        <w:t>5.4</w:t>
      </w:r>
      <w:r>
        <w:rPr>
          <w:spacing w:val="5"/>
        </w:rPr>
        <w:t> </w:t>
      </w:r>
      <w:r>
        <w:rPr/>
        <w:t>indicated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percentages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respondents</w:t>
      </w:r>
      <w:r>
        <w:rPr>
          <w:spacing w:val="6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</w:p>
    <w:p>
      <w:pPr>
        <w:spacing w:after="0" w:line="360" w:lineRule="auto"/>
        <w:jc w:val="both"/>
        <w:sectPr>
          <w:pgSz w:w="12240" w:h="15840"/>
          <w:pgMar w:header="0" w:footer="1015" w:top="1440" w:bottom="1200" w:left="1320" w:right="1320"/>
        </w:sectPr>
      </w:pPr>
    </w:p>
    <w:p>
      <w:pPr>
        <w:pStyle w:val="BodyText"/>
        <w:spacing w:line="360" w:lineRule="auto" w:before="74"/>
        <w:ind w:left="120" w:right="116"/>
        <w:jc w:val="both"/>
      </w:pPr>
      <w:r>
        <w:rPr/>
        <w:t>kind of toilet facility that they used between 2010 and 2019. Improved toilet and sanitation was</w:t>
      </w:r>
      <w:r>
        <w:rPr>
          <w:spacing w:val="1"/>
        </w:rPr>
        <w:t> </w:t>
      </w:r>
      <w:r>
        <w:rPr/>
        <w:t>still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challenge</w:t>
      </w:r>
      <w:r>
        <w:rPr>
          <w:spacing w:val="-10"/>
        </w:rPr>
        <w:t> </w:t>
      </w:r>
      <w:r>
        <w:rPr/>
        <w:t>particularly</w:t>
      </w:r>
      <w:r>
        <w:rPr>
          <w:spacing w:val="-11"/>
        </w:rPr>
        <w:t> </w:t>
      </w:r>
      <w:r>
        <w:rPr/>
        <w:t>among</w:t>
      </w:r>
      <w:r>
        <w:rPr>
          <w:spacing w:val="-10"/>
        </w:rPr>
        <w:t> </w:t>
      </w:r>
      <w:r>
        <w:rPr/>
        <w:t>poor</w:t>
      </w:r>
      <w:r>
        <w:rPr>
          <w:spacing w:val="-9"/>
        </w:rPr>
        <w:t> </w:t>
      </w:r>
      <w:r>
        <w:rPr/>
        <w:t>household,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percentage</w:t>
      </w:r>
      <w:r>
        <w:rPr>
          <w:spacing w:val="-10"/>
        </w:rPr>
        <w:t> </w:t>
      </w:r>
      <w:r>
        <w:rPr/>
        <w:t>share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households</w:t>
      </w:r>
      <w:r>
        <w:rPr>
          <w:spacing w:val="-7"/>
        </w:rPr>
        <w:t> </w:t>
      </w:r>
      <w:r>
        <w:rPr/>
        <w:t>without</w:t>
      </w:r>
      <w:r>
        <w:rPr>
          <w:spacing w:val="-58"/>
        </w:rPr>
        <w:t> </w:t>
      </w:r>
      <w:r>
        <w:rPr>
          <w:spacing w:val="-1"/>
        </w:rPr>
        <w:t>toilet</w:t>
      </w:r>
      <w:r>
        <w:rPr>
          <w:spacing w:val="-8"/>
        </w:rPr>
        <w:t> </w:t>
      </w:r>
      <w:r>
        <w:rPr>
          <w:spacing w:val="-1"/>
        </w:rPr>
        <w:t>facility</w:t>
      </w:r>
      <w:r>
        <w:rPr>
          <w:spacing w:val="-15"/>
        </w:rPr>
        <w:t> </w:t>
      </w:r>
      <w:r>
        <w:rPr/>
        <w:t>rose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21%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2010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/>
        <w:t>26%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2013.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2016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2019,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statistics</w:t>
      </w:r>
      <w:r>
        <w:rPr>
          <w:spacing w:val="-10"/>
        </w:rPr>
        <w:t> </w:t>
      </w:r>
      <w:r>
        <w:rPr/>
        <w:t>further</w:t>
      </w:r>
    </w:p>
    <w:p>
      <w:pPr>
        <w:pStyle w:val="BodyText"/>
        <w:spacing w:line="275" w:lineRule="exact"/>
        <w:ind w:left="120"/>
        <w:jc w:val="both"/>
      </w:pPr>
      <w:r>
        <w:rPr/>
        <w:pict>
          <v:group style="position:absolute;margin-left:71.639999pt;margin-top:34.408398pt;width:468pt;height:282pt;mso-position-horizontal-relative:page;mso-position-vertical-relative:paragraph;z-index:15780352" coordorigin="1433,688" coordsize="9360,5640">
            <v:shape style="position:absolute;left:2318;top:916;width:6744;height:4721" type="#_x0000_t75" stroked="false">
              <v:imagedata r:id="rId162" o:title=""/>
            </v:shape>
            <v:shape style="position:absolute;left:2318;top:5519;width:3099;height:2" coordorigin="2318,5519" coordsize="3099,0" path="m2318,5519l2525,5519m3077,5519l3490,5519m4039,5519l4452,5519m5004,5519l5417,5519e" filled="false" stroked="true" strokeweight=".72pt" strokecolor="#f1f1f1">
              <v:path arrowok="t"/>
              <v:stroke dashstyle="solid"/>
            </v:shape>
            <v:shape style="position:absolute;left:5966;top:5515;width:1378;height:8" coordorigin="5966,5516" coordsize="1378,8" path="m5966,5523l6792,5523m6931,5523l7344,5523m5966,5516l6792,5516m6931,5516l7344,5516e" filled="false" stroked="true" strokeweight=".36pt" strokecolor="#f1f1f1">
              <v:path arrowok="t"/>
              <v:stroke dashstyle="solid"/>
            </v:shape>
            <v:shape style="position:absolute;left:2318;top:5399;width:6744;height:120" coordorigin="2318,5399" coordsize="6744,120" path="m7894,5519l8306,5519m8856,5519l9062,5519m2318,5399l2525,5399m3077,5399l3490,5399e" filled="false" stroked="true" strokeweight=".72pt" strokecolor="#f1f1f1">
              <v:path arrowok="t"/>
              <v:stroke dashstyle="solid"/>
            </v:shape>
            <v:shape style="position:absolute;left:3626;top:5395;width:826;height:8" coordorigin="3626,5396" coordsize="826,8" path="m3626,5403l3763,5403m3902,5403l4452,5403m3626,5396l3763,5396m3902,5396l4452,5396e" filled="false" stroked="true" strokeweight=".36pt" strokecolor="#f1f1f1">
              <v:path arrowok="t"/>
              <v:stroke dashstyle="solid"/>
            </v:shape>
            <v:shape style="position:absolute;left:2318;top:5281;width:6744;height:118" coordorigin="2318,5282" coordsize="6744,118" path="m5004,5399l5417,5399m5966,5399l7344,5399m7894,5399l8306,5399m8856,5399l9062,5399m2318,5282l2525,5282e" filled="false" stroked="true" strokeweight=".72pt" strokecolor="#f1f1f1">
              <v:path arrowok="t"/>
              <v:stroke dashstyle="solid"/>
            </v:shape>
            <v:shape style="position:absolute;left:3076;top:5278;width:5986;height:8" coordorigin="3077,5278" coordsize="5986,8" path="m3077,5285l4452,5285m5004,5285l5417,5285m5966,5285l7344,5285m7894,5285l8306,5285m8856,5285l9062,5285m3077,5278l4452,5278m5004,5278l5417,5278m5966,5278l7344,5278m7894,5278l8306,5278m8856,5278l9062,5278e" filled="false" stroked="true" strokeweight=".36pt" strokecolor="#f1f1f1">
              <v:path arrowok="t"/>
              <v:stroke dashstyle="solid"/>
            </v:shape>
            <v:shape style="position:absolute;left:2318;top:4928;width:6744;height:236" coordorigin="2318,4929" coordsize="6744,236" path="m2318,5164l2525,5164m3077,5164l4591,5164m5004,5164l5417,5164m5966,5164l7344,5164m7894,5164l8306,5164m8856,5164l9062,5164m2318,4929l2525,4929e" filled="false" stroked="true" strokeweight=".72pt" strokecolor="#f1f1f1">
              <v:path arrowok="t"/>
              <v:stroke dashstyle="solid"/>
            </v:shape>
            <v:shape style="position:absolute;left:3076;top:4925;width:2340;height:8" coordorigin="3077,4925" coordsize="2340,8" path="m3077,4933l4728,4933m5004,4933l5417,4933m3077,4925l4728,4925m5004,4925l5417,4925e" filled="false" stroked="true" strokeweight=".36pt" strokecolor="#f1f1f1">
              <v:path arrowok="t"/>
              <v:stroke dashstyle="solid"/>
            </v:shape>
            <v:shape style="position:absolute;left:2318;top:4811;width:6744;height:118" coordorigin="2318,4811" coordsize="6744,118" path="m5966,4929l7344,4929m7894,4929l8306,4929m8856,4929l9062,4929m2318,4811l2525,4811e" filled="false" stroked="true" strokeweight=".72pt" strokecolor="#f1f1f1">
              <v:path arrowok="t"/>
              <v:stroke dashstyle="solid"/>
            </v:shape>
            <v:shape style="position:absolute;left:3076;top:4807;width:2340;height:8" coordorigin="3077,4808" coordsize="2340,8" path="m3077,4815l4865,4815m5004,4815l5417,4815m3077,4808l4865,4808m5004,4808l5417,4808e" filled="false" stroked="true" strokeweight=".36pt" strokecolor="#f1f1f1">
              <v:path arrowok="t"/>
              <v:stroke dashstyle="solid"/>
            </v:shape>
            <v:shape style="position:absolute;left:2318;top:4338;width:6744;height:473" coordorigin="2318,4339" coordsize="6744,473" path="m5966,4811l7344,4811m7894,4811l8306,4811m8856,4811l9062,4811m2318,4691l2525,4691m3077,4691l5417,4691m5966,4691l7344,4691m7894,4691l8306,4691m8856,4691l9062,4691m2318,4574l2525,4574m3077,4574l5417,4574m5966,4574l7344,4574m7894,4574l8306,4574m8856,4574l9062,4574m2318,4339l2525,4339e" filled="false" stroked="true" strokeweight=".72pt" strokecolor="#f1f1f1">
              <v:path arrowok="t"/>
              <v:stroke dashstyle="solid"/>
            </v:shape>
            <v:shape style="position:absolute;left:3076;top:4334;width:5986;height:8" coordorigin="3077,4335" coordsize="5986,8" path="m3077,4342l5554,4342m5966,4342l7344,4342m7894,4342l8306,4342m8856,4342l9062,4342m3077,4335l5554,4335m5966,4335l7344,4335m7894,4335l8306,4335m8856,4335l9062,4335e" filled="false" stroked="true" strokeweight=".36pt" strokecolor="#f1f1f1">
              <v:path arrowok="t"/>
              <v:stroke dashstyle="solid"/>
            </v:shape>
            <v:line style="position:absolute" from="2318,4221" to="2525,4221" stroked="true" strokeweight=".72pt" strokecolor="#f1f1f1">
              <v:stroke dashstyle="solid"/>
            </v:line>
            <v:shape style="position:absolute;left:3076;top:4217;width:4268;height:8" coordorigin="3077,4217" coordsize="4268,8" path="m3077,4225l5690,4225m5966,4225l7344,4225m3077,4217l5690,4217m5966,4217l7344,4217e" filled="false" stroked="true" strokeweight=".36pt" strokecolor="#f1f1f1">
              <v:path arrowok="t"/>
              <v:stroke dashstyle="solid"/>
            </v:shape>
            <v:shape style="position:absolute;left:2318;top:3983;width:6744;height:238" coordorigin="2318,3983" coordsize="6744,238" path="m7894,4221l8306,4221m8856,4221l9062,4221m2318,4101l2525,4101m3077,4101l5690,4101m5966,4101l7344,4101m7894,4101l8306,4101m8856,4101l9062,4101m2318,3983l2525,3983m3077,3983l5830,3983m5966,3983l7344,3983m7894,3983l8306,3983e" filled="false" stroked="true" strokeweight=".72pt" strokecolor="#f1f1f1">
              <v:path arrowok="t"/>
              <v:stroke dashstyle="solid"/>
            </v:shape>
            <v:shape style="position:absolute;left:8582;top:3979;width:480;height:8" coordorigin="8582,3980" coordsize="480,8" path="m8582,3987l8719,3987m8856,3987l9062,3987m8582,3980l8719,3980m8856,3980l9062,3980e" filled="false" stroked="true" strokeweight=".36pt" strokecolor="#f1f1f1">
              <v:path arrowok="t"/>
              <v:stroke dashstyle="solid"/>
            </v:shape>
            <v:shape style="position:absolute;left:2318;top:3748;width:5988;height:2" coordorigin="2318,3748" coordsize="5988,0" path="m2318,3748l2525,3748m3077,3748l7344,3748m7894,3748l8306,3748e" filled="false" stroked="true" strokeweight=".72pt" strokecolor="#f1f1f1">
              <v:path arrowok="t"/>
              <v:stroke dashstyle="solid"/>
            </v:shape>
            <v:shape style="position:absolute;left:8582;top:3744;width:480;height:8" coordorigin="8582,3745" coordsize="480,8" path="m8582,3752l9062,3752m8582,3745l9062,3745e" filled="false" stroked="true" strokeweight=".36pt" strokecolor="#f1f1f1">
              <v:path arrowok="t"/>
              <v:stroke dashstyle="solid"/>
            </v:shape>
            <v:shape style="position:absolute;left:2318;top:2802;width:6744;height:828" coordorigin="2318,2803" coordsize="6744,828" path="m2318,3631l2525,3631m3077,3631l7344,3631m7894,3631l8306,3631m8582,3631l9062,3631m2318,3513l2525,3513m3077,3513l7344,3513m7894,3513l8306,3513m8582,3513l9062,3513m7894,3393l8306,3393m2318,3158l2525,3158m3077,3158l7344,3158m7894,3158l8306,3158m8443,3158l9062,3158m2318,3040l2664,3040m3077,3040l7344,3040m7894,3040l8306,3040m8443,3040l9062,3040m2318,2923l2664,2923m3077,2923l7344,2923m7894,2923l8306,2923m8443,2923l9062,2923m2318,2803l2664,2803m3077,2803l7344,2803m7894,2803l8306,2803m8443,2803l9062,2803e" filled="false" stroked="true" strokeweight=".72pt" strokecolor="#f1f1f1">
              <v:path arrowok="t"/>
              <v:stroke dashstyle="solid"/>
            </v:shape>
            <v:shape style="position:absolute;left:2318;top:2563;width:5026;height:8" coordorigin="2318,2564" coordsize="5026,8" path="m2318,2571l2801,2571m3077,2571l7344,2571m2318,2564l2801,2564m3077,2564l7344,2564e" filled="false" stroked="true" strokeweight=".36pt" strokecolor="#f1f1f1">
              <v:path arrowok="t"/>
              <v:stroke dashstyle="solid"/>
            </v:shape>
            <v:shape style="position:absolute;left:2318;top:1741;width:6744;height:826" coordorigin="2318,1742" coordsize="6744,826" path="m7894,2567l9062,2567m2318,2450l2801,2450m3077,2450l7344,2450m7894,2450l9062,2450m2318,2332l2801,2332m3077,2332l7344,2332m7894,2332l9062,2332m2318,2215l7344,2215m7894,2215l9062,2215m2318,1977l7344,1977m7757,1977l9062,1977m2318,1859l7344,1859m7757,1859l9062,1859m2318,1742l7344,1742e" filled="false" stroked="true" strokeweight=".72pt" strokecolor="#f1f1f1">
              <v:path arrowok="t"/>
              <v:stroke dashstyle="solid"/>
            </v:shape>
            <v:shape style="position:absolute;left:7480;top:1745;width:1582;height:2" coordorigin="7481,1745" coordsize="1582,0" path="m7481,1745l7618,1745m7757,1745l9062,1745e" filled="false" stroked="true" strokeweight=".36pt" strokecolor="#f1f1f1">
              <v:path arrowok="t"/>
              <v:stroke dashstyle="solid"/>
            </v:shape>
            <v:line style="position:absolute" from="7481,1738" to="9062,1738" stroked="true" strokeweight=".36pt" strokecolor="#f1f1f1">
              <v:stroke dashstyle="solid"/>
            </v:line>
            <v:shape style="position:absolute;left:2318;top:1624;width:6744;height:2" coordorigin="2318,1624" coordsize="6744,0" path="m2318,1624l7344,1624m7481,1624l9062,1624e" filled="false" stroked="true" strokeweight=".72pt" strokecolor="#f1f1f1">
              <v:path arrowok="t"/>
              <v:stroke dashstyle="solid"/>
            </v:shape>
            <v:shape style="position:absolute;left:2318;top:1033;width:6744;height:353" coordorigin="2318,1034" coordsize="6744,353" path="m2318,1387l9062,1387m2318,1269l9062,1269m2318,1151l9062,1151m2318,1034l9062,1034e" filled="false" stroked="true" strokeweight=".72pt" strokecolor="#f1f1f1">
              <v:path arrowok="t"/>
              <v:stroke dashstyle="solid"/>
            </v:shape>
            <v:shape style="position:absolute;left:2318;top:3865;width:6744;height:1181" coordorigin="2318,3866" coordsize="6744,1181" path="m2318,5047l2525,5047m3077,5047l4591,5047m5004,5047l5417,5047m5966,5047l7344,5047m7894,5047l8306,5047m8856,5047l9062,5047m2318,4456l2525,4456m3077,4456l5417,4456m5966,4456l7344,4456m7894,4456l8306,4456m8856,4456l9062,4456m2318,3866l2525,3866e" filled="false" stroked="true" strokeweight=".72pt" strokecolor="#d9d9d9">
              <v:path arrowok="t"/>
              <v:stroke dashstyle="solid"/>
            </v:shape>
            <v:shape style="position:absolute;left:3076;top:3862;width:4268;height:8" coordorigin="3077,3862" coordsize="4268,8" path="m3077,3869l7344,3869m3077,3862l7344,3862e" filled="false" stroked="true" strokeweight=".36pt" strokecolor="#d9d9d9">
              <v:path arrowok="t"/>
              <v:stroke dashstyle="solid"/>
            </v:shape>
            <v:shape style="position:absolute;left:2318;top:2094;width:6744;height:1772" coordorigin="2318,2095" coordsize="6744,1772" path="m7894,3866l8306,3866m8582,3866l8719,3866m8856,3866l9062,3866m2318,3275l2525,3275m3077,3275l7344,3275m7894,3275l8306,3275m8582,3275l9062,3275m2318,2685l2664,2685m3077,2685l7344,2685m7894,2685l8306,2685m8443,2685l9062,2685m2318,2095l7344,2095m7894,2095l9062,2095e" filled="false" stroked="true" strokeweight=".72pt" strokecolor="#d9d9d9">
              <v:path arrowok="t"/>
              <v:stroke dashstyle="solid"/>
            </v:shape>
            <v:shape style="position:absolute;left:2318;top:1505;width:6744;height:8" coordorigin="2318,1505" coordsize="6744,8" path="m2318,1513l9062,1513m2318,1505l9062,1505e" filled="false" stroked="true" strokeweight=".12pt" strokecolor="#d9d9d9">
              <v:path arrowok="t"/>
              <v:stroke dashstyle="solid"/>
            </v:shape>
            <v:line style="position:absolute" from="2318,916" to="9062,916" stroked="true" strokeweight=".72pt" strokecolor="#d9d9d9">
              <v:stroke dashstyle="solid"/>
            </v:line>
            <v:shape style="position:absolute;left:2524;top:1511;width:5919;height:4126" coordorigin="2525,1511" coordsize="5919,4126" path="m2664,3100l2525,3100,2525,5637,2664,5637,2664,3100xm3626,5282l3490,5282,3490,5637,3626,5637,3626,5282xm4591,5188l4452,5188,4452,5637,4591,5637,4591,5188xm5554,4339l5417,4339,5417,5637,5554,5637,5554,4339xm6516,5541l6379,5541,6379,5637,6516,5637,6516,5541xm7481,1511l7344,1511,7344,5637,7481,5637,7481,1511xm8443,2668l8306,2668,8306,5637,8443,5637,8443,2668xe" filled="true" fillcolor="#818181" stroked="false">
              <v:path arrowok="t"/>
              <v:fill type="solid"/>
            </v:shape>
            <v:shape style="position:absolute;left:2664;top:1741;width:5919;height:3896" coordorigin="2664,1742" coordsize="5919,3896" path="m2801,2567l2664,2567,2664,5637,2801,5637,2801,2567xm3763,5399l3626,5399,3626,5637,3763,5637,3763,5399xm4728,4929l4591,4929,4591,5637,4728,5637,4728,4929xm5690,4221l5554,4221,5554,5637,5690,5637,5690,4221xm6655,5577l6516,5577,6516,5637,6655,5637,6655,5577xm7618,1742l7481,1742,7481,5637,7618,5637,7618,1742xm8582,3218l8443,3218,8443,5637,8582,5637,8582,3218xe" filled="true" fillcolor="#9a9a9a" stroked="false">
              <v:path arrowok="t"/>
              <v:fill type="solid"/>
            </v:shape>
            <v:shape style="position:absolute;left:2800;top:1741;width:5919;height:3896" coordorigin="2801,1742" coordsize="5919,3896" path="m2938,2284l2801,2284,2801,5637,2938,5637,2938,2284xm3902,5306l3763,5306,3763,5637,3902,5637,3902,5306xm4865,4811l4728,4811,4728,5637,4865,5637,4865,4811xm5830,4043l5690,4043,5690,5637,5830,5637,5830,4043xm6792,5519l6655,5519,6655,5637,6792,5637,6792,5519xm7757,1742l7618,1742,7618,5637,7757,5637,7757,1742xm8719,3983l8582,3983,8582,5637,8719,5637,8719,3983xe" filled="true" fillcolor="#b5b5b5" stroked="false">
              <v:path arrowok="t"/>
              <v:fill type="solid"/>
            </v:shape>
            <v:shape style="position:absolute;left:2937;top:2065;width:5919;height:3572" coordorigin="2938,2066" coordsize="5919,3572" path="m3077,2315l2938,2315,2938,5637,3077,5637,3077,2315xm4039,5433l3902,5433,3902,5637,4039,5637,4039,5433xm5004,4751l4865,4751,4865,5637,5004,5637,5004,4751xm5966,3866l5830,3866,5830,5637,5966,5637,5966,3866xm6931,5471l6792,5471,6792,5637,6931,5637,6931,5471xm7894,2066l7757,2066,7757,5637,7894,5637,7894,2066xm8856,3748l8719,3748,8719,5637,8856,5637,8856,3748xe" filled="true" fillcolor="#d1d1d1" stroked="false">
              <v:path arrowok="t"/>
              <v:fill type="solid"/>
            </v:shape>
            <v:line style="position:absolute" from="2318,5637" to="9062,5637" stroked="true" strokeweight=".72pt" strokecolor="#d9d9d9">
              <v:stroke dashstyle="solid"/>
            </v:line>
            <v:rect style="position:absolute;left:9376;top:2951;width:101;height:99" filled="true" fillcolor="#818181" stroked="false">
              <v:fill type="solid"/>
            </v:rect>
            <v:rect style="position:absolute;left:9376;top:3289;width:101;height:99" filled="true" fillcolor="#9a9a9a" stroked="false">
              <v:fill type="solid"/>
            </v:rect>
            <v:rect style="position:absolute;left:9376;top:3628;width:101;height:99" filled="true" fillcolor="#b5b5b5" stroked="false">
              <v:fill type="solid"/>
            </v:rect>
            <v:rect style="position:absolute;left:9376;top:3964;width:101;height:99" filled="true" fillcolor="#d1d1d1" stroked="false">
              <v:fill type="solid"/>
            </v:rect>
            <v:rect style="position:absolute;left:1440;top:695;width:9346;height:5626" filled="false" stroked="true" strokeweight=".72pt" strokecolor="#d9d9d9">
              <v:stroke dashstyle="solid"/>
            </v:rect>
            <v:shape style="position:absolute;left:1969;top:83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969;top:142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969;top:201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969;top:260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9520;top:2918;width:10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(2010)</w:t>
                    </w:r>
                  </w:p>
                </w:txbxContent>
              </v:textbox>
              <w10:wrap type="none"/>
            </v:shape>
            <v:shape style="position:absolute;left:1969;top:3192;width:612;height:180" type="#_x0000_t202" filled="false" stroked="false">
              <v:textbox inset="0,0,0,0">
                <w:txbxContent>
                  <w:p>
                    <w:pPr>
                      <w:tabs>
                        <w:tab w:pos="59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   </w:t>
                    </w:r>
                    <w:r>
                      <w:rPr>
                        <w:rFonts w:ascii="Calibri"/>
                        <w:color w:val="585858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  <w:u w:val="single" w:color="F1F1F1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3076;top:3192;width:4324;height:180" type="#_x0000_t202" filled="false" stroked="false">
              <v:textbox inset="0,0,0,0">
                <w:txbxContent>
                  <w:p>
                    <w:pPr>
                      <w:tabs>
                        <w:tab w:pos="430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single" w:color="F1F1F1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8582;top:3192;width:537;height:180" type="#_x0000_t202" filled="false" stroked="false">
              <v:textbox inset="0,0,0,0">
                <w:txbxContent>
                  <w:p>
                    <w:pPr>
                      <w:tabs>
                        <w:tab w:pos="51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  <w:u w:val="single" w:color="F1F1F1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969;top:378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9520;top:3255;width:1085;height:85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(2013)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(2016)</w:t>
                    </w:r>
                  </w:p>
                  <w:p>
                    <w:pPr>
                      <w:spacing w:line="216" w:lineRule="exact"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(2019)</w:t>
                    </w:r>
                  </w:p>
                </w:txbxContent>
              </v:textbox>
              <w10:wrap type="none"/>
            </v:shape>
            <v:shape style="position:absolute;left:1969;top:437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061;top:496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061;top:555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03;top:5787;width:4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None</w:t>
                    </w:r>
                  </w:p>
                </w:txbxContent>
              </v:textbox>
              <w10:wrap type="none"/>
            </v:shape>
            <v:shape style="position:absolute;left:3442;top:5787;width:666;height:4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Toilet</w:t>
                    </w:r>
                    <w:r>
                      <w:rPr>
                        <w:rFonts w:ascii="Calibri"/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on</w:t>
                    </w:r>
                  </w:p>
                  <w:p>
                    <w:pPr>
                      <w:spacing w:line="216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water</w:t>
                    </w:r>
                  </w:p>
                </w:txbxContent>
              </v:textbox>
              <w10:wrap type="none"/>
            </v:shape>
            <v:shape style="position:absolute;left:4439;top:5787;width:3623;height:180" type="#_x0000_t202" filled="false" stroked="false">
              <v:textbox inset="0,0,0,0">
                <w:txbxContent>
                  <w:p>
                    <w:pPr>
                      <w:tabs>
                        <w:tab w:pos="963" w:val="left" w:leader="none"/>
                        <w:tab w:pos="180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Flush to</w:t>
                      <w:tab/>
                      <w:t>Flush to</w:t>
                      <w:tab/>
                      <w:t>Pail/Bucket</w:t>
                    </w:r>
                    <w:r>
                      <w:rPr>
                        <w:rFonts w:ascii="Calibri"/>
                        <w:color w:val="585858"/>
                        <w:spacing w:val="8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Covered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Pit</w:t>
                    </w:r>
                  </w:p>
                </w:txbxContent>
              </v:textbox>
              <w10:wrap type="none"/>
            </v:shape>
            <v:shape style="position:absolute;left:4412;top:6007;width:1720;height:180" type="#_x0000_t202" filled="false" stroked="false">
              <v:textbox inset="0,0,0,0">
                <w:txbxContent>
                  <w:p>
                    <w:pPr>
                      <w:tabs>
                        <w:tab w:pos="86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Sewages</w:t>
                      <w:tab/>
                      <w:t>Septic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Tank</w:t>
                    </w:r>
                  </w:p>
                </w:txbxContent>
              </v:textbox>
              <w10:wrap type="none"/>
            </v:shape>
            <v:shape style="position:absolute;left:7364;top:6007;width:5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Latrine</w:t>
                    </w:r>
                  </w:p>
                </w:txbxContent>
              </v:textbox>
              <w10:wrap type="none"/>
            </v:shape>
            <v:shape style="position:absolute;left:8184;top:5787;width:820;height:4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Uncovered</w:t>
                    </w:r>
                  </w:p>
                  <w:p>
                    <w:pPr>
                      <w:spacing w:line="216" w:lineRule="exact" w:before="0"/>
                      <w:ind w:left="2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Pit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Latrine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3.478661pt;margin-top:140.020432pt;width:13pt;height:47.7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>Percentages</w:t>
                  </w:r>
                </w:p>
              </w:txbxContent>
            </v:textbox>
            <w10:wrap type="none"/>
          </v:shape>
        </w:pict>
      </w:r>
      <w:r>
        <w:rPr/>
        <w:t>increased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28%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28.13%,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Heading4"/>
        <w:spacing w:before="1"/>
        <w:ind w:left="120"/>
      </w:pPr>
      <w:r>
        <w:rPr/>
        <w:t>Figure</w:t>
      </w:r>
      <w:r>
        <w:rPr>
          <w:spacing w:val="-4"/>
        </w:rPr>
        <w:t> </w:t>
      </w:r>
      <w:r>
        <w:rPr/>
        <w:t>5.4:</w:t>
      </w:r>
      <w:r>
        <w:rPr>
          <w:spacing w:val="-2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Respondents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Households’</w:t>
      </w:r>
      <w:r>
        <w:rPr>
          <w:spacing w:val="-3"/>
        </w:rPr>
        <w:t> </w:t>
      </w:r>
      <w:r>
        <w:rPr/>
        <w:t>Kind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Toilet</w:t>
      </w:r>
      <w:r>
        <w:rPr>
          <w:spacing w:val="-3"/>
        </w:rPr>
        <w:t> </w:t>
      </w:r>
      <w:r>
        <w:rPr/>
        <w:t>Facility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 w:before="1"/>
        <w:ind w:left="120" w:right="118"/>
        <w:jc w:val="both"/>
      </w:pPr>
      <w:r>
        <w:rPr/>
        <w:t>It</w:t>
      </w:r>
      <w:r>
        <w:rPr>
          <w:spacing w:val="-8"/>
        </w:rPr>
        <w:t> </w:t>
      </w:r>
      <w:r>
        <w:rPr/>
        <w:t>was</w:t>
      </w:r>
      <w:r>
        <w:rPr>
          <w:spacing w:val="-11"/>
        </w:rPr>
        <w:t> </w:t>
      </w:r>
      <w:r>
        <w:rPr/>
        <w:t>further</w:t>
      </w:r>
      <w:r>
        <w:rPr>
          <w:spacing w:val="-9"/>
        </w:rPr>
        <w:t> </w:t>
      </w:r>
      <w:r>
        <w:rPr/>
        <w:t>revealed</w:t>
      </w:r>
      <w:r>
        <w:rPr>
          <w:spacing w:val="-12"/>
        </w:rPr>
        <w:t> </w:t>
      </w:r>
      <w:r>
        <w:rPr/>
        <w:t>that,</w:t>
      </w:r>
      <w:r>
        <w:rPr>
          <w:spacing w:val="-8"/>
        </w:rPr>
        <w:t> </w:t>
      </w:r>
      <w:r>
        <w:rPr/>
        <w:t>approximately</w:t>
      </w:r>
      <w:r>
        <w:rPr>
          <w:spacing w:val="-15"/>
        </w:rPr>
        <w:t> </w:t>
      </w:r>
      <w:r>
        <w:rPr/>
        <w:t>one-fourth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all</w:t>
      </w:r>
      <w:r>
        <w:rPr>
          <w:spacing w:val="-9"/>
        </w:rPr>
        <w:t> </w:t>
      </w:r>
      <w:r>
        <w:rPr/>
        <w:t>respondents</w:t>
      </w:r>
      <w:r>
        <w:rPr>
          <w:spacing w:val="-10"/>
        </w:rPr>
        <w:t> </w:t>
      </w:r>
      <w:r>
        <w:rPr/>
        <w:t>used</w:t>
      </w:r>
      <w:r>
        <w:rPr>
          <w:spacing w:val="-10"/>
        </w:rPr>
        <w:t> </w:t>
      </w:r>
      <w:r>
        <w:rPr/>
        <w:t>uncovered</w:t>
      </w:r>
      <w:r>
        <w:rPr>
          <w:spacing w:val="-11"/>
        </w:rPr>
        <w:t> </w:t>
      </w:r>
      <w:r>
        <w:rPr/>
        <w:t>pit</w:t>
      </w:r>
      <w:r>
        <w:rPr>
          <w:spacing w:val="-9"/>
        </w:rPr>
        <w:t> </w:t>
      </w:r>
      <w:r>
        <w:rPr/>
        <w:t>latrine</w:t>
      </w:r>
      <w:r>
        <w:rPr>
          <w:spacing w:val="-58"/>
        </w:rPr>
        <w:t> </w:t>
      </w:r>
      <w:r>
        <w:rPr/>
        <w:t>in 2010. This slightly reduced to 20.5% in 2013, however, the figure rose sharply to 16% in 2019</w:t>
      </w:r>
      <w:r>
        <w:rPr>
          <w:spacing w:val="-57"/>
        </w:rPr>
        <w:t> </w:t>
      </w:r>
      <w:r>
        <w:rPr/>
        <w:t>from</w:t>
      </w:r>
      <w:r>
        <w:rPr>
          <w:spacing w:val="-9"/>
        </w:rPr>
        <w:t> </w:t>
      </w:r>
      <w:r>
        <w:rPr/>
        <w:t>14%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2016.</w:t>
      </w:r>
      <w:r>
        <w:rPr>
          <w:spacing w:val="-6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worth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note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type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toilet</w:t>
      </w:r>
      <w:r>
        <w:rPr>
          <w:spacing w:val="-9"/>
        </w:rPr>
        <w:t> </w:t>
      </w:r>
      <w:r>
        <w:rPr/>
        <w:t>facility</w:t>
      </w:r>
      <w:r>
        <w:rPr>
          <w:spacing w:val="-13"/>
        </w:rPr>
        <w:t> </w:t>
      </w:r>
      <w:r>
        <w:rPr/>
        <w:t>vis-à-vis</w:t>
      </w:r>
      <w:r>
        <w:rPr>
          <w:spacing w:val="-6"/>
        </w:rPr>
        <w:t> </w:t>
      </w:r>
      <w:r>
        <w:rPr/>
        <w:t>sanitation</w:t>
      </w:r>
      <w:r>
        <w:rPr>
          <w:spacing w:val="-9"/>
        </w:rPr>
        <w:t> </w:t>
      </w:r>
      <w:r>
        <w:rPr/>
        <w:t>practice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safe water in a household often predict the health status of people. Unimproved toilet facility and</w:t>
      </w:r>
      <w:r>
        <w:rPr>
          <w:spacing w:val="-57"/>
        </w:rPr>
        <w:t> </w:t>
      </w:r>
      <w:r>
        <w:rPr/>
        <w:t>poor sanitation strongly relate with transmission of infectious diseases, such as cholera, diarrhea,</w:t>
      </w:r>
      <w:r>
        <w:rPr>
          <w:spacing w:val="1"/>
        </w:rPr>
        <w:t> </w:t>
      </w:r>
      <w:r>
        <w:rPr/>
        <w:t>hepatitis,</w:t>
      </w:r>
      <w:r>
        <w:rPr>
          <w:spacing w:val="-1"/>
        </w:rPr>
        <w:t> </w:t>
      </w:r>
      <w:r>
        <w:rPr/>
        <w:t>typhoid and</w:t>
      </w:r>
      <w:r>
        <w:rPr>
          <w:spacing w:val="-1"/>
        </w:rPr>
        <w:t> </w:t>
      </w:r>
      <w:r>
        <w:rPr/>
        <w:t>polio</w:t>
      </w:r>
      <w:r>
        <w:rPr>
          <w:spacing w:val="2"/>
        </w:rPr>
        <w:t> </w:t>
      </w:r>
      <w:r>
        <w:rPr/>
        <w:t>(WHO, 2018).</w:t>
      </w:r>
      <w:r>
        <w:rPr>
          <w:spacing w:val="-1"/>
        </w:rPr>
        <w:t> </w:t>
      </w:r>
      <w:r>
        <w:rPr>
          <w:sz w:val="22"/>
        </w:rPr>
        <w:t>These</w:t>
      </w:r>
      <w:r>
        <w:rPr>
          <w:spacing w:val="6"/>
          <w:sz w:val="22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illnesses and</w:t>
      </w:r>
      <w:r>
        <w:rPr>
          <w:spacing w:val="1"/>
        </w:rPr>
        <w:t> </w:t>
      </w:r>
      <w:r>
        <w:rPr/>
        <w:t>deaths.</w:t>
      </w:r>
    </w:p>
    <w:p>
      <w:pPr>
        <w:pStyle w:val="BodyText"/>
        <w:spacing w:line="360" w:lineRule="auto" w:before="185"/>
        <w:ind w:left="120" w:right="114"/>
        <w:jc w:val="both"/>
      </w:pP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overall</w:t>
      </w:r>
      <w:r>
        <w:rPr>
          <w:spacing w:val="-6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section,</w:t>
      </w:r>
      <w:r>
        <w:rPr>
          <w:spacing w:val="-5"/>
        </w:rPr>
        <w:t> </w:t>
      </w:r>
      <w:r>
        <w:rPr/>
        <w:t>many</w:t>
      </w:r>
      <w:r>
        <w:rPr>
          <w:spacing w:val="-10"/>
        </w:rPr>
        <w:t> </w:t>
      </w:r>
      <w:r>
        <w:rPr/>
        <w:t>socio-economic</w:t>
      </w:r>
      <w:r>
        <w:rPr>
          <w:spacing w:val="-5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households</w:t>
      </w:r>
      <w:r>
        <w:rPr>
          <w:spacing w:val="-6"/>
        </w:rPr>
        <w:t> </w:t>
      </w:r>
      <w:r>
        <w:rPr/>
        <w:t>have</w:t>
      </w:r>
      <w:r>
        <w:rPr>
          <w:spacing w:val="-57"/>
        </w:rPr>
        <w:t> </w:t>
      </w:r>
      <w:r>
        <w:rPr/>
        <w:t>worsened. Furthermore, it is was also evidenced that these is likely predicts the healthiness of</w:t>
      </w:r>
      <w:r>
        <w:rPr>
          <w:spacing w:val="1"/>
        </w:rPr>
        <w:t> </w:t>
      </w:r>
      <w:r>
        <w:rPr/>
        <w:t>household’s members; and at the same time relate with income inequality (Benzeval </w:t>
      </w:r>
      <w:r>
        <w:rPr>
          <w:i/>
        </w:rPr>
        <w:t>et al., </w:t>
      </w:r>
      <w:r>
        <w:rPr/>
        <w:t>2014;</w:t>
      </w:r>
      <w:r>
        <w:rPr>
          <w:spacing w:val="1"/>
        </w:rPr>
        <w:t> </w:t>
      </w:r>
      <w:r>
        <w:rPr/>
        <w:t>Hill </w:t>
      </w:r>
      <w:r>
        <w:rPr>
          <w:i/>
        </w:rPr>
        <w:t>et al, </w:t>
      </w:r>
      <w:r>
        <w:rPr/>
        <w:t>2019). Hence, the next section presented the level and magnitude of income inequality</w:t>
      </w:r>
      <w:r>
        <w:rPr>
          <w:spacing w:val="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 36</w:t>
      </w:r>
      <w:r>
        <w:rPr>
          <w:spacing w:val="-1"/>
        </w:rPr>
        <w:t> </w:t>
      </w:r>
      <w:r>
        <w:rPr/>
        <w:t>states</w:t>
      </w:r>
      <w:r>
        <w:rPr>
          <w:spacing w:val="2"/>
        </w:rPr>
        <w:t> </w:t>
      </w:r>
      <w:r>
        <w:rPr/>
        <w:t>(including</w:t>
      </w:r>
      <w:r>
        <w:rPr>
          <w:spacing w:val="-1"/>
        </w:rPr>
        <w:t> </w:t>
      </w:r>
      <w:r>
        <w:rPr/>
        <w:t>FCT) in Nigeria.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Heading4"/>
        <w:numPr>
          <w:ilvl w:val="1"/>
          <w:numId w:val="14"/>
        </w:numPr>
        <w:tabs>
          <w:tab w:pos="841" w:val="left" w:leader="none"/>
        </w:tabs>
        <w:spacing w:line="240" w:lineRule="auto" w:before="77" w:after="0"/>
        <w:ind w:left="840" w:right="0" w:hanging="721"/>
        <w:jc w:val="both"/>
      </w:pPr>
      <w:bookmarkStart w:name="_TOC_250017" w:id="60"/>
      <w:r>
        <w:rPr/>
        <w:t>Level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Magnitude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60"/>
      <w:r>
        <w:rPr/>
        <w:t>Nigeria</w:t>
      </w:r>
    </w:p>
    <w:p>
      <w:pPr>
        <w:pStyle w:val="BodyText"/>
        <w:spacing w:line="360" w:lineRule="auto" w:before="19"/>
        <w:ind w:left="120" w:right="113"/>
        <w:jc w:val="both"/>
      </w:pPr>
      <w:r>
        <w:rPr/>
        <w:t>The</w:t>
      </w:r>
      <w:r>
        <w:rPr>
          <w:spacing w:val="-5"/>
        </w:rPr>
        <w:t> </w:t>
      </w:r>
      <w:r>
        <w:rPr/>
        <w:t>increasing</w:t>
      </w:r>
      <w:r>
        <w:rPr>
          <w:spacing w:val="-6"/>
        </w:rPr>
        <w:t> </w:t>
      </w:r>
      <w:r>
        <w:rPr/>
        <w:t>level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income</w:t>
      </w:r>
      <w:r>
        <w:rPr>
          <w:spacing w:val="-5"/>
        </w:rPr>
        <w:t> </w:t>
      </w:r>
      <w:r>
        <w:rPr/>
        <w:t>inequality</w:t>
      </w:r>
      <w:r>
        <w:rPr>
          <w:spacing w:val="-9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major</w:t>
      </w:r>
      <w:r>
        <w:rPr>
          <w:spacing w:val="-5"/>
        </w:rPr>
        <w:t> </w:t>
      </w:r>
      <w:r>
        <w:rPr/>
        <w:t>concern</w:t>
      </w:r>
      <w:r>
        <w:rPr>
          <w:spacing w:val="-5"/>
        </w:rPr>
        <w:t> </w:t>
      </w:r>
      <w:r>
        <w:rPr/>
        <w:t>among</w:t>
      </w:r>
      <w:r>
        <w:rPr>
          <w:spacing w:val="-2"/>
        </w:rPr>
        <w:t> </w:t>
      </w:r>
      <w:r>
        <w:rPr/>
        <w:t>economists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policy</w:t>
      </w:r>
      <w:r>
        <w:rPr>
          <w:spacing w:val="-58"/>
        </w:rPr>
        <w:t> </w:t>
      </w:r>
      <w:r>
        <w:rPr/>
        <w:t>makers, because it is major issue hindering the development (Omotola and Kabir, 2015:33). This</w:t>
      </w:r>
      <w:r>
        <w:rPr>
          <w:spacing w:val="1"/>
        </w:rPr>
        <w:t> </w:t>
      </w:r>
      <w:r>
        <w:rPr/>
        <w:t>is because income disparity has been rising quickly and has adversely affected poverty reduction.</w:t>
      </w:r>
      <w:r>
        <w:rPr>
          <w:spacing w:val="-57"/>
        </w:rPr>
        <w:t> </w:t>
      </w:r>
      <w:r>
        <w:rPr/>
        <w:t>Table 5.6 profiles the level and degree of income inequality for North-East region between 2010</w:t>
      </w:r>
      <w:r>
        <w:rPr>
          <w:spacing w:val="1"/>
        </w:rPr>
        <w:t> </w:t>
      </w:r>
      <w:r>
        <w:rPr/>
        <w:t>and 2019. The Gini Coefficient figures computed from the NGHPS data using survey-to-survey</w:t>
      </w:r>
      <w:r>
        <w:rPr>
          <w:spacing w:val="1"/>
        </w:rPr>
        <w:t> </w:t>
      </w:r>
      <w:r>
        <w:rPr/>
        <w:t>techniques supported the Wilkinson’s hypothesis that income inequality in North-East rose over</w:t>
      </w:r>
      <w:r>
        <w:rPr>
          <w:spacing w:val="1"/>
        </w:rPr>
        <w:t> </w:t>
      </w:r>
      <w:r>
        <w:rPr/>
        <w:t>time significantly. At the regional level, the index increased from 0.352 in 2010 to 0.412 in 2013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0.446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2019.</w:t>
      </w:r>
      <w:r>
        <w:rPr>
          <w:spacing w:val="-13"/>
        </w:rPr>
        <w:t> </w:t>
      </w:r>
      <w:r>
        <w:rPr/>
        <w:t>Perhaps,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economic</w:t>
      </w:r>
      <w:r>
        <w:rPr>
          <w:spacing w:val="-13"/>
        </w:rPr>
        <w:t> </w:t>
      </w:r>
      <w:r>
        <w:rPr/>
        <w:t>growth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North-East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completely</w:t>
      </w:r>
      <w:r>
        <w:rPr>
          <w:spacing w:val="-17"/>
        </w:rPr>
        <w:t> </w:t>
      </w:r>
      <w:r>
        <w:rPr/>
        <w:t>offset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rising</w:t>
      </w:r>
      <w:r>
        <w:rPr>
          <w:spacing w:val="-57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inequality.</w:t>
      </w:r>
    </w:p>
    <w:p>
      <w:pPr>
        <w:pStyle w:val="BodyText"/>
        <w:spacing w:before="2"/>
      </w:pPr>
    </w:p>
    <w:p>
      <w:pPr>
        <w:pStyle w:val="Heading4"/>
        <w:spacing w:after="4"/>
        <w:ind w:left="120"/>
      </w:pPr>
      <w:r>
        <w:rPr/>
        <w:t>Table</w:t>
      </w:r>
      <w:r>
        <w:rPr>
          <w:spacing w:val="-2"/>
        </w:rPr>
        <w:t> </w:t>
      </w:r>
      <w:r>
        <w:rPr/>
        <w:t>5.6:</w:t>
      </w:r>
      <w:r>
        <w:rPr>
          <w:spacing w:val="-2"/>
        </w:rPr>
        <w:t> </w:t>
      </w:r>
      <w:r>
        <w:rPr/>
        <w:t>Gini-Coefficients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Households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North-East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(2010</w:t>
      </w:r>
      <w:r>
        <w:rPr>
          <w:spacing w:val="-2"/>
        </w:rPr>
        <w:t> </w:t>
      </w:r>
      <w:r>
        <w:rPr/>
        <w:t>– 2019)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1892"/>
        <w:gridCol w:w="1709"/>
        <w:gridCol w:w="1712"/>
        <w:gridCol w:w="1704"/>
      </w:tblGrid>
      <w:tr>
        <w:trPr>
          <w:trHeight w:val="254" w:hRule="atLeast"/>
        </w:trPr>
        <w:tc>
          <w:tcPr>
            <w:tcW w:w="2335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2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1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(2010)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2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(2013)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(2016)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9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4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(2019)</w:t>
            </w:r>
          </w:p>
        </w:tc>
      </w:tr>
      <w:tr>
        <w:trPr>
          <w:trHeight w:val="253" w:hRule="atLeast"/>
        </w:trPr>
        <w:tc>
          <w:tcPr>
            <w:tcW w:w="2335" w:type="dxa"/>
          </w:tcPr>
          <w:p>
            <w:pPr>
              <w:pStyle w:val="TableParagraph"/>
              <w:spacing w:line="234" w:lineRule="exact"/>
              <w:ind w:left="107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North-East</w:t>
            </w:r>
            <w:r>
              <w:rPr>
                <w:rFonts w:ascii="Times New Roman"/>
                <w:b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Average</w:t>
            </w: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0.3527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0.3643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0.4125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0.4463</w:t>
            </w:r>
          </w:p>
        </w:tc>
      </w:tr>
      <w:tr>
        <w:trPr>
          <w:trHeight w:val="251" w:hRule="atLeast"/>
        </w:trPr>
        <w:tc>
          <w:tcPr>
            <w:tcW w:w="2335" w:type="dxa"/>
          </w:tcPr>
          <w:p>
            <w:pPr>
              <w:pStyle w:val="TableParagraph"/>
              <w:spacing w:line="232" w:lineRule="exact"/>
              <w:ind w:left="714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Adamawa</w:t>
            </w:r>
          </w:p>
        </w:tc>
        <w:tc>
          <w:tcPr>
            <w:tcW w:w="1892" w:type="dxa"/>
          </w:tcPr>
          <w:p>
            <w:pPr>
              <w:pStyle w:val="TableParagraph"/>
              <w:spacing w:line="232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0.4069</w:t>
            </w:r>
          </w:p>
        </w:tc>
        <w:tc>
          <w:tcPr>
            <w:tcW w:w="1709" w:type="dxa"/>
          </w:tcPr>
          <w:p>
            <w:pPr>
              <w:pStyle w:val="TableParagraph"/>
              <w:spacing w:line="232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0.4102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0.4540</w:t>
            </w:r>
          </w:p>
        </w:tc>
        <w:tc>
          <w:tcPr>
            <w:tcW w:w="1704" w:type="dxa"/>
          </w:tcPr>
          <w:p>
            <w:pPr>
              <w:pStyle w:val="TableParagraph"/>
              <w:spacing w:line="232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0.4552</w:t>
            </w:r>
          </w:p>
        </w:tc>
      </w:tr>
      <w:tr>
        <w:trPr>
          <w:trHeight w:val="253" w:hRule="atLeast"/>
        </w:trPr>
        <w:tc>
          <w:tcPr>
            <w:tcW w:w="2335" w:type="dxa"/>
          </w:tcPr>
          <w:p>
            <w:pPr>
              <w:pStyle w:val="TableParagraph"/>
              <w:spacing w:line="234" w:lineRule="exact"/>
              <w:ind w:left="90" w:right="79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Bauchi</w:t>
            </w: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0.3304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0.3492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0.3733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0.4497</w:t>
            </w:r>
          </w:p>
        </w:tc>
      </w:tr>
      <w:tr>
        <w:trPr>
          <w:trHeight w:val="251" w:hRule="atLeast"/>
        </w:trPr>
        <w:tc>
          <w:tcPr>
            <w:tcW w:w="2335" w:type="dxa"/>
          </w:tcPr>
          <w:p>
            <w:pPr>
              <w:pStyle w:val="TableParagraph"/>
              <w:spacing w:line="232" w:lineRule="exact"/>
              <w:ind w:left="90" w:right="79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Borno</w:t>
            </w:r>
          </w:p>
        </w:tc>
        <w:tc>
          <w:tcPr>
            <w:tcW w:w="1892" w:type="dxa"/>
          </w:tcPr>
          <w:p>
            <w:pPr>
              <w:pStyle w:val="TableParagraph"/>
              <w:spacing w:line="232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0.3811</w:t>
            </w:r>
          </w:p>
        </w:tc>
        <w:tc>
          <w:tcPr>
            <w:tcW w:w="1709" w:type="dxa"/>
          </w:tcPr>
          <w:p>
            <w:pPr>
              <w:pStyle w:val="TableParagraph"/>
              <w:spacing w:line="232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0.3978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0.4420</w:t>
            </w:r>
          </w:p>
        </w:tc>
        <w:tc>
          <w:tcPr>
            <w:tcW w:w="1704" w:type="dxa"/>
          </w:tcPr>
          <w:p>
            <w:pPr>
              <w:pStyle w:val="TableParagraph"/>
              <w:spacing w:line="232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0.4514</w:t>
            </w:r>
          </w:p>
        </w:tc>
      </w:tr>
      <w:tr>
        <w:trPr>
          <w:trHeight w:val="253" w:hRule="atLeast"/>
        </w:trPr>
        <w:tc>
          <w:tcPr>
            <w:tcW w:w="2335" w:type="dxa"/>
          </w:tcPr>
          <w:p>
            <w:pPr>
              <w:pStyle w:val="TableParagraph"/>
              <w:spacing w:line="234" w:lineRule="exact"/>
              <w:ind w:left="90" w:right="82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Gombe</w:t>
            </w: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0.3230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0.3427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0.4154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0.4488</w:t>
            </w:r>
          </w:p>
        </w:tc>
      </w:tr>
      <w:tr>
        <w:trPr>
          <w:trHeight w:val="251" w:hRule="atLeast"/>
        </w:trPr>
        <w:tc>
          <w:tcPr>
            <w:tcW w:w="2335" w:type="dxa"/>
          </w:tcPr>
          <w:p>
            <w:pPr>
              <w:pStyle w:val="TableParagraph"/>
              <w:spacing w:line="232" w:lineRule="exact"/>
              <w:ind w:left="90" w:right="78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Taraba</w:t>
            </w:r>
          </w:p>
        </w:tc>
        <w:tc>
          <w:tcPr>
            <w:tcW w:w="1892" w:type="dxa"/>
          </w:tcPr>
          <w:p>
            <w:pPr>
              <w:pStyle w:val="TableParagraph"/>
              <w:spacing w:line="232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0.3516</w:t>
            </w:r>
          </w:p>
        </w:tc>
        <w:tc>
          <w:tcPr>
            <w:tcW w:w="1709" w:type="dxa"/>
          </w:tcPr>
          <w:p>
            <w:pPr>
              <w:pStyle w:val="TableParagraph"/>
              <w:spacing w:line="232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0.3647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0.3931</w:t>
            </w:r>
          </w:p>
        </w:tc>
        <w:tc>
          <w:tcPr>
            <w:tcW w:w="1704" w:type="dxa"/>
          </w:tcPr>
          <w:p>
            <w:pPr>
              <w:pStyle w:val="TableParagraph"/>
              <w:spacing w:line="232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0.4401</w:t>
            </w:r>
          </w:p>
        </w:tc>
      </w:tr>
      <w:tr>
        <w:trPr>
          <w:trHeight w:val="253" w:hRule="atLeast"/>
        </w:trPr>
        <w:tc>
          <w:tcPr>
            <w:tcW w:w="2335" w:type="dxa"/>
          </w:tcPr>
          <w:p>
            <w:pPr>
              <w:pStyle w:val="TableParagraph"/>
              <w:spacing w:line="233" w:lineRule="exact" w:before="1"/>
              <w:ind w:left="90" w:right="81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Yobe</w:t>
            </w: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0.3212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0.3213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0.3972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0.4338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2"/>
          <w:sz w:val="20"/>
        </w:rPr>
        <w:t> </w:t>
      </w:r>
      <w:r>
        <w:rPr>
          <w:sz w:val="20"/>
        </w:rPr>
        <w:t>Researcher’s Computations</w:t>
      </w:r>
      <w:r>
        <w:rPr>
          <w:spacing w:val="-1"/>
          <w:sz w:val="20"/>
        </w:rPr>
        <w:t> </w:t>
      </w:r>
      <w:r>
        <w:rPr>
          <w:sz w:val="20"/>
        </w:rPr>
        <w:t>(from</w:t>
      </w:r>
      <w:r>
        <w:rPr>
          <w:spacing w:val="-4"/>
          <w:sz w:val="20"/>
        </w:rPr>
        <w:t> </w:t>
      </w:r>
      <w:r>
        <w:rPr>
          <w:sz w:val="20"/>
        </w:rPr>
        <w:t>NBS</w:t>
      </w:r>
      <w:r>
        <w:rPr>
          <w:spacing w:val="-3"/>
          <w:sz w:val="20"/>
        </w:rPr>
        <w:t> </w:t>
      </w:r>
      <w:r>
        <w:rPr>
          <w:sz w:val="20"/>
        </w:rPr>
        <w:t>NGHPS</w:t>
      </w:r>
      <w:r>
        <w:rPr>
          <w:spacing w:val="-3"/>
          <w:sz w:val="20"/>
        </w:rPr>
        <w:t> </w:t>
      </w:r>
      <w:r>
        <w:rPr>
          <w:sz w:val="20"/>
        </w:rPr>
        <w:t>Waves)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120" w:right="115"/>
        <w:jc w:val="both"/>
      </w:pPr>
      <w:r>
        <w:rPr/>
        <w:t>A break-down of income disparity among household by states in North-Eastern zone reveals that</w:t>
      </w:r>
      <w:r>
        <w:rPr>
          <w:spacing w:val="1"/>
        </w:rPr>
        <w:t> </w:t>
      </w:r>
      <w:r>
        <w:rPr/>
        <w:t>Yobe State recorded the lowest index in the North-East zone with 0.434, compared to Adamawa</w:t>
      </w:r>
      <w:r>
        <w:rPr>
          <w:spacing w:val="1"/>
        </w:rPr>
        <w:t> </w:t>
      </w:r>
      <w:r>
        <w:rPr/>
        <w:t>State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0.455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NGHPS</w:t>
      </w:r>
      <w:r>
        <w:rPr>
          <w:spacing w:val="-1"/>
        </w:rPr>
        <w:t> </w:t>
      </w:r>
      <w:r>
        <w:rPr/>
        <w:t>Wave</w:t>
      </w:r>
      <w:r>
        <w:rPr>
          <w:spacing w:val="-5"/>
        </w:rPr>
        <w:t> </w:t>
      </w:r>
      <w:r>
        <w:rPr/>
        <w:t>4</w:t>
      </w:r>
      <w:r>
        <w:rPr>
          <w:spacing w:val="-4"/>
        </w:rPr>
        <w:t> </w:t>
      </w:r>
      <w:r>
        <w:rPr/>
        <w:t>(Table</w:t>
      </w:r>
      <w:r>
        <w:rPr>
          <w:spacing w:val="-3"/>
        </w:rPr>
        <w:t> </w:t>
      </w:r>
      <w:r>
        <w:rPr/>
        <w:t>5.6).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also</w:t>
      </w:r>
      <w:r>
        <w:rPr>
          <w:spacing w:val="-3"/>
        </w:rPr>
        <w:t> </w:t>
      </w:r>
      <w:r>
        <w:rPr/>
        <w:t>surprising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World</w:t>
      </w:r>
      <w:r>
        <w:rPr>
          <w:spacing w:val="-4"/>
        </w:rPr>
        <w:t> </w:t>
      </w:r>
      <w:r>
        <w:rPr/>
        <w:t>Bank’s</w:t>
      </w:r>
      <w:r>
        <w:rPr>
          <w:spacing w:val="-57"/>
        </w:rPr>
        <w:t> </w:t>
      </w:r>
      <w:r>
        <w:rPr/>
        <w:t>calculations based on 2003/2004 NLSS and 2012/2013 NGHPS also revealed that, Gini estimate</w:t>
      </w:r>
      <w:r>
        <w:rPr>
          <w:spacing w:val="1"/>
        </w:rPr>
        <w:t> </w:t>
      </w:r>
      <w:r>
        <w:rPr/>
        <w:t>increased in the region by almost 0.04 points from 0.332 in 2003 to 0.37 in 2013 (World Bank,</w:t>
      </w:r>
      <w:r>
        <w:rPr>
          <w:spacing w:val="1"/>
        </w:rPr>
        <w:t> </w:t>
      </w:r>
      <w:r>
        <w:rPr/>
        <w:t>2016:33). This implies that every effort targeting at reducing poverty in the region, nonetheless,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not have</w:t>
      </w:r>
      <w:r>
        <w:rPr>
          <w:spacing w:val="-1"/>
        </w:rPr>
        <w:t> </w:t>
      </w:r>
      <w:r>
        <w:rPr/>
        <w:t>been more</w:t>
      </w:r>
      <w:r>
        <w:rPr>
          <w:spacing w:val="-1"/>
        </w:rPr>
        <w:t> </w:t>
      </w:r>
      <w:r>
        <w:rPr/>
        <w:t>different.</w:t>
      </w:r>
    </w:p>
    <w:p>
      <w:pPr>
        <w:pStyle w:val="BodyText"/>
        <w:spacing w:line="360" w:lineRule="auto" w:before="214"/>
        <w:ind w:left="120" w:right="114"/>
        <w:jc w:val="both"/>
      </w:pPr>
      <w:r>
        <w:rPr>
          <w:spacing w:val="-1"/>
        </w:rPr>
        <w:t>Table</w:t>
      </w:r>
      <w:r>
        <w:rPr>
          <w:spacing w:val="-14"/>
        </w:rPr>
        <w:t> </w:t>
      </w:r>
      <w:r>
        <w:rPr>
          <w:spacing w:val="-1"/>
        </w:rPr>
        <w:t>5.7</w:t>
      </w:r>
      <w:r>
        <w:rPr>
          <w:spacing w:val="-13"/>
        </w:rPr>
        <w:t> </w:t>
      </w:r>
      <w:r>
        <w:rPr/>
        <w:t>shown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North-West</w:t>
      </w:r>
      <w:r>
        <w:rPr>
          <w:spacing w:val="-13"/>
        </w:rPr>
        <w:t> </w:t>
      </w:r>
      <w:r>
        <w:rPr/>
        <w:t>zone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Nigeria.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regional</w:t>
      </w:r>
      <w:r>
        <w:rPr>
          <w:spacing w:val="-13"/>
        </w:rPr>
        <w:t> </w:t>
      </w:r>
      <w:r>
        <w:rPr/>
        <w:t>average</w:t>
      </w:r>
      <w:r>
        <w:rPr>
          <w:spacing w:val="-14"/>
        </w:rPr>
        <w:t> </w:t>
      </w:r>
      <w:r>
        <w:rPr/>
        <w:t>was</w:t>
      </w:r>
      <w:r>
        <w:rPr>
          <w:spacing w:val="-13"/>
        </w:rPr>
        <w:t> </w:t>
      </w:r>
      <w:r>
        <w:rPr/>
        <w:t>estimated</w:t>
      </w:r>
      <w:r>
        <w:rPr>
          <w:spacing w:val="-58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0.336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Wave</w:t>
      </w:r>
      <w:r>
        <w:rPr>
          <w:spacing w:val="-9"/>
        </w:rPr>
        <w:t> </w:t>
      </w:r>
      <w:r>
        <w:rPr/>
        <w:t>I</w:t>
      </w:r>
      <w:r>
        <w:rPr>
          <w:spacing w:val="-12"/>
        </w:rPr>
        <w:t> </w:t>
      </w:r>
      <w:r>
        <w:rPr/>
        <w:t>(2010).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rose</w:t>
      </w:r>
      <w:r>
        <w:rPr>
          <w:spacing w:val="-11"/>
        </w:rPr>
        <w:t> </w:t>
      </w:r>
      <w:r>
        <w:rPr/>
        <w:t>slightly</w:t>
      </w:r>
      <w:r>
        <w:rPr>
          <w:spacing w:val="-15"/>
        </w:rPr>
        <w:t> </w:t>
      </w:r>
      <w:r>
        <w:rPr/>
        <w:t>to</w:t>
      </w:r>
      <w:r>
        <w:rPr>
          <w:spacing w:val="-10"/>
        </w:rPr>
        <w:t> </w:t>
      </w:r>
      <w:r>
        <w:rPr/>
        <w:t>0.414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Wave</w:t>
      </w:r>
      <w:r>
        <w:rPr>
          <w:spacing w:val="-11"/>
        </w:rPr>
        <w:t> </w:t>
      </w:r>
      <w:r>
        <w:rPr/>
        <w:t>2</w:t>
      </w:r>
      <w:r>
        <w:rPr>
          <w:spacing w:val="-10"/>
        </w:rPr>
        <w:t> </w:t>
      </w:r>
      <w:r>
        <w:rPr/>
        <w:t>(2016),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further</w:t>
      </w:r>
      <w:r>
        <w:rPr>
          <w:spacing w:val="-11"/>
        </w:rPr>
        <w:t> </w:t>
      </w:r>
      <w:r>
        <w:rPr/>
        <w:t>raised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0.451</w:t>
      </w:r>
      <w:r>
        <w:rPr>
          <w:spacing w:val="-57"/>
        </w:rPr>
        <w:t> </w:t>
      </w:r>
      <w:r>
        <w:rPr/>
        <w:t>in Wave 4 (2019). Like North-East, there is a rising income inequality in North-West region over</w:t>
      </w:r>
      <w:r>
        <w:rPr>
          <w:spacing w:val="-57"/>
        </w:rPr>
        <w:t> </w:t>
      </w:r>
      <w:r>
        <w:rPr>
          <w:spacing w:val="-1"/>
        </w:rPr>
        <w:t>time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Nigeria.</w:t>
      </w:r>
      <w:r>
        <w:rPr>
          <w:spacing w:val="-14"/>
        </w:rPr>
        <w:t> </w:t>
      </w:r>
      <w:r>
        <w:rPr/>
        <w:t>By</w:t>
      </w:r>
      <w:r>
        <w:rPr>
          <w:spacing w:val="-17"/>
        </w:rPr>
        <w:t> </w:t>
      </w:r>
      <w:r>
        <w:rPr/>
        <w:t>comparison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North-East,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Gini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maybe</w:t>
      </w:r>
      <w:r>
        <w:rPr>
          <w:spacing w:val="-13"/>
        </w:rPr>
        <w:t> </w:t>
      </w:r>
      <w:r>
        <w:rPr/>
        <w:t>attributable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income</w:t>
      </w:r>
      <w:r>
        <w:rPr>
          <w:spacing w:val="-13"/>
        </w:rPr>
        <w:t> </w:t>
      </w:r>
      <w:r>
        <w:rPr/>
        <w:t>growth</w:t>
      </w:r>
      <w:r>
        <w:rPr>
          <w:spacing w:val="-57"/>
        </w:rPr>
        <w:t> </w:t>
      </w:r>
      <w:r>
        <w:rPr/>
        <w:t>though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figure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greater</w:t>
      </w:r>
      <w:r>
        <w:rPr>
          <w:spacing w:val="-7"/>
        </w:rPr>
        <w:t> </w:t>
      </w:r>
      <w:r>
        <w:rPr/>
        <w:t>than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North</w:t>
      </w:r>
      <w:r>
        <w:rPr>
          <w:spacing w:val="-6"/>
        </w:rPr>
        <w:t> </w:t>
      </w:r>
      <w:r>
        <w:rPr/>
        <w:t>East</w:t>
      </w:r>
      <w:r>
        <w:rPr>
          <w:spacing w:val="-6"/>
        </w:rPr>
        <w:t> </w:t>
      </w:r>
      <w:r>
        <w:rPr/>
        <w:t>average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0.005</w:t>
      </w:r>
      <w:r>
        <w:rPr>
          <w:spacing w:val="-6"/>
        </w:rPr>
        <w:t> </w:t>
      </w:r>
      <w:r>
        <w:rPr/>
        <w:t>points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2019.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state</w:t>
      </w:r>
      <w:r>
        <w:rPr>
          <w:spacing w:val="-7"/>
        </w:rPr>
        <w:t> </w:t>
      </w:r>
      <w:r>
        <w:rPr/>
        <w:t>level,</w:t>
      </w:r>
      <w:r>
        <w:rPr>
          <w:spacing w:val="-57"/>
        </w:rPr>
        <w:t> </w:t>
      </w:r>
      <w:r>
        <w:rPr/>
        <w:t>Kano</w:t>
      </w:r>
      <w:r>
        <w:rPr>
          <w:spacing w:val="-11"/>
        </w:rPr>
        <w:t> </w:t>
      </w:r>
      <w:r>
        <w:rPr/>
        <w:t>State</w:t>
      </w:r>
      <w:r>
        <w:rPr>
          <w:spacing w:val="-12"/>
        </w:rPr>
        <w:t> </w:t>
      </w:r>
      <w:r>
        <w:rPr/>
        <w:t>recorded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highest</w:t>
      </w:r>
      <w:r>
        <w:rPr>
          <w:spacing w:val="-10"/>
        </w:rPr>
        <w:t> </w:t>
      </w:r>
      <w:r>
        <w:rPr/>
        <w:t>Gini</w:t>
      </w:r>
      <w:r>
        <w:rPr>
          <w:spacing w:val="-11"/>
        </w:rPr>
        <w:t> </w:t>
      </w:r>
      <w:r>
        <w:rPr/>
        <w:t>index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0.45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Wave</w:t>
      </w:r>
      <w:r>
        <w:rPr>
          <w:spacing w:val="-12"/>
        </w:rPr>
        <w:t> </w:t>
      </w:r>
      <w:r>
        <w:rPr/>
        <w:t>4</w:t>
      </w:r>
      <w:r>
        <w:rPr>
          <w:spacing w:val="-11"/>
        </w:rPr>
        <w:t> </w:t>
      </w:r>
      <w:r>
        <w:rPr/>
        <w:t>(2019).</w:t>
      </w:r>
      <w:r>
        <w:rPr>
          <w:spacing w:val="-10"/>
        </w:rPr>
        <w:t> </w:t>
      </w:r>
      <w:r>
        <w:rPr/>
        <w:t>While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computed</w:t>
      </w:r>
      <w:r>
        <w:rPr>
          <w:spacing w:val="-11"/>
        </w:rPr>
        <w:t> </w:t>
      </w:r>
      <w:r>
        <w:rPr/>
        <w:t>index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BodyText"/>
        <w:spacing w:line="360" w:lineRule="auto" w:before="74"/>
        <w:ind w:left="120" w:right="115"/>
        <w:jc w:val="both"/>
      </w:pP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  <w:sz w:val="23"/>
        </w:rPr>
        <w:t>Zamfara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State</w:t>
      </w:r>
      <w:r>
        <w:rPr>
          <w:spacing w:val="-10"/>
          <w:sz w:val="23"/>
        </w:rPr>
        <w:t> </w:t>
      </w:r>
      <w:r>
        <w:rPr/>
        <w:t>(0.437)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>
          <w:sz w:val="23"/>
        </w:rPr>
        <w:t>lowest</w:t>
      </w:r>
      <w:r>
        <w:rPr>
          <w:spacing w:val="-11"/>
          <w:sz w:val="23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same</w:t>
      </w:r>
      <w:r>
        <w:rPr>
          <w:spacing w:val="-13"/>
        </w:rPr>
        <w:t> </w:t>
      </w:r>
      <w:r>
        <w:rPr/>
        <w:t>period.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result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>
          <w:sz w:val="23"/>
        </w:rPr>
        <w:t>also</w:t>
      </w:r>
      <w:r>
        <w:rPr>
          <w:spacing w:val="-12"/>
          <w:sz w:val="23"/>
        </w:rPr>
        <w:t> </w:t>
      </w:r>
      <w:r>
        <w:rPr>
          <w:sz w:val="23"/>
        </w:rPr>
        <w:t>similar</w:t>
      </w:r>
      <w:r>
        <w:rPr>
          <w:spacing w:val="-9"/>
          <w:sz w:val="23"/>
        </w:rPr>
        <w:t> </w:t>
      </w:r>
      <w:r>
        <w:rPr/>
        <w:t>to</w:t>
      </w:r>
      <w:r>
        <w:rPr>
          <w:spacing w:val="-14"/>
        </w:rPr>
        <w:t> </w:t>
      </w:r>
      <w:r>
        <w:rPr/>
        <w:t>World</w:t>
      </w:r>
      <w:r>
        <w:rPr>
          <w:spacing w:val="-15"/>
        </w:rPr>
        <w:t> </w:t>
      </w:r>
      <w:r>
        <w:rPr/>
        <w:t>Bank’s</w:t>
      </w:r>
      <w:r>
        <w:rPr>
          <w:spacing w:val="-58"/>
        </w:rPr>
        <w:t> </w:t>
      </w:r>
      <w:r>
        <w:rPr/>
        <w:t>calculation that Gini estimate rose by almost 0.013 points in the region from 0.33 in 2003 to 0.35</w:t>
      </w:r>
      <w:r>
        <w:rPr>
          <w:spacing w:val="-57"/>
        </w:rPr>
        <w:t> </w:t>
      </w:r>
      <w:r>
        <w:rPr/>
        <w:t>in 2013</w:t>
      </w:r>
      <w:r>
        <w:rPr>
          <w:spacing w:val="-1"/>
        </w:rPr>
        <w:t> </w:t>
      </w:r>
      <w:r>
        <w:rPr/>
        <w:t>(World Bank, 2016:33).</w:t>
      </w:r>
    </w:p>
    <w:p>
      <w:pPr>
        <w:pStyle w:val="Heading4"/>
        <w:spacing w:before="187" w:after="3"/>
        <w:ind w:left="120"/>
      </w:pPr>
      <w:r>
        <w:rPr/>
        <w:t>Table</w:t>
      </w:r>
      <w:r>
        <w:rPr>
          <w:spacing w:val="-3"/>
        </w:rPr>
        <w:t> </w:t>
      </w:r>
      <w:r>
        <w:rPr/>
        <w:t>5.7:</w:t>
      </w:r>
      <w:r>
        <w:rPr>
          <w:spacing w:val="-2"/>
        </w:rPr>
        <w:t> </w:t>
      </w:r>
      <w:r>
        <w:rPr/>
        <w:t>Gini-Coefficients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Households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Zone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1892"/>
        <w:gridCol w:w="1709"/>
        <w:gridCol w:w="1712"/>
        <w:gridCol w:w="1704"/>
      </w:tblGrid>
      <w:tr>
        <w:trPr>
          <w:trHeight w:val="253" w:hRule="atLeast"/>
        </w:trPr>
        <w:tc>
          <w:tcPr>
            <w:tcW w:w="2335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2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1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(2010)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2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(2013)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(2016)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9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4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(2019)</w:t>
            </w:r>
          </w:p>
        </w:tc>
      </w:tr>
      <w:tr>
        <w:trPr>
          <w:trHeight w:val="251" w:hRule="atLeast"/>
        </w:trPr>
        <w:tc>
          <w:tcPr>
            <w:tcW w:w="2335" w:type="dxa"/>
          </w:tcPr>
          <w:p>
            <w:pPr>
              <w:pStyle w:val="TableParagraph"/>
              <w:spacing w:line="232" w:lineRule="exact"/>
              <w:ind w:left="107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North-West</w:t>
            </w:r>
            <w:r>
              <w:rPr>
                <w:rFonts w:ascii="Times New Roman"/>
                <w:b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Average</w:t>
            </w:r>
          </w:p>
        </w:tc>
        <w:tc>
          <w:tcPr>
            <w:tcW w:w="1892" w:type="dxa"/>
          </w:tcPr>
          <w:p>
            <w:pPr>
              <w:pStyle w:val="TableParagraph"/>
              <w:spacing w:line="232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0.3363</w:t>
            </w:r>
          </w:p>
        </w:tc>
        <w:tc>
          <w:tcPr>
            <w:tcW w:w="1709" w:type="dxa"/>
          </w:tcPr>
          <w:p>
            <w:pPr>
              <w:pStyle w:val="TableParagraph"/>
              <w:spacing w:line="232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0.3391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0.4114</w:t>
            </w:r>
          </w:p>
        </w:tc>
        <w:tc>
          <w:tcPr>
            <w:tcW w:w="1704" w:type="dxa"/>
          </w:tcPr>
          <w:p>
            <w:pPr>
              <w:pStyle w:val="TableParagraph"/>
              <w:spacing w:line="232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0.4513</w:t>
            </w:r>
          </w:p>
        </w:tc>
      </w:tr>
      <w:tr>
        <w:trPr>
          <w:trHeight w:val="253" w:hRule="atLeast"/>
        </w:trPr>
        <w:tc>
          <w:tcPr>
            <w:tcW w:w="2335" w:type="dxa"/>
          </w:tcPr>
          <w:p>
            <w:pPr>
              <w:pStyle w:val="TableParagraph"/>
              <w:spacing w:line="234" w:lineRule="exact"/>
              <w:ind w:left="90" w:right="81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Jigawa</w:t>
            </w: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0.3441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0.3531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0.3989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0.4471</w:t>
            </w:r>
          </w:p>
        </w:tc>
      </w:tr>
      <w:tr>
        <w:trPr>
          <w:trHeight w:val="251" w:hRule="atLeast"/>
        </w:trPr>
        <w:tc>
          <w:tcPr>
            <w:tcW w:w="2335" w:type="dxa"/>
          </w:tcPr>
          <w:p>
            <w:pPr>
              <w:pStyle w:val="TableParagraph"/>
              <w:spacing w:line="232" w:lineRule="exact"/>
              <w:ind w:left="90" w:right="83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Kano</w:t>
            </w:r>
          </w:p>
        </w:tc>
        <w:tc>
          <w:tcPr>
            <w:tcW w:w="1892" w:type="dxa"/>
          </w:tcPr>
          <w:p>
            <w:pPr>
              <w:pStyle w:val="TableParagraph"/>
              <w:spacing w:line="232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0.3704</w:t>
            </w:r>
          </w:p>
        </w:tc>
        <w:tc>
          <w:tcPr>
            <w:tcW w:w="1709" w:type="dxa"/>
          </w:tcPr>
          <w:p>
            <w:pPr>
              <w:pStyle w:val="TableParagraph"/>
              <w:spacing w:line="232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0.3783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0.4514</w:t>
            </w:r>
          </w:p>
        </w:tc>
        <w:tc>
          <w:tcPr>
            <w:tcW w:w="1704" w:type="dxa"/>
          </w:tcPr>
          <w:p>
            <w:pPr>
              <w:pStyle w:val="TableParagraph"/>
              <w:spacing w:line="232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0.4690</w:t>
            </w:r>
          </w:p>
        </w:tc>
      </w:tr>
      <w:tr>
        <w:trPr>
          <w:trHeight w:val="253" w:hRule="atLeast"/>
        </w:trPr>
        <w:tc>
          <w:tcPr>
            <w:tcW w:w="2335" w:type="dxa"/>
          </w:tcPr>
          <w:p>
            <w:pPr>
              <w:pStyle w:val="TableParagraph"/>
              <w:spacing w:line="233" w:lineRule="exact" w:before="1"/>
              <w:ind w:left="90" w:right="81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Katsina</w:t>
            </w: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0.3176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0.3271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0.4115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0.4502</w:t>
            </w:r>
          </w:p>
        </w:tc>
      </w:tr>
      <w:tr>
        <w:trPr>
          <w:trHeight w:val="253" w:hRule="atLeast"/>
        </w:trPr>
        <w:tc>
          <w:tcPr>
            <w:tcW w:w="2335" w:type="dxa"/>
          </w:tcPr>
          <w:p>
            <w:pPr>
              <w:pStyle w:val="TableParagraph"/>
              <w:spacing w:line="234" w:lineRule="exact"/>
              <w:ind w:left="90" w:right="81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Kaduna</w:t>
            </w: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0.3499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0.3583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0.4353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0.4631</w:t>
            </w:r>
          </w:p>
        </w:tc>
      </w:tr>
      <w:tr>
        <w:trPr>
          <w:trHeight w:val="252" w:hRule="atLeast"/>
        </w:trPr>
        <w:tc>
          <w:tcPr>
            <w:tcW w:w="2335" w:type="dxa"/>
          </w:tcPr>
          <w:p>
            <w:pPr>
              <w:pStyle w:val="TableParagraph"/>
              <w:spacing w:line="232" w:lineRule="exact"/>
              <w:ind w:left="90" w:right="80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Kebbi</w:t>
            </w:r>
          </w:p>
        </w:tc>
        <w:tc>
          <w:tcPr>
            <w:tcW w:w="1892" w:type="dxa"/>
          </w:tcPr>
          <w:p>
            <w:pPr>
              <w:pStyle w:val="TableParagraph"/>
              <w:spacing w:line="232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0.3500</w:t>
            </w:r>
          </w:p>
        </w:tc>
        <w:tc>
          <w:tcPr>
            <w:tcW w:w="1709" w:type="dxa"/>
          </w:tcPr>
          <w:p>
            <w:pPr>
              <w:pStyle w:val="TableParagraph"/>
              <w:spacing w:line="232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0.3572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0.4051</w:t>
            </w:r>
          </w:p>
        </w:tc>
        <w:tc>
          <w:tcPr>
            <w:tcW w:w="1704" w:type="dxa"/>
          </w:tcPr>
          <w:p>
            <w:pPr>
              <w:pStyle w:val="TableParagraph"/>
              <w:spacing w:line="232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0.4492</w:t>
            </w:r>
          </w:p>
        </w:tc>
      </w:tr>
      <w:tr>
        <w:trPr>
          <w:trHeight w:val="254" w:hRule="atLeast"/>
        </w:trPr>
        <w:tc>
          <w:tcPr>
            <w:tcW w:w="2335" w:type="dxa"/>
          </w:tcPr>
          <w:p>
            <w:pPr>
              <w:pStyle w:val="TableParagraph"/>
              <w:spacing w:line="234" w:lineRule="exact"/>
              <w:ind w:left="90" w:right="82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Sokoto</w:t>
            </w: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0.3187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0.3243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0.3964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0.4436</w:t>
            </w:r>
          </w:p>
        </w:tc>
      </w:tr>
      <w:tr>
        <w:trPr>
          <w:trHeight w:val="251" w:hRule="atLeast"/>
        </w:trPr>
        <w:tc>
          <w:tcPr>
            <w:tcW w:w="2335" w:type="dxa"/>
          </w:tcPr>
          <w:p>
            <w:pPr>
              <w:pStyle w:val="TableParagraph"/>
              <w:spacing w:line="232" w:lineRule="exact"/>
              <w:ind w:left="770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Zamfara</w:t>
            </w:r>
          </w:p>
        </w:tc>
        <w:tc>
          <w:tcPr>
            <w:tcW w:w="1892" w:type="dxa"/>
          </w:tcPr>
          <w:p>
            <w:pPr>
              <w:pStyle w:val="TableParagraph"/>
              <w:spacing w:line="232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0.3031</w:t>
            </w:r>
          </w:p>
        </w:tc>
        <w:tc>
          <w:tcPr>
            <w:tcW w:w="1709" w:type="dxa"/>
          </w:tcPr>
          <w:p>
            <w:pPr>
              <w:pStyle w:val="TableParagraph"/>
              <w:spacing w:line="232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0.2752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0.3813</w:t>
            </w:r>
          </w:p>
        </w:tc>
        <w:tc>
          <w:tcPr>
            <w:tcW w:w="1704" w:type="dxa"/>
          </w:tcPr>
          <w:p>
            <w:pPr>
              <w:pStyle w:val="TableParagraph"/>
              <w:spacing w:line="232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0.4371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Researcher’s Computation</w:t>
      </w:r>
      <w:r>
        <w:rPr>
          <w:spacing w:val="-1"/>
          <w:sz w:val="20"/>
        </w:rPr>
        <w:t> </w:t>
      </w:r>
      <w:r>
        <w:rPr>
          <w:sz w:val="20"/>
        </w:rPr>
        <w:t>(from</w:t>
      </w:r>
      <w:r>
        <w:rPr>
          <w:spacing w:val="-6"/>
          <w:sz w:val="20"/>
        </w:rPr>
        <w:t> </w:t>
      </w:r>
      <w:r>
        <w:rPr>
          <w:sz w:val="20"/>
        </w:rPr>
        <w:t>NBS</w:t>
      </w:r>
      <w:r>
        <w:rPr>
          <w:spacing w:val="-2"/>
          <w:sz w:val="20"/>
        </w:rPr>
        <w:t> </w:t>
      </w:r>
      <w:r>
        <w:rPr>
          <w:sz w:val="20"/>
        </w:rPr>
        <w:t>NGHS</w:t>
      </w:r>
      <w:r>
        <w:rPr>
          <w:spacing w:val="-3"/>
          <w:sz w:val="20"/>
        </w:rPr>
        <w:t> </w:t>
      </w:r>
      <w:r>
        <w:rPr>
          <w:sz w:val="20"/>
        </w:rPr>
        <w:t>Wave</w:t>
      </w:r>
      <w:r>
        <w:rPr>
          <w:spacing w:val="1"/>
          <w:sz w:val="20"/>
        </w:rPr>
        <w:t> </w:t>
      </w:r>
      <w:r>
        <w:rPr>
          <w:sz w:val="20"/>
        </w:rPr>
        <w:t>1,</w:t>
      </w:r>
      <w:r>
        <w:rPr>
          <w:spacing w:val="-2"/>
          <w:sz w:val="20"/>
        </w:rPr>
        <w:t> </w:t>
      </w:r>
      <w:r>
        <w:rPr>
          <w:sz w:val="20"/>
        </w:rPr>
        <w:t>2 and</w:t>
      </w:r>
      <w:r>
        <w:rPr>
          <w:spacing w:val="-1"/>
          <w:sz w:val="20"/>
        </w:rPr>
        <w:t> </w:t>
      </w:r>
      <w:r>
        <w:rPr>
          <w:sz w:val="20"/>
        </w:rPr>
        <w:t>3)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120" w:right="113"/>
        <w:jc w:val="both"/>
      </w:pPr>
      <w:r>
        <w:rPr/>
        <w:t>The</w:t>
      </w:r>
      <w:r>
        <w:rPr>
          <w:spacing w:val="-11"/>
        </w:rPr>
        <w:t> </w:t>
      </w:r>
      <w:r>
        <w:rPr/>
        <w:t>indexes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North-Central</w:t>
      </w:r>
      <w:r>
        <w:rPr>
          <w:spacing w:val="-9"/>
        </w:rPr>
        <w:t> </w:t>
      </w:r>
      <w:r>
        <w:rPr/>
        <w:t>zone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presented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Table</w:t>
      </w:r>
      <w:r>
        <w:rPr>
          <w:spacing w:val="-9"/>
        </w:rPr>
        <w:t> </w:t>
      </w:r>
      <w:r>
        <w:rPr/>
        <w:t>5.8.</w:t>
      </w:r>
      <w:r>
        <w:rPr>
          <w:spacing w:val="-7"/>
        </w:rPr>
        <w:t> </w:t>
      </w:r>
      <w:r>
        <w:rPr/>
        <w:t>Its</w:t>
      </w:r>
      <w:r>
        <w:rPr>
          <w:spacing w:val="-8"/>
        </w:rPr>
        <w:t> </w:t>
      </w:r>
      <w:r>
        <w:rPr/>
        <w:t>regional</w:t>
      </w:r>
      <w:r>
        <w:rPr>
          <w:spacing w:val="-9"/>
        </w:rPr>
        <w:t> </w:t>
      </w:r>
      <w:r>
        <w:rPr/>
        <w:t>average</w:t>
      </w:r>
      <w:r>
        <w:rPr>
          <w:spacing w:val="-8"/>
        </w:rPr>
        <w:t> </w:t>
      </w:r>
      <w:r>
        <w:rPr/>
        <w:t>(like</w:t>
      </w:r>
      <w:r>
        <w:rPr>
          <w:spacing w:val="-9"/>
        </w:rPr>
        <w:t> </w:t>
      </w:r>
      <w:r>
        <w:rPr/>
        <w:t>North-East</w:t>
      </w:r>
      <w:r>
        <w:rPr>
          <w:spacing w:val="-58"/>
        </w:rPr>
        <w:t> </w:t>
      </w:r>
      <w:r>
        <w:rPr/>
        <w:t>and</w:t>
      </w:r>
      <w:r>
        <w:rPr>
          <w:spacing w:val="-4"/>
        </w:rPr>
        <w:t> </w:t>
      </w:r>
      <w:r>
        <w:rPr/>
        <w:t>North-West)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rose</w:t>
      </w:r>
      <w:r>
        <w:rPr>
          <w:spacing w:val="-4"/>
        </w:rPr>
        <w:t> </w:t>
      </w:r>
      <w:r>
        <w:rPr/>
        <w:t>slightly</w:t>
      </w:r>
      <w:r>
        <w:rPr>
          <w:spacing w:val="-8"/>
        </w:rPr>
        <w:t> </w:t>
      </w:r>
      <w:r>
        <w:rPr/>
        <w:t>from</w:t>
      </w:r>
      <w:r>
        <w:rPr>
          <w:spacing w:val="-3"/>
        </w:rPr>
        <w:t> </w:t>
      </w:r>
      <w:r>
        <w:rPr/>
        <w:t>0.377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2010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0.407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2016,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further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0.4546</w:t>
      </w:r>
      <w:r>
        <w:rPr>
          <w:spacing w:val="-4"/>
        </w:rPr>
        <w:t> </w:t>
      </w:r>
      <w:r>
        <w:rPr/>
        <w:t>in</w:t>
      </w:r>
      <w:r>
        <w:rPr>
          <w:spacing w:val="-57"/>
        </w:rPr>
        <w:t> </w:t>
      </w:r>
      <w:r>
        <w:rPr/>
        <w:t>2019. This is not surprising as the World Bank calculation show that the Gini for the region rose</w:t>
      </w:r>
      <w:r>
        <w:rPr>
          <w:spacing w:val="1"/>
        </w:rPr>
        <w:t> </w:t>
      </w:r>
      <w:r>
        <w:rPr/>
        <w:t>by</w:t>
      </w:r>
      <w:r>
        <w:rPr>
          <w:spacing w:val="-11"/>
        </w:rPr>
        <w:t> </w:t>
      </w:r>
      <w:r>
        <w:rPr/>
        <w:t>almost</w:t>
      </w:r>
      <w:r>
        <w:rPr>
          <w:spacing w:val="-6"/>
        </w:rPr>
        <w:t> </w:t>
      </w:r>
      <w:r>
        <w:rPr/>
        <w:t>0.018</w:t>
      </w:r>
      <w:r>
        <w:rPr>
          <w:spacing w:val="-5"/>
        </w:rPr>
        <w:t> </w:t>
      </w:r>
      <w:r>
        <w:rPr/>
        <w:t>points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0.336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2003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0.354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2013</w:t>
      </w:r>
      <w:r>
        <w:rPr>
          <w:spacing w:val="-5"/>
        </w:rPr>
        <w:t> </w:t>
      </w:r>
      <w:r>
        <w:rPr/>
        <w:t>(World</w:t>
      </w:r>
      <w:r>
        <w:rPr>
          <w:spacing w:val="-7"/>
        </w:rPr>
        <w:t> </w:t>
      </w:r>
      <w:r>
        <w:rPr/>
        <w:t>Bank,</w:t>
      </w:r>
      <w:r>
        <w:rPr>
          <w:spacing w:val="-5"/>
        </w:rPr>
        <w:t> </w:t>
      </w:r>
      <w:r>
        <w:rPr/>
        <w:t>2016).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statistics</w:t>
      </w:r>
      <w:r>
        <w:rPr>
          <w:spacing w:val="-5"/>
        </w:rPr>
        <w:t> </w:t>
      </w:r>
      <w:r>
        <w:rPr/>
        <w:t>for</w:t>
      </w:r>
      <w:r>
        <w:rPr>
          <w:spacing w:val="-58"/>
        </w:rPr>
        <w:t> </w:t>
      </w:r>
      <w:r>
        <w:rPr>
          <w:spacing w:val="-1"/>
        </w:rPr>
        <w:t>states</w:t>
      </w:r>
      <w:r>
        <w:rPr>
          <w:spacing w:val="-15"/>
        </w:rPr>
        <w:t> </w:t>
      </w:r>
      <w:r>
        <w:rPr>
          <w:spacing w:val="-1"/>
          <w:sz w:val="23"/>
        </w:rPr>
        <w:t>indicated</w:t>
      </w:r>
      <w:r>
        <w:rPr>
          <w:spacing w:val="-13"/>
          <w:sz w:val="23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entire</w:t>
      </w:r>
      <w:r>
        <w:rPr>
          <w:spacing w:val="-16"/>
        </w:rPr>
        <w:t> </w:t>
      </w:r>
      <w:r>
        <w:rPr>
          <w:sz w:val="23"/>
        </w:rPr>
        <w:t>sub-national</w:t>
      </w:r>
      <w:r>
        <w:rPr>
          <w:spacing w:val="-10"/>
          <w:sz w:val="23"/>
        </w:rPr>
        <w:t> </w:t>
      </w:r>
      <w:r>
        <w:rPr/>
        <w:t>governments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region</w:t>
      </w:r>
      <w:r>
        <w:rPr>
          <w:spacing w:val="-14"/>
        </w:rPr>
        <w:t> </w:t>
      </w:r>
      <w:r>
        <w:rPr/>
        <w:t>experience</w:t>
      </w:r>
      <w:r>
        <w:rPr>
          <w:spacing w:val="-16"/>
        </w:rPr>
        <w:t> </w:t>
      </w:r>
      <w:r>
        <w:rPr/>
        <w:t>increase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income</w:t>
      </w:r>
      <w:r>
        <w:rPr>
          <w:spacing w:val="-58"/>
        </w:rPr>
        <w:t> </w:t>
      </w:r>
      <w:r>
        <w:rPr>
          <w:spacing w:val="-1"/>
        </w:rPr>
        <w:t>disparity</w:t>
      </w:r>
      <w:r>
        <w:rPr>
          <w:spacing w:val="-17"/>
        </w:rPr>
        <w:t> </w:t>
      </w:r>
      <w:r>
        <w:rPr/>
        <w:t>among</w:t>
      </w:r>
      <w:r>
        <w:rPr>
          <w:spacing w:val="-14"/>
        </w:rPr>
        <w:t> </w:t>
      </w:r>
      <w:r>
        <w:rPr/>
        <w:t>their</w:t>
      </w:r>
      <w:r>
        <w:rPr>
          <w:spacing w:val="-12"/>
        </w:rPr>
        <w:t> </w:t>
      </w:r>
      <w:r>
        <w:rPr/>
        <w:t>households.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instance,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Gini</w:t>
      </w:r>
      <w:r>
        <w:rPr>
          <w:spacing w:val="-12"/>
        </w:rPr>
        <w:t> </w:t>
      </w:r>
      <w:r>
        <w:rPr/>
        <w:t>estimates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found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lowest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Benue</w:t>
      </w:r>
      <w:r>
        <w:rPr>
          <w:spacing w:val="-58"/>
        </w:rPr>
        <w:t> </w:t>
      </w:r>
      <w:r>
        <w:rPr>
          <w:spacing w:val="-1"/>
        </w:rPr>
        <w:t>State</w:t>
      </w:r>
      <w:r>
        <w:rPr>
          <w:spacing w:val="-14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/>
        <w:t>0.441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>
          <w:sz w:val="23"/>
        </w:rPr>
        <w:t>Wave</w:t>
      </w:r>
      <w:r>
        <w:rPr>
          <w:spacing w:val="-10"/>
          <w:sz w:val="23"/>
        </w:rPr>
        <w:t> </w:t>
      </w:r>
      <w:r>
        <w:rPr>
          <w:sz w:val="23"/>
        </w:rPr>
        <w:t>4</w:t>
      </w:r>
      <w:r>
        <w:rPr>
          <w:spacing w:val="-10"/>
          <w:sz w:val="23"/>
        </w:rPr>
        <w:t> </w:t>
      </w:r>
      <w:r>
        <w:rPr/>
        <w:t>(2019),</w:t>
      </w:r>
      <w:r>
        <w:rPr>
          <w:spacing w:val="-12"/>
        </w:rPr>
        <w:t> </w:t>
      </w:r>
      <w:r>
        <w:rPr/>
        <w:t>compared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FCT</w:t>
      </w:r>
      <w:r>
        <w:rPr>
          <w:spacing w:val="-14"/>
        </w:rPr>
        <w:t> </w:t>
      </w:r>
      <w:r>
        <w:rPr/>
        <w:t>Abuja</w:t>
      </w:r>
      <w:r>
        <w:rPr>
          <w:spacing w:val="-13"/>
        </w:rPr>
        <w:t> </w:t>
      </w:r>
      <w:r>
        <w:rPr/>
        <w:t>(0.478),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>
          <w:sz w:val="23"/>
        </w:rPr>
        <w:t>highest</w:t>
      </w:r>
      <w:r>
        <w:rPr>
          <w:spacing w:val="-12"/>
          <w:sz w:val="23"/>
        </w:rPr>
        <w:t> </w:t>
      </w:r>
      <w:r>
        <w:rPr>
          <w:sz w:val="23"/>
        </w:rPr>
        <w:t>index</w:t>
      </w:r>
      <w:r>
        <w:rPr>
          <w:spacing w:val="-9"/>
          <w:sz w:val="23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region</w:t>
      </w:r>
      <w:r>
        <w:rPr>
          <w:spacing w:val="-58"/>
        </w:rPr>
        <w:t> </w:t>
      </w:r>
      <w:r>
        <w:rPr/>
        <w:t>in 2019.</w:t>
      </w:r>
    </w:p>
    <w:p>
      <w:pPr>
        <w:pStyle w:val="Heading4"/>
        <w:spacing w:before="73" w:after="3"/>
        <w:ind w:left="120"/>
      </w:pPr>
      <w:r>
        <w:rPr/>
        <w:t>Table</w:t>
      </w:r>
      <w:r>
        <w:rPr>
          <w:spacing w:val="-3"/>
        </w:rPr>
        <w:t> </w:t>
      </w:r>
      <w:r>
        <w:rPr/>
        <w:t>5.8:</w:t>
      </w:r>
      <w:r>
        <w:rPr>
          <w:spacing w:val="-2"/>
        </w:rPr>
        <w:t> </w:t>
      </w:r>
      <w:r>
        <w:rPr/>
        <w:t>Gini-Coefficients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Households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North-Central</w:t>
      </w:r>
      <w:r>
        <w:rPr>
          <w:spacing w:val="-2"/>
        </w:rPr>
        <w:t> </w:t>
      </w:r>
      <w:r>
        <w:rPr/>
        <w:t>Zone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1892"/>
        <w:gridCol w:w="1709"/>
        <w:gridCol w:w="1712"/>
        <w:gridCol w:w="1704"/>
      </w:tblGrid>
      <w:tr>
        <w:trPr>
          <w:trHeight w:val="251" w:hRule="atLeast"/>
        </w:trPr>
        <w:tc>
          <w:tcPr>
            <w:tcW w:w="2335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spacing w:line="232" w:lineRule="exact"/>
              <w:ind w:left="192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1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(2010)</w:t>
            </w:r>
          </w:p>
        </w:tc>
        <w:tc>
          <w:tcPr>
            <w:tcW w:w="1709" w:type="dxa"/>
          </w:tcPr>
          <w:p>
            <w:pPr>
              <w:pStyle w:val="TableParagraph"/>
              <w:spacing w:line="232" w:lineRule="exact"/>
              <w:ind w:left="98" w:right="9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2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(2013)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101" w:right="9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(2016)</w:t>
            </w:r>
          </w:p>
        </w:tc>
        <w:tc>
          <w:tcPr>
            <w:tcW w:w="1704" w:type="dxa"/>
          </w:tcPr>
          <w:p>
            <w:pPr>
              <w:pStyle w:val="TableParagraph"/>
              <w:spacing w:line="232" w:lineRule="exact"/>
              <w:ind w:left="96" w:right="9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4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(2019)</w:t>
            </w:r>
          </w:p>
        </w:tc>
      </w:tr>
      <w:tr>
        <w:trPr>
          <w:trHeight w:val="254" w:hRule="atLeast"/>
        </w:trPr>
        <w:tc>
          <w:tcPr>
            <w:tcW w:w="2335" w:type="dxa"/>
          </w:tcPr>
          <w:p>
            <w:pPr>
              <w:pStyle w:val="TableParagraph"/>
              <w:spacing w:line="233" w:lineRule="exact" w:before="1"/>
              <w:ind w:left="90" w:right="100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North-Central</w:t>
            </w:r>
            <w:r>
              <w:rPr>
                <w:rFonts w:ascii="Times New Roman"/>
                <w:b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Average</w:t>
            </w: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0.3766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0.3786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0.4067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0.4546</w:t>
            </w:r>
          </w:p>
        </w:tc>
      </w:tr>
      <w:tr>
        <w:trPr>
          <w:trHeight w:val="254" w:hRule="atLeast"/>
        </w:trPr>
        <w:tc>
          <w:tcPr>
            <w:tcW w:w="2335" w:type="dxa"/>
          </w:tcPr>
          <w:p>
            <w:pPr>
              <w:pStyle w:val="TableParagraph"/>
              <w:spacing w:line="234" w:lineRule="exact"/>
              <w:ind w:left="90" w:right="81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Benue</w:t>
            </w: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0.3272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0.3015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0.3915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0.4410</w:t>
            </w:r>
          </w:p>
        </w:tc>
      </w:tr>
      <w:tr>
        <w:trPr>
          <w:trHeight w:val="251" w:hRule="atLeast"/>
        </w:trPr>
        <w:tc>
          <w:tcPr>
            <w:tcW w:w="2335" w:type="dxa"/>
          </w:tcPr>
          <w:p>
            <w:pPr>
              <w:pStyle w:val="TableParagraph"/>
              <w:spacing w:line="232" w:lineRule="exact"/>
              <w:ind w:left="90" w:right="82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FCT</w:t>
            </w:r>
            <w:r>
              <w:rPr>
                <w:rFonts w:ascii="Times New Roman"/>
                <w:b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Abuja</w:t>
            </w:r>
          </w:p>
        </w:tc>
        <w:tc>
          <w:tcPr>
            <w:tcW w:w="1892" w:type="dxa"/>
          </w:tcPr>
          <w:p>
            <w:pPr>
              <w:pStyle w:val="TableParagraph"/>
              <w:spacing w:line="232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0.4117</w:t>
            </w:r>
          </w:p>
        </w:tc>
        <w:tc>
          <w:tcPr>
            <w:tcW w:w="1709" w:type="dxa"/>
          </w:tcPr>
          <w:p>
            <w:pPr>
              <w:pStyle w:val="TableParagraph"/>
              <w:spacing w:line="232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0.4261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0.4519</w:t>
            </w:r>
          </w:p>
        </w:tc>
        <w:tc>
          <w:tcPr>
            <w:tcW w:w="1704" w:type="dxa"/>
          </w:tcPr>
          <w:p>
            <w:pPr>
              <w:pStyle w:val="TableParagraph"/>
              <w:spacing w:line="232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0.4779</w:t>
            </w:r>
          </w:p>
        </w:tc>
      </w:tr>
      <w:tr>
        <w:trPr>
          <w:trHeight w:val="253" w:hRule="atLeast"/>
        </w:trPr>
        <w:tc>
          <w:tcPr>
            <w:tcW w:w="2335" w:type="dxa"/>
          </w:tcPr>
          <w:p>
            <w:pPr>
              <w:pStyle w:val="TableParagraph"/>
              <w:spacing w:line="234" w:lineRule="exact"/>
              <w:ind w:left="90" w:right="82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Kogi</w:t>
            </w: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0.3500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0.3574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0.3916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0.4583</w:t>
            </w:r>
          </w:p>
        </w:tc>
      </w:tr>
      <w:tr>
        <w:trPr>
          <w:trHeight w:val="251" w:hRule="atLeast"/>
        </w:trPr>
        <w:tc>
          <w:tcPr>
            <w:tcW w:w="2335" w:type="dxa"/>
          </w:tcPr>
          <w:p>
            <w:pPr>
              <w:pStyle w:val="TableParagraph"/>
              <w:spacing w:line="232" w:lineRule="exact"/>
              <w:ind w:left="90" w:right="84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Kwara</w:t>
            </w:r>
          </w:p>
        </w:tc>
        <w:tc>
          <w:tcPr>
            <w:tcW w:w="1892" w:type="dxa"/>
          </w:tcPr>
          <w:p>
            <w:pPr>
              <w:pStyle w:val="TableParagraph"/>
              <w:spacing w:line="232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0.3733</w:t>
            </w:r>
          </w:p>
        </w:tc>
        <w:tc>
          <w:tcPr>
            <w:tcW w:w="1709" w:type="dxa"/>
          </w:tcPr>
          <w:p>
            <w:pPr>
              <w:pStyle w:val="TableParagraph"/>
              <w:spacing w:line="232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0.3841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0.3905</w:t>
            </w:r>
          </w:p>
        </w:tc>
        <w:tc>
          <w:tcPr>
            <w:tcW w:w="1704" w:type="dxa"/>
          </w:tcPr>
          <w:p>
            <w:pPr>
              <w:pStyle w:val="TableParagraph"/>
              <w:spacing w:line="232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0.4499</w:t>
            </w:r>
          </w:p>
        </w:tc>
      </w:tr>
      <w:tr>
        <w:trPr>
          <w:trHeight w:val="253" w:hRule="atLeast"/>
        </w:trPr>
        <w:tc>
          <w:tcPr>
            <w:tcW w:w="2335" w:type="dxa"/>
          </w:tcPr>
          <w:p>
            <w:pPr>
              <w:pStyle w:val="TableParagraph"/>
              <w:spacing w:line="234" w:lineRule="exact"/>
              <w:ind w:left="90" w:right="81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Nasarawa</w:t>
            </w: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0.3987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0.4132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0.4572</w:t>
            </w:r>
          </w:p>
        </w:tc>
      </w:tr>
      <w:tr>
        <w:trPr>
          <w:trHeight w:val="252" w:hRule="atLeast"/>
        </w:trPr>
        <w:tc>
          <w:tcPr>
            <w:tcW w:w="2335" w:type="dxa"/>
          </w:tcPr>
          <w:p>
            <w:pPr>
              <w:pStyle w:val="TableParagraph"/>
              <w:spacing w:line="232" w:lineRule="exact"/>
              <w:ind w:left="90" w:right="82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Niger</w:t>
            </w:r>
          </w:p>
        </w:tc>
        <w:tc>
          <w:tcPr>
            <w:tcW w:w="1892" w:type="dxa"/>
          </w:tcPr>
          <w:p>
            <w:pPr>
              <w:pStyle w:val="TableParagraph"/>
              <w:spacing w:line="232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0.3901</w:t>
            </w:r>
          </w:p>
        </w:tc>
        <w:tc>
          <w:tcPr>
            <w:tcW w:w="1709" w:type="dxa"/>
          </w:tcPr>
          <w:p>
            <w:pPr>
              <w:pStyle w:val="TableParagraph"/>
              <w:spacing w:line="232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0.3966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0.4041</w:t>
            </w:r>
          </w:p>
        </w:tc>
        <w:tc>
          <w:tcPr>
            <w:tcW w:w="1704" w:type="dxa"/>
          </w:tcPr>
          <w:p>
            <w:pPr>
              <w:pStyle w:val="TableParagraph"/>
              <w:spacing w:line="232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0.4476</w:t>
            </w:r>
          </w:p>
        </w:tc>
      </w:tr>
      <w:tr>
        <w:trPr>
          <w:trHeight w:val="253" w:hRule="atLeast"/>
        </w:trPr>
        <w:tc>
          <w:tcPr>
            <w:tcW w:w="2335" w:type="dxa"/>
          </w:tcPr>
          <w:p>
            <w:pPr>
              <w:pStyle w:val="TableParagraph"/>
              <w:spacing w:line="233" w:lineRule="exact" w:before="1"/>
              <w:ind w:left="90" w:right="81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Plateau</w:t>
            </w:r>
          </w:p>
        </w:tc>
        <w:tc>
          <w:tcPr>
            <w:tcW w:w="1892" w:type="dxa"/>
          </w:tcPr>
          <w:p>
            <w:pPr>
              <w:pStyle w:val="TableParagraph"/>
              <w:spacing w:line="234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0.3852</w:t>
            </w:r>
          </w:p>
        </w:tc>
        <w:tc>
          <w:tcPr>
            <w:tcW w:w="1709" w:type="dxa"/>
          </w:tcPr>
          <w:p>
            <w:pPr>
              <w:pStyle w:val="TableParagraph"/>
              <w:spacing w:line="234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0.3820</w:t>
            </w:r>
          </w:p>
        </w:tc>
        <w:tc>
          <w:tcPr>
            <w:tcW w:w="1712" w:type="dxa"/>
          </w:tcPr>
          <w:p>
            <w:pPr>
              <w:pStyle w:val="TableParagraph"/>
              <w:spacing w:line="234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0.4032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0.4489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Researcher’s Computations (from</w:t>
      </w:r>
      <w:r>
        <w:rPr>
          <w:spacing w:val="-4"/>
          <w:sz w:val="20"/>
        </w:rPr>
        <w:t> </w:t>
      </w:r>
      <w:r>
        <w:rPr>
          <w:sz w:val="20"/>
        </w:rPr>
        <w:t>NBS</w:t>
      </w:r>
      <w:r>
        <w:rPr>
          <w:spacing w:val="-2"/>
          <w:sz w:val="20"/>
        </w:rPr>
        <w:t> </w:t>
      </w:r>
      <w:r>
        <w:rPr>
          <w:sz w:val="20"/>
        </w:rPr>
        <w:t>NGHS</w:t>
      </w:r>
      <w:r>
        <w:rPr>
          <w:spacing w:val="-3"/>
          <w:sz w:val="20"/>
        </w:rPr>
        <w:t> </w:t>
      </w:r>
      <w:r>
        <w:rPr>
          <w:sz w:val="20"/>
        </w:rPr>
        <w:t>Wave</w:t>
      </w:r>
      <w:r>
        <w:rPr>
          <w:spacing w:val="-1"/>
          <w:sz w:val="20"/>
        </w:rPr>
        <w:t> </w:t>
      </w:r>
      <w:r>
        <w:rPr>
          <w:sz w:val="20"/>
        </w:rPr>
        <w:t>1,</w:t>
      </w:r>
      <w:r>
        <w:rPr>
          <w:spacing w:val="-2"/>
          <w:sz w:val="20"/>
        </w:rPr>
        <w:t> </w:t>
      </w:r>
      <w:r>
        <w:rPr>
          <w:sz w:val="20"/>
        </w:rPr>
        <w:t>2 and</w:t>
      </w:r>
      <w:r>
        <w:rPr>
          <w:spacing w:val="-1"/>
          <w:sz w:val="20"/>
        </w:rPr>
        <w:t> </w:t>
      </w:r>
      <w:r>
        <w:rPr>
          <w:sz w:val="20"/>
        </w:rPr>
        <w:t>3)</w:t>
      </w:r>
    </w:p>
    <w:p>
      <w:pPr>
        <w:pStyle w:val="BodyText"/>
        <w:spacing w:line="360" w:lineRule="auto" w:before="155"/>
        <w:ind w:left="120" w:right="113"/>
        <w:jc w:val="both"/>
      </w:pPr>
      <w:r>
        <w:rPr/>
        <w:t>Table</w:t>
      </w:r>
      <w:r>
        <w:rPr>
          <w:spacing w:val="-13"/>
        </w:rPr>
        <w:t> </w:t>
      </w:r>
      <w:r>
        <w:rPr/>
        <w:t>5.9</w:t>
      </w:r>
      <w:r>
        <w:rPr>
          <w:spacing w:val="-12"/>
        </w:rPr>
        <w:t> </w:t>
      </w:r>
      <w:r>
        <w:rPr/>
        <w:t>shown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level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income</w:t>
      </w:r>
      <w:r>
        <w:rPr>
          <w:spacing w:val="-12"/>
        </w:rPr>
        <w:t> </w:t>
      </w:r>
      <w:r>
        <w:rPr/>
        <w:t>disparity</w:t>
      </w:r>
      <w:r>
        <w:rPr>
          <w:spacing w:val="-17"/>
        </w:rPr>
        <w:t> </w:t>
      </w:r>
      <w:r>
        <w:rPr/>
        <w:t>among</w:t>
      </w:r>
      <w:r>
        <w:rPr>
          <w:spacing w:val="-13"/>
        </w:rPr>
        <w:t> </w:t>
      </w:r>
      <w:r>
        <w:rPr>
          <w:sz w:val="23"/>
        </w:rPr>
        <w:t>households</w:t>
      </w:r>
      <w:r>
        <w:rPr>
          <w:spacing w:val="-10"/>
          <w:sz w:val="23"/>
        </w:rPr>
        <w:t> </w:t>
      </w:r>
      <w:r>
        <w:rPr/>
        <w:t>is</w:t>
      </w:r>
      <w:r>
        <w:rPr>
          <w:spacing w:val="-11"/>
        </w:rPr>
        <w:t> </w:t>
      </w:r>
      <w:r>
        <w:rPr/>
        <w:t>rising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South-South</w:t>
      </w:r>
      <w:r>
        <w:rPr>
          <w:spacing w:val="-11"/>
        </w:rPr>
        <w:t> </w:t>
      </w:r>
      <w:r>
        <w:rPr/>
        <w:t>zone.</w:t>
      </w:r>
      <w:r>
        <w:rPr>
          <w:spacing w:val="-58"/>
        </w:rPr>
        <w:t> </w:t>
      </w:r>
      <w:r>
        <w:rPr/>
        <w:t>The indexes rose slightly from 0.42 in 2010 by 0.7% to 0.425 in 2013, but rapidly increased by</w:t>
      </w:r>
      <w:r>
        <w:rPr>
          <w:spacing w:val="1"/>
        </w:rPr>
        <w:t> </w:t>
      </w:r>
      <w:r>
        <w:rPr/>
        <w:t>7% to 0.45 in 2016, and 0.4652 in 2019. This finding is also consistent with the World Bank’s</w:t>
      </w:r>
      <w:r>
        <w:rPr>
          <w:spacing w:val="1"/>
        </w:rPr>
        <w:t> </w:t>
      </w:r>
      <w:r>
        <w:rPr/>
        <w:t>study. Their study found that the biggest contributor to the rapid widening in income inequality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household nationwide</w:t>
      </w:r>
      <w:r>
        <w:rPr>
          <w:spacing w:val="-2"/>
        </w:rPr>
        <w:t> </w:t>
      </w:r>
      <w:r>
        <w:rPr/>
        <w:t>between 2003</w:t>
      </w:r>
      <w:r>
        <w:rPr>
          <w:spacing w:val="-1"/>
        </w:rPr>
        <w:t> </w:t>
      </w:r>
      <w:r>
        <w:rPr/>
        <w:t>and 2013</w:t>
      </w:r>
      <w:r>
        <w:rPr>
          <w:spacing w:val="-1"/>
        </w:rPr>
        <w:t> </w:t>
      </w:r>
      <w:r>
        <w:rPr/>
        <w:t>was the</w:t>
      </w:r>
      <w:r>
        <w:rPr>
          <w:spacing w:val="-1"/>
        </w:rPr>
        <w:t> </w:t>
      </w:r>
      <w:r>
        <w:rPr/>
        <w:t>South-South (World Bank,</w:t>
      </w:r>
      <w:r>
        <w:rPr>
          <w:spacing w:val="-1"/>
        </w:rPr>
        <w:t> </w:t>
      </w:r>
      <w:r>
        <w:rPr/>
        <w:t>2016).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BodyText"/>
        <w:spacing w:line="360" w:lineRule="auto" w:before="66"/>
        <w:ind w:left="120" w:right="113"/>
        <w:jc w:val="both"/>
      </w:pPr>
      <w:r>
        <w:rPr/>
        <w:t>The</w:t>
      </w:r>
      <w:r>
        <w:rPr>
          <w:spacing w:val="-10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showed</w:t>
      </w:r>
      <w:r>
        <w:rPr>
          <w:spacing w:val="-7"/>
        </w:rPr>
        <w:t> </w:t>
      </w:r>
      <w:r>
        <w:rPr/>
        <w:t>that,</w:t>
      </w:r>
      <w:r>
        <w:rPr>
          <w:spacing w:val="-9"/>
        </w:rPr>
        <w:t> </w:t>
      </w:r>
      <w:r>
        <w:rPr/>
        <w:t>Akwa-Ibom</w:t>
      </w:r>
      <w:r>
        <w:rPr>
          <w:spacing w:val="-7"/>
        </w:rPr>
        <w:t> </w:t>
      </w:r>
      <w:r>
        <w:rPr/>
        <w:t>State</w:t>
      </w:r>
      <w:r>
        <w:rPr>
          <w:spacing w:val="-10"/>
        </w:rPr>
        <w:t> </w:t>
      </w:r>
      <w:r>
        <w:rPr/>
        <w:t>has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highest</w:t>
      </w:r>
      <w:r>
        <w:rPr>
          <w:spacing w:val="-7"/>
        </w:rPr>
        <w:t> </w:t>
      </w:r>
      <w:r>
        <w:rPr/>
        <w:t>income</w:t>
      </w:r>
      <w:r>
        <w:rPr>
          <w:spacing w:val="-10"/>
        </w:rPr>
        <w:t> </w:t>
      </w:r>
      <w:r>
        <w:rPr/>
        <w:t>inequality</w:t>
      </w:r>
      <w:r>
        <w:rPr>
          <w:spacing w:val="-12"/>
        </w:rPr>
        <w:t> </w:t>
      </w:r>
      <w:r>
        <w:rPr/>
        <w:t>with</w:t>
      </w:r>
      <w:r>
        <w:rPr>
          <w:spacing w:val="-8"/>
        </w:rPr>
        <w:t> </w:t>
      </w:r>
      <w:r>
        <w:rPr/>
        <w:t>0.485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Wave</w:t>
      </w:r>
      <w:r>
        <w:rPr>
          <w:spacing w:val="-57"/>
        </w:rPr>
        <w:t> </w:t>
      </w:r>
      <w:r>
        <w:rPr/>
        <w:t>4</w:t>
      </w:r>
      <w:r>
        <w:rPr>
          <w:spacing w:val="-6"/>
        </w:rPr>
        <w:t> </w:t>
      </w:r>
      <w:r>
        <w:rPr/>
        <w:t>(2019)</w:t>
      </w:r>
      <w:r>
        <w:rPr>
          <w:spacing w:val="-7"/>
        </w:rPr>
        <w:t> </w:t>
      </w:r>
      <w:r>
        <w:rPr/>
        <w:t>among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states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region.</w:t>
      </w:r>
      <w:r>
        <w:rPr>
          <w:spacing w:val="-6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Edo</w:t>
      </w:r>
      <w:r>
        <w:rPr>
          <w:spacing w:val="-6"/>
        </w:rPr>
        <w:t> </w:t>
      </w:r>
      <w:r>
        <w:rPr/>
        <w:t>State</w:t>
      </w:r>
      <w:r>
        <w:rPr>
          <w:spacing w:val="-5"/>
        </w:rPr>
        <w:t> </w:t>
      </w:r>
      <w:r>
        <w:rPr/>
        <w:t>had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lowest</w:t>
      </w:r>
      <w:r>
        <w:rPr>
          <w:spacing w:val="-5"/>
        </w:rPr>
        <w:t> </w:t>
      </w:r>
      <w:r>
        <w:rPr/>
        <w:t>estimate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0.452.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zone witnessed a rise in income inequality that was greater than the nation’s average. This means</w:t>
      </w:r>
      <w:r>
        <w:rPr>
          <w:spacing w:val="-57"/>
        </w:rPr>
        <w:t> </w:t>
      </w:r>
      <w:r>
        <w:rPr/>
        <w:t>that</w:t>
      </w:r>
      <w:r>
        <w:rPr>
          <w:spacing w:val="-9"/>
        </w:rPr>
        <w:t> </w:t>
      </w:r>
      <w:r>
        <w:rPr/>
        <w:t>every</w:t>
      </w:r>
      <w:r>
        <w:rPr>
          <w:spacing w:val="-12"/>
        </w:rPr>
        <w:t> </w:t>
      </w:r>
      <w:r>
        <w:rPr/>
        <w:t>effort</w:t>
      </w:r>
      <w:r>
        <w:rPr>
          <w:spacing w:val="-9"/>
        </w:rPr>
        <w:t> </w:t>
      </w:r>
      <w:r>
        <w:rPr/>
        <w:t>targeting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/>
        <w:t>reducing</w:t>
      </w:r>
      <w:r>
        <w:rPr>
          <w:spacing w:val="-11"/>
        </w:rPr>
        <w:t> </w:t>
      </w:r>
      <w:r>
        <w:rPr/>
        <w:t>poverty</w:t>
      </w:r>
      <w:r>
        <w:rPr>
          <w:spacing w:val="-12"/>
        </w:rPr>
        <w:t> </w:t>
      </w:r>
      <w:r>
        <w:rPr/>
        <w:t>or</w:t>
      </w:r>
      <w:r>
        <w:rPr>
          <w:spacing w:val="-9"/>
        </w:rPr>
        <w:t> </w:t>
      </w:r>
      <w:r>
        <w:rPr/>
        <w:t>improving</w:t>
      </w:r>
      <w:r>
        <w:rPr>
          <w:spacing w:val="-7"/>
        </w:rPr>
        <w:t> </w:t>
      </w:r>
      <w:r>
        <w:rPr/>
        <w:t>welfare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region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9"/>
        </w:rPr>
        <w:t> </w:t>
      </w:r>
      <w:r>
        <w:rPr/>
        <w:t>difficult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absence</w:t>
      </w:r>
      <w:r>
        <w:rPr>
          <w:spacing w:val="-1"/>
        </w:rPr>
        <w:t> </w:t>
      </w:r>
      <w:r>
        <w:rPr/>
        <w:t>of steps for addressing</w:t>
      </w:r>
      <w:r>
        <w:rPr>
          <w:spacing w:val="-1"/>
        </w:rPr>
        <w:t> </w:t>
      </w:r>
      <w:r>
        <w:rPr/>
        <w:t>income</w:t>
      </w:r>
      <w:r>
        <w:rPr>
          <w:spacing w:val="-1"/>
        </w:rPr>
        <w:t> </w:t>
      </w:r>
      <w:r>
        <w:rPr/>
        <w:t>disparity.</w:t>
      </w:r>
    </w:p>
    <w:p>
      <w:pPr>
        <w:pStyle w:val="Heading4"/>
        <w:spacing w:before="95" w:after="3"/>
        <w:ind w:left="120"/>
      </w:pPr>
      <w:r>
        <w:rPr/>
        <w:t>Table</w:t>
      </w:r>
      <w:r>
        <w:rPr>
          <w:spacing w:val="-2"/>
        </w:rPr>
        <w:t> </w:t>
      </w:r>
      <w:r>
        <w:rPr/>
        <w:t>5.9:</w:t>
      </w:r>
      <w:r>
        <w:rPr>
          <w:spacing w:val="-2"/>
        </w:rPr>
        <w:t> </w:t>
      </w:r>
      <w:r>
        <w:rPr/>
        <w:t>Gini-Coefficients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Households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South-South</w:t>
      </w:r>
      <w:r>
        <w:rPr>
          <w:spacing w:val="-2"/>
        </w:rPr>
        <w:t> </w:t>
      </w:r>
      <w:r>
        <w:rPr/>
        <w:t>Zone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1892"/>
        <w:gridCol w:w="1709"/>
        <w:gridCol w:w="1712"/>
        <w:gridCol w:w="1704"/>
      </w:tblGrid>
      <w:tr>
        <w:trPr>
          <w:trHeight w:val="378" w:hRule="atLeast"/>
        </w:trPr>
        <w:tc>
          <w:tcPr>
            <w:tcW w:w="233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spacing w:line="247" w:lineRule="exact"/>
              <w:ind w:left="192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1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(2010)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2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(2013)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(2016)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9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4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(2019)</w:t>
            </w:r>
          </w:p>
        </w:tc>
      </w:tr>
      <w:tr>
        <w:trPr>
          <w:trHeight w:val="381" w:hRule="atLeast"/>
        </w:trPr>
        <w:tc>
          <w:tcPr>
            <w:tcW w:w="2335" w:type="dxa"/>
          </w:tcPr>
          <w:p>
            <w:pPr>
              <w:pStyle w:val="TableParagraph"/>
              <w:spacing w:before="1"/>
              <w:ind w:left="107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South-South</w:t>
            </w:r>
            <w:r>
              <w:rPr>
                <w:rFonts w:ascii="Times New Roman"/>
                <w:b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Average</w:t>
            </w:r>
          </w:p>
        </w:tc>
        <w:tc>
          <w:tcPr>
            <w:tcW w:w="1892" w:type="dxa"/>
          </w:tcPr>
          <w:p>
            <w:pPr>
              <w:pStyle w:val="TableParagraph"/>
              <w:spacing w:line="249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0.4221</w:t>
            </w:r>
          </w:p>
        </w:tc>
        <w:tc>
          <w:tcPr>
            <w:tcW w:w="1709" w:type="dxa"/>
          </w:tcPr>
          <w:p>
            <w:pPr>
              <w:pStyle w:val="TableParagraph"/>
              <w:spacing w:line="249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0.4246</w:t>
            </w:r>
          </w:p>
        </w:tc>
        <w:tc>
          <w:tcPr>
            <w:tcW w:w="1712" w:type="dxa"/>
          </w:tcPr>
          <w:p>
            <w:pPr>
              <w:pStyle w:val="TableParagraph"/>
              <w:spacing w:line="249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0.4505</w:t>
            </w:r>
          </w:p>
        </w:tc>
        <w:tc>
          <w:tcPr>
            <w:tcW w:w="1704" w:type="dxa"/>
          </w:tcPr>
          <w:p>
            <w:pPr>
              <w:pStyle w:val="TableParagraph"/>
              <w:spacing w:line="249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0.4652</w:t>
            </w:r>
          </w:p>
        </w:tc>
      </w:tr>
      <w:tr>
        <w:trPr>
          <w:trHeight w:val="379" w:hRule="atLeast"/>
        </w:trPr>
        <w:tc>
          <w:tcPr>
            <w:tcW w:w="2335" w:type="dxa"/>
          </w:tcPr>
          <w:p>
            <w:pPr>
              <w:pStyle w:val="TableParagraph"/>
              <w:spacing w:line="252" w:lineRule="exact"/>
              <w:ind w:left="635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Akwa-Ibom</w:t>
            </w:r>
          </w:p>
        </w:tc>
        <w:tc>
          <w:tcPr>
            <w:tcW w:w="1892" w:type="dxa"/>
          </w:tcPr>
          <w:p>
            <w:pPr>
              <w:pStyle w:val="TableParagraph"/>
              <w:spacing w:line="247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0.4522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0.4329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0.4763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0.4854</w:t>
            </w:r>
          </w:p>
        </w:tc>
      </w:tr>
      <w:tr>
        <w:trPr>
          <w:trHeight w:val="378" w:hRule="atLeast"/>
        </w:trPr>
        <w:tc>
          <w:tcPr>
            <w:tcW w:w="2335" w:type="dxa"/>
          </w:tcPr>
          <w:p>
            <w:pPr>
              <w:pStyle w:val="TableParagraph"/>
              <w:spacing w:line="251" w:lineRule="exact"/>
              <w:ind w:left="594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Cross</w:t>
            </w:r>
            <w:r>
              <w:rPr>
                <w:rFonts w:ascii="Times New Roman"/>
                <w:b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Rivers</w:t>
            </w:r>
          </w:p>
        </w:tc>
        <w:tc>
          <w:tcPr>
            <w:tcW w:w="1892" w:type="dxa"/>
          </w:tcPr>
          <w:p>
            <w:pPr>
              <w:pStyle w:val="TableParagraph"/>
              <w:spacing w:line="247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0.4311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0.4261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0.4632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0.4488</w:t>
            </w:r>
          </w:p>
        </w:tc>
      </w:tr>
      <w:tr>
        <w:trPr>
          <w:trHeight w:val="378" w:hRule="atLeast"/>
        </w:trPr>
        <w:tc>
          <w:tcPr>
            <w:tcW w:w="2335" w:type="dxa"/>
          </w:tcPr>
          <w:p>
            <w:pPr>
              <w:pStyle w:val="TableParagraph"/>
              <w:spacing w:line="251" w:lineRule="exact"/>
              <w:ind w:left="90" w:right="79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Bayelsa</w:t>
            </w:r>
          </w:p>
        </w:tc>
        <w:tc>
          <w:tcPr>
            <w:tcW w:w="1892" w:type="dxa"/>
          </w:tcPr>
          <w:p>
            <w:pPr>
              <w:pStyle w:val="TableParagraph"/>
              <w:spacing w:line="247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0.4147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0.4257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0.4561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0.4737</w:t>
            </w:r>
          </w:p>
        </w:tc>
      </w:tr>
      <w:tr>
        <w:trPr>
          <w:trHeight w:val="381" w:hRule="atLeast"/>
        </w:trPr>
        <w:tc>
          <w:tcPr>
            <w:tcW w:w="2335" w:type="dxa"/>
          </w:tcPr>
          <w:p>
            <w:pPr>
              <w:pStyle w:val="TableParagraph"/>
              <w:spacing w:before="1"/>
              <w:ind w:left="90" w:right="80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Rivers</w:t>
            </w:r>
          </w:p>
        </w:tc>
        <w:tc>
          <w:tcPr>
            <w:tcW w:w="1892" w:type="dxa"/>
          </w:tcPr>
          <w:p>
            <w:pPr>
              <w:pStyle w:val="TableParagraph"/>
              <w:spacing w:line="249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0.4332</w:t>
            </w:r>
          </w:p>
        </w:tc>
        <w:tc>
          <w:tcPr>
            <w:tcW w:w="1709" w:type="dxa"/>
          </w:tcPr>
          <w:p>
            <w:pPr>
              <w:pStyle w:val="TableParagraph"/>
              <w:spacing w:line="249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0.4526</w:t>
            </w:r>
          </w:p>
        </w:tc>
        <w:tc>
          <w:tcPr>
            <w:tcW w:w="1712" w:type="dxa"/>
          </w:tcPr>
          <w:p>
            <w:pPr>
              <w:pStyle w:val="TableParagraph"/>
              <w:spacing w:line="249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0.4345</w:t>
            </w:r>
          </w:p>
        </w:tc>
        <w:tc>
          <w:tcPr>
            <w:tcW w:w="1704" w:type="dxa"/>
          </w:tcPr>
          <w:p>
            <w:pPr>
              <w:pStyle w:val="TableParagraph"/>
              <w:spacing w:line="249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0.4801</w:t>
            </w:r>
          </w:p>
        </w:tc>
      </w:tr>
      <w:tr>
        <w:trPr>
          <w:trHeight w:val="378" w:hRule="atLeast"/>
        </w:trPr>
        <w:tc>
          <w:tcPr>
            <w:tcW w:w="2335" w:type="dxa"/>
          </w:tcPr>
          <w:p>
            <w:pPr>
              <w:pStyle w:val="TableParagraph"/>
              <w:spacing w:line="251" w:lineRule="exact"/>
              <w:ind w:left="90" w:right="81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Delta</w:t>
            </w:r>
          </w:p>
        </w:tc>
        <w:tc>
          <w:tcPr>
            <w:tcW w:w="1892" w:type="dxa"/>
          </w:tcPr>
          <w:p>
            <w:pPr>
              <w:pStyle w:val="TableParagraph"/>
              <w:spacing w:line="247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0.4199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0.4361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0.4427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0.4514</w:t>
            </w:r>
          </w:p>
        </w:tc>
      </w:tr>
      <w:tr>
        <w:trPr>
          <w:trHeight w:val="378" w:hRule="atLeast"/>
        </w:trPr>
        <w:tc>
          <w:tcPr>
            <w:tcW w:w="2335" w:type="dxa"/>
          </w:tcPr>
          <w:p>
            <w:pPr>
              <w:pStyle w:val="TableParagraph"/>
              <w:spacing w:line="251" w:lineRule="exact"/>
              <w:ind w:left="90" w:right="81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Edo</w:t>
            </w:r>
          </w:p>
        </w:tc>
        <w:tc>
          <w:tcPr>
            <w:tcW w:w="1892" w:type="dxa"/>
          </w:tcPr>
          <w:p>
            <w:pPr>
              <w:pStyle w:val="TableParagraph"/>
              <w:spacing w:line="247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0.3814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0.3743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0.4304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0.4523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Researcher’s</w:t>
      </w:r>
      <w:r>
        <w:rPr>
          <w:spacing w:val="-1"/>
          <w:sz w:val="20"/>
        </w:rPr>
        <w:t> </w:t>
      </w:r>
      <w:r>
        <w:rPr>
          <w:sz w:val="20"/>
        </w:rPr>
        <w:t>Computations (from</w:t>
      </w:r>
      <w:r>
        <w:rPr>
          <w:spacing w:val="-4"/>
          <w:sz w:val="20"/>
        </w:rPr>
        <w:t> </w:t>
      </w:r>
      <w:r>
        <w:rPr>
          <w:sz w:val="20"/>
        </w:rPr>
        <w:t>NBS</w:t>
      </w:r>
      <w:r>
        <w:rPr>
          <w:spacing w:val="-2"/>
          <w:sz w:val="20"/>
        </w:rPr>
        <w:t> </w:t>
      </w:r>
      <w:r>
        <w:rPr>
          <w:sz w:val="20"/>
        </w:rPr>
        <w:t>NGHS</w:t>
      </w:r>
      <w:r>
        <w:rPr>
          <w:spacing w:val="-3"/>
          <w:sz w:val="20"/>
        </w:rPr>
        <w:t> </w:t>
      </w:r>
      <w:r>
        <w:rPr>
          <w:sz w:val="20"/>
        </w:rPr>
        <w:t>Wave</w:t>
      </w:r>
      <w:r>
        <w:rPr>
          <w:spacing w:val="-1"/>
          <w:sz w:val="20"/>
        </w:rPr>
        <w:t> </w:t>
      </w:r>
      <w:r>
        <w:rPr>
          <w:sz w:val="20"/>
        </w:rPr>
        <w:t>1,</w:t>
      </w:r>
      <w:r>
        <w:rPr>
          <w:spacing w:val="-2"/>
          <w:sz w:val="20"/>
        </w:rPr>
        <w:t> </w:t>
      </w:r>
      <w:r>
        <w:rPr>
          <w:sz w:val="20"/>
        </w:rPr>
        <w:t>2 and</w:t>
      </w:r>
      <w:r>
        <w:rPr>
          <w:spacing w:val="-1"/>
          <w:sz w:val="20"/>
        </w:rPr>
        <w:t> </w:t>
      </w:r>
      <w:r>
        <w:rPr>
          <w:sz w:val="20"/>
        </w:rPr>
        <w:t>3)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120" w:right="115"/>
        <w:jc w:val="both"/>
      </w:pP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other</w:t>
      </w:r>
      <w:r>
        <w:rPr>
          <w:spacing w:val="-9"/>
        </w:rPr>
        <w:t> </w:t>
      </w:r>
      <w:r>
        <w:rPr/>
        <w:t>hand,</w:t>
      </w:r>
      <w:r>
        <w:rPr>
          <w:spacing w:val="-9"/>
        </w:rPr>
        <w:t> </w:t>
      </w:r>
      <w:r>
        <w:rPr/>
        <w:t>Table</w:t>
      </w:r>
      <w:r>
        <w:rPr>
          <w:spacing w:val="-5"/>
        </w:rPr>
        <w:t> </w:t>
      </w:r>
      <w:r>
        <w:rPr/>
        <w:t>5.10</w:t>
      </w:r>
      <w:r>
        <w:rPr>
          <w:spacing w:val="-8"/>
        </w:rPr>
        <w:t> </w:t>
      </w:r>
      <w:r>
        <w:rPr/>
        <w:t>indicated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Gini</w:t>
      </w:r>
      <w:r>
        <w:rPr>
          <w:spacing w:val="-8"/>
        </w:rPr>
        <w:t> </w:t>
      </w:r>
      <w:r>
        <w:rPr/>
        <w:t>estimates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South-East</w:t>
      </w:r>
      <w:r>
        <w:rPr>
          <w:spacing w:val="-8"/>
        </w:rPr>
        <w:t> </w:t>
      </w:r>
      <w:r>
        <w:rPr/>
        <w:t>region.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found</w:t>
      </w:r>
      <w:r>
        <w:rPr>
          <w:spacing w:val="-9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</w:t>
      </w:r>
      <w:r>
        <w:rPr>
          <w:spacing w:val="-12"/>
        </w:rPr>
        <w:t> </w:t>
      </w:r>
      <w:r>
        <w:rPr/>
        <w:t>regional</w:t>
      </w:r>
      <w:r>
        <w:rPr>
          <w:spacing w:val="-10"/>
        </w:rPr>
        <w:t> </w:t>
      </w:r>
      <w:r>
        <w:rPr/>
        <w:t>averages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zone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0.39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2010.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estimate</w:t>
      </w:r>
      <w:r>
        <w:rPr>
          <w:spacing w:val="-11"/>
        </w:rPr>
        <w:t> </w:t>
      </w:r>
      <w:r>
        <w:rPr/>
        <w:t>rose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0.435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2016.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index</w:t>
      </w:r>
      <w:r>
        <w:rPr>
          <w:spacing w:val="-57"/>
        </w:rPr>
        <w:t> </w:t>
      </w:r>
      <w:r>
        <w:rPr/>
        <w:t>further</w:t>
      </w:r>
      <w:r>
        <w:rPr>
          <w:spacing w:val="-3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0.454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2019.</w:t>
      </w:r>
      <w:r>
        <w:rPr>
          <w:spacing w:val="-4"/>
        </w:rPr>
        <w:t> </w:t>
      </w:r>
      <w:r>
        <w:rPr/>
        <w:t>This is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harmony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World Bank’s</w:t>
      </w:r>
      <w:r>
        <w:rPr>
          <w:spacing w:val="-3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(2016:34)</w:t>
      </w:r>
      <w:r>
        <w:rPr>
          <w:spacing w:val="-57"/>
        </w:rPr>
        <w:t> </w:t>
      </w:r>
      <w:r>
        <w:rPr/>
        <w:t>that</w:t>
      </w:r>
      <w:r>
        <w:rPr>
          <w:spacing w:val="-8"/>
        </w:rPr>
        <w:t> </w:t>
      </w:r>
      <w:r>
        <w:rPr/>
        <w:t>income</w:t>
      </w:r>
      <w:r>
        <w:rPr>
          <w:spacing w:val="-9"/>
        </w:rPr>
        <w:t> </w:t>
      </w:r>
      <w:r>
        <w:rPr/>
        <w:t>disparity</w:t>
      </w:r>
      <w:r>
        <w:rPr>
          <w:spacing w:val="-12"/>
        </w:rPr>
        <w:t> </w:t>
      </w:r>
      <w:r>
        <w:rPr/>
        <w:t>is</w:t>
      </w:r>
      <w:r>
        <w:rPr>
          <w:spacing w:val="-7"/>
        </w:rPr>
        <w:t> </w:t>
      </w:r>
      <w:r>
        <w:rPr/>
        <w:t>rising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South-East</w:t>
      </w:r>
      <w:r>
        <w:rPr>
          <w:spacing w:val="-5"/>
        </w:rPr>
        <w:t> </w:t>
      </w:r>
      <w:r>
        <w:rPr/>
        <w:t>region.</w:t>
      </w:r>
      <w:r>
        <w:rPr>
          <w:spacing w:val="-6"/>
        </w:rPr>
        <w:t> </w:t>
      </w:r>
      <w:r>
        <w:rPr/>
        <w:t>Their</w:t>
      </w:r>
      <w:r>
        <w:rPr>
          <w:spacing w:val="-8"/>
        </w:rPr>
        <w:t> </w:t>
      </w:r>
      <w:r>
        <w:rPr/>
        <w:t>study</w:t>
      </w:r>
      <w:r>
        <w:rPr>
          <w:spacing w:val="43"/>
        </w:rPr>
        <w:t> </w:t>
      </w:r>
      <w:r>
        <w:rPr/>
        <w:t>revealed</w:t>
      </w:r>
      <w:r>
        <w:rPr>
          <w:spacing w:val="-8"/>
        </w:rPr>
        <w:t> </w:t>
      </w:r>
      <w:r>
        <w:rPr/>
        <w:t>that,</w:t>
      </w:r>
      <w:r>
        <w:rPr>
          <w:spacing w:val="-7"/>
        </w:rPr>
        <w:t> </w:t>
      </w:r>
      <w:r>
        <w:rPr/>
        <w:t>South-Eastern</w:t>
      </w:r>
      <w:r>
        <w:rPr>
          <w:spacing w:val="-8"/>
        </w:rPr>
        <w:t> </w:t>
      </w:r>
      <w:r>
        <w:rPr/>
        <w:t>zone</w:t>
      </w:r>
      <w:r>
        <w:rPr>
          <w:spacing w:val="-57"/>
        </w:rPr>
        <w:t> </w:t>
      </w:r>
      <w:r>
        <w:rPr/>
        <w:t>of Nigeria also witnessed a rise in income inequality from 0.334 to 0.39 between 2003 and 2013</w:t>
      </w:r>
      <w:r>
        <w:rPr>
          <w:spacing w:val="1"/>
        </w:rPr>
        <w:t> </w:t>
      </w:r>
      <w:r>
        <w:rPr/>
        <w:t>(World Bank, 2016). From Wave 4 (2019), this study found that, Anambra State has the highest</w:t>
      </w:r>
      <w:r>
        <w:rPr>
          <w:spacing w:val="1"/>
        </w:rPr>
        <w:t> </w:t>
      </w:r>
      <w:r>
        <w:rPr/>
        <w:t>Gini</w:t>
      </w:r>
      <w:r>
        <w:rPr>
          <w:spacing w:val="-14"/>
        </w:rPr>
        <w:t> </w:t>
      </w:r>
      <w:r>
        <w:rPr/>
        <w:t>estimate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0.462,</w:t>
      </w:r>
      <w:r>
        <w:rPr>
          <w:spacing w:val="-13"/>
        </w:rPr>
        <w:t> </w:t>
      </w:r>
      <w:r>
        <w:rPr/>
        <w:t>whereas</w:t>
      </w:r>
      <w:r>
        <w:rPr>
          <w:spacing w:val="-11"/>
        </w:rPr>
        <w:t> </w:t>
      </w:r>
      <w:r>
        <w:rPr/>
        <w:t>Imo</w:t>
      </w:r>
      <w:r>
        <w:rPr>
          <w:spacing w:val="-13"/>
        </w:rPr>
        <w:t> </w:t>
      </w:r>
      <w:r>
        <w:rPr/>
        <w:t>State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same</w:t>
      </w:r>
      <w:r>
        <w:rPr>
          <w:spacing w:val="-14"/>
        </w:rPr>
        <w:t> </w:t>
      </w:r>
      <w:r>
        <w:rPr/>
        <w:t>region</w:t>
      </w:r>
      <w:r>
        <w:rPr>
          <w:spacing w:val="-12"/>
        </w:rPr>
        <w:t> </w:t>
      </w:r>
      <w:r>
        <w:rPr/>
        <w:t>was</w:t>
      </w:r>
      <w:r>
        <w:rPr>
          <w:spacing w:val="-13"/>
        </w:rPr>
        <w:t> </w:t>
      </w:r>
      <w:r>
        <w:rPr/>
        <w:t>found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have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lowest</w:t>
      </w:r>
      <w:r>
        <w:rPr>
          <w:spacing w:val="-14"/>
        </w:rPr>
        <w:t> </w:t>
      </w:r>
      <w:r>
        <w:rPr/>
        <w:t>estimate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0.443</w:t>
      </w:r>
      <w:r>
        <w:rPr>
          <w:spacing w:val="-1"/>
        </w:rPr>
        <w:t> </w:t>
      </w:r>
      <w:r>
        <w:rPr/>
        <w:t>in 2019.</w:t>
      </w:r>
    </w:p>
    <w:p>
      <w:pPr>
        <w:pStyle w:val="Heading4"/>
        <w:spacing w:before="188" w:after="3"/>
        <w:ind w:left="120"/>
      </w:pPr>
      <w:r>
        <w:rPr/>
        <w:t>Table</w:t>
      </w:r>
      <w:r>
        <w:rPr>
          <w:spacing w:val="-2"/>
        </w:rPr>
        <w:t> </w:t>
      </w:r>
      <w:r>
        <w:rPr/>
        <w:t>5.10:</w:t>
      </w:r>
      <w:r>
        <w:rPr>
          <w:spacing w:val="-1"/>
        </w:rPr>
        <w:t> </w:t>
      </w:r>
      <w:r>
        <w:rPr/>
        <w:t>Gini-Coefficients</w:t>
      </w:r>
      <w:r>
        <w:rPr>
          <w:spacing w:val="-2"/>
        </w:rPr>
        <w:t> </w:t>
      </w:r>
      <w:r>
        <w:rPr/>
        <w:t>of Households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South-East</w:t>
      </w:r>
      <w:r>
        <w:rPr>
          <w:spacing w:val="-1"/>
        </w:rPr>
        <w:t> </w:t>
      </w:r>
      <w:r>
        <w:rPr/>
        <w:t>Zone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1892"/>
        <w:gridCol w:w="1709"/>
        <w:gridCol w:w="1712"/>
        <w:gridCol w:w="1704"/>
      </w:tblGrid>
      <w:tr>
        <w:trPr>
          <w:trHeight w:val="379" w:hRule="atLeast"/>
        </w:trPr>
        <w:tc>
          <w:tcPr>
            <w:tcW w:w="233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spacing w:line="247" w:lineRule="exact"/>
              <w:ind w:left="192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1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(2010)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2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(2013)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(2016)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9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4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(2019)</w:t>
            </w:r>
          </w:p>
        </w:tc>
      </w:tr>
      <w:tr>
        <w:trPr>
          <w:trHeight w:val="378" w:hRule="atLeast"/>
        </w:trPr>
        <w:tc>
          <w:tcPr>
            <w:tcW w:w="2335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South-East</w:t>
            </w:r>
            <w:r>
              <w:rPr>
                <w:rFonts w:ascii="Times New Roman"/>
                <w:b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Average</w:t>
            </w:r>
          </w:p>
        </w:tc>
        <w:tc>
          <w:tcPr>
            <w:tcW w:w="1892" w:type="dxa"/>
          </w:tcPr>
          <w:p>
            <w:pPr>
              <w:pStyle w:val="TableParagraph"/>
              <w:spacing w:line="247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0.3904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0.4046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0.4350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0.4542</w:t>
            </w:r>
          </w:p>
        </w:tc>
      </w:tr>
      <w:tr>
        <w:trPr>
          <w:trHeight w:val="381" w:hRule="atLeast"/>
        </w:trPr>
        <w:tc>
          <w:tcPr>
            <w:tcW w:w="2335" w:type="dxa"/>
          </w:tcPr>
          <w:p>
            <w:pPr>
              <w:pStyle w:val="TableParagraph"/>
              <w:spacing w:before="1"/>
              <w:ind w:left="90" w:right="81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Abia</w:t>
            </w:r>
          </w:p>
        </w:tc>
        <w:tc>
          <w:tcPr>
            <w:tcW w:w="1892" w:type="dxa"/>
          </w:tcPr>
          <w:p>
            <w:pPr>
              <w:pStyle w:val="TableParagraph"/>
              <w:spacing w:line="249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0.3753</w:t>
            </w:r>
          </w:p>
        </w:tc>
        <w:tc>
          <w:tcPr>
            <w:tcW w:w="1709" w:type="dxa"/>
          </w:tcPr>
          <w:p>
            <w:pPr>
              <w:pStyle w:val="TableParagraph"/>
              <w:spacing w:line="249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0.3864</w:t>
            </w:r>
          </w:p>
        </w:tc>
        <w:tc>
          <w:tcPr>
            <w:tcW w:w="1712" w:type="dxa"/>
          </w:tcPr>
          <w:p>
            <w:pPr>
              <w:pStyle w:val="TableParagraph"/>
              <w:spacing w:line="249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0.4538</w:t>
            </w:r>
          </w:p>
        </w:tc>
        <w:tc>
          <w:tcPr>
            <w:tcW w:w="1704" w:type="dxa"/>
          </w:tcPr>
          <w:p>
            <w:pPr>
              <w:pStyle w:val="TableParagraph"/>
              <w:spacing w:line="249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0.4561</w:t>
            </w:r>
          </w:p>
        </w:tc>
      </w:tr>
      <w:tr>
        <w:trPr>
          <w:trHeight w:val="378" w:hRule="atLeast"/>
        </w:trPr>
        <w:tc>
          <w:tcPr>
            <w:tcW w:w="2335" w:type="dxa"/>
          </w:tcPr>
          <w:p>
            <w:pPr>
              <w:pStyle w:val="TableParagraph"/>
              <w:spacing w:line="251" w:lineRule="exact"/>
              <w:ind w:left="90" w:right="79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Imo</w:t>
            </w:r>
          </w:p>
        </w:tc>
        <w:tc>
          <w:tcPr>
            <w:tcW w:w="1892" w:type="dxa"/>
          </w:tcPr>
          <w:p>
            <w:pPr>
              <w:pStyle w:val="TableParagraph"/>
              <w:spacing w:line="247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0.3414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0.3572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0.4114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0.4434</w:t>
            </w:r>
          </w:p>
        </w:tc>
      </w:tr>
      <w:tr>
        <w:trPr>
          <w:trHeight w:val="378" w:hRule="atLeast"/>
        </w:trPr>
        <w:tc>
          <w:tcPr>
            <w:tcW w:w="2335" w:type="dxa"/>
          </w:tcPr>
          <w:p>
            <w:pPr>
              <w:pStyle w:val="TableParagraph"/>
              <w:spacing w:line="251" w:lineRule="exact"/>
              <w:ind w:left="90" w:right="83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Enugu</w:t>
            </w:r>
          </w:p>
        </w:tc>
        <w:tc>
          <w:tcPr>
            <w:tcW w:w="1892" w:type="dxa"/>
          </w:tcPr>
          <w:p>
            <w:pPr>
              <w:pStyle w:val="TableParagraph"/>
              <w:spacing w:line="247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0.4583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0.4735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0.4730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0.4593</w:t>
            </w:r>
          </w:p>
        </w:tc>
      </w:tr>
      <w:tr>
        <w:trPr>
          <w:trHeight w:val="378" w:hRule="atLeast"/>
        </w:trPr>
        <w:tc>
          <w:tcPr>
            <w:tcW w:w="2335" w:type="dxa"/>
          </w:tcPr>
          <w:p>
            <w:pPr>
              <w:pStyle w:val="TableParagraph"/>
              <w:spacing w:line="251" w:lineRule="exact"/>
              <w:ind w:left="90" w:right="82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Ebonyi</w:t>
            </w:r>
          </w:p>
        </w:tc>
        <w:tc>
          <w:tcPr>
            <w:tcW w:w="1892" w:type="dxa"/>
          </w:tcPr>
          <w:p>
            <w:pPr>
              <w:pStyle w:val="TableParagraph"/>
              <w:spacing w:line="247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0.4201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0.4362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0.4326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0.4503</w:t>
            </w:r>
          </w:p>
        </w:tc>
      </w:tr>
      <w:tr>
        <w:trPr>
          <w:trHeight w:val="381" w:hRule="atLeast"/>
        </w:trPr>
        <w:tc>
          <w:tcPr>
            <w:tcW w:w="2335" w:type="dxa"/>
          </w:tcPr>
          <w:p>
            <w:pPr>
              <w:pStyle w:val="TableParagraph"/>
              <w:ind w:left="738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Anambra</w:t>
            </w:r>
          </w:p>
        </w:tc>
        <w:tc>
          <w:tcPr>
            <w:tcW w:w="1892" w:type="dxa"/>
          </w:tcPr>
          <w:p>
            <w:pPr>
              <w:pStyle w:val="TableParagraph"/>
              <w:spacing w:line="249" w:lineRule="exact"/>
              <w:ind w:left="191" w:right="1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0.3569</w:t>
            </w:r>
          </w:p>
        </w:tc>
        <w:tc>
          <w:tcPr>
            <w:tcW w:w="1709" w:type="dxa"/>
          </w:tcPr>
          <w:p>
            <w:pPr>
              <w:pStyle w:val="TableParagraph"/>
              <w:spacing w:line="249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0.3697</w:t>
            </w:r>
          </w:p>
        </w:tc>
        <w:tc>
          <w:tcPr>
            <w:tcW w:w="1712" w:type="dxa"/>
          </w:tcPr>
          <w:p>
            <w:pPr>
              <w:pStyle w:val="TableParagraph"/>
              <w:spacing w:line="249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0.4042</w:t>
            </w:r>
          </w:p>
        </w:tc>
        <w:tc>
          <w:tcPr>
            <w:tcW w:w="1704" w:type="dxa"/>
          </w:tcPr>
          <w:p>
            <w:pPr>
              <w:pStyle w:val="TableParagraph"/>
              <w:spacing w:line="249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0.4618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Researcher’s Computations (from</w:t>
      </w:r>
      <w:r>
        <w:rPr>
          <w:spacing w:val="-4"/>
          <w:sz w:val="20"/>
        </w:rPr>
        <w:t> </w:t>
      </w:r>
      <w:r>
        <w:rPr>
          <w:sz w:val="20"/>
        </w:rPr>
        <w:t>NBS</w:t>
      </w:r>
      <w:r>
        <w:rPr>
          <w:spacing w:val="-2"/>
          <w:sz w:val="20"/>
        </w:rPr>
        <w:t> </w:t>
      </w:r>
      <w:r>
        <w:rPr>
          <w:sz w:val="20"/>
        </w:rPr>
        <w:t>NGHS</w:t>
      </w:r>
      <w:r>
        <w:rPr>
          <w:spacing w:val="-3"/>
          <w:sz w:val="20"/>
        </w:rPr>
        <w:t> </w:t>
      </w:r>
      <w:r>
        <w:rPr>
          <w:sz w:val="20"/>
        </w:rPr>
        <w:t>Wave</w:t>
      </w:r>
      <w:r>
        <w:rPr>
          <w:spacing w:val="-1"/>
          <w:sz w:val="20"/>
        </w:rPr>
        <w:t> </w:t>
      </w:r>
      <w:r>
        <w:rPr>
          <w:sz w:val="20"/>
        </w:rPr>
        <w:t>1,</w:t>
      </w:r>
      <w:r>
        <w:rPr>
          <w:spacing w:val="-2"/>
          <w:sz w:val="20"/>
        </w:rPr>
        <w:t> </w:t>
      </w:r>
      <w:r>
        <w:rPr>
          <w:sz w:val="20"/>
        </w:rPr>
        <w:t>2 and</w:t>
      </w:r>
      <w:r>
        <w:rPr>
          <w:spacing w:val="-1"/>
          <w:sz w:val="20"/>
        </w:rPr>
        <w:t> </w:t>
      </w:r>
      <w:r>
        <w:rPr>
          <w:sz w:val="20"/>
        </w:rPr>
        <w:t>3)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460" w:bottom="1200" w:left="1320" w:right="1320"/>
        </w:sectPr>
      </w:pPr>
    </w:p>
    <w:p>
      <w:pPr>
        <w:pStyle w:val="BodyText"/>
        <w:spacing w:line="360" w:lineRule="auto" w:before="74"/>
        <w:ind w:left="120" w:right="116"/>
        <w:jc w:val="both"/>
      </w:pPr>
      <w:r>
        <w:rPr/>
        <w:t>For South-West zone, the regional average was 0.387 in 2010, 0.403 (2016) and 0.456 in 2019 as</w:t>
      </w:r>
      <w:r>
        <w:rPr>
          <w:spacing w:val="-57"/>
        </w:rPr>
        <w:t> </w:t>
      </w:r>
      <w:r>
        <w:rPr>
          <w:spacing w:val="-1"/>
        </w:rPr>
        <w:t>shown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Table</w:t>
      </w:r>
      <w:r>
        <w:rPr>
          <w:spacing w:val="-13"/>
        </w:rPr>
        <w:t> </w:t>
      </w:r>
      <w:r>
        <w:rPr>
          <w:spacing w:val="-1"/>
        </w:rPr>
        <w:t>5.11.</w:t>
      </w:r>
      <w:r>
        <w:rPr>
          <w:spacing w:val="-12"/>
        </w:rPr>
        <w:t> </w:t>
      </w:r>
      <w:r>
        <w:rPr>
          <w:spacing w:val="-1"/>
        </w:rPr>
        <w:t>Like</w:t>
      </w:r>
      <w:r>
        <w:rPr>
          <w:spacing w:val="-13"/>
        </w:rPr>
        <w:t> </w:t>
      </w:r>
      <w:r>
        <w:rPr/>
        <w:t>other</w:t>
      </w:r>
      <w:r>
        <w:rPr>
          <w:spacing w:val="-13"/>
        </w:rPr>
        <w:t> </w:t>
      </w:r>
      <w:r>
        <w:rPr/>
        <w:t>regions,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also</w:t>
      </w:r>
      <w:r>
        <w:rPr>
          <w:spacing w:val="-12"/>
        </w:rPr>
        <w:t> </w:t>
      </w:r>
      <w:r>
        <w:rPr/>
        <w:t>revealed</w:t>
      </w:r>
      <w:r>
        <w:rPr>
          <w:spacing w:val="-13"/>
        </w:rPr>
        <w:t> </w:t>
      </w:r>
      <w:r>
        <w:rPr/>
        <w:t>that</w:t>
      </w:r>
      <w:r>
        <w:rPr>
          <w:spacing w:val="-11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inequality</w:t>
      </w:r>
      <w:r>
        <w:rPr>
          <w:spacing w:val="-20"/>
        </w:rPr>
        <w:t> </w:t>
      </w:r>
      <w:r>
        <w:rPr/>
        <w:t>is</w:t>
      </w:r>
      <w:r>
        <w:rPr>
          <w:spacing w:val="-12"/>
        </w:rPr>
        <w:t> </w:t>
      </w:r>
      <w:r>
        <w:rPr/>
        <w:t>rising</w:t>
      </w:r>
      <w:r>
        <w:rPr>
          <w:spacing w:val="-57"/>
        </w:rPr>
        <w:t> </w:t>
      </w:r>
      <w:r>
        <w:rPr/>
        <w:t>in the South-West region. Although, this finding contradicts the result of World Bank’s estimate,</w:t>
      </w:r>
      <w:r>
        <w:rPr>
          <w:spacing w:val="-57"/>
        </w:rPr>
        <w:t> </w:t>
      </w:r>
      <w:r>
        <w:rPr/>
        <w:t>that found Gini-estimate decline in South-West by 2-point between 2003 and 2013 (see World</w:t>
      </w:r>
      <w:r>
        <w:rPr>
          <w:spacing w:val="1"/>
        </w:rPr>
        <w:t> </w:t>
      </w:r>
      <w:r>
        <w:rPr/>
        <w:t>Bank,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before="184"/>
        <w:ind w:left="120"/>
        <w:jc w:val="both"/>
      </w:pPr>
      <w:r>
        <w:rPr/>
        <w:t>This</w:t>
      </w:r>
      <w:r>
        <w:rPr>
          <w:spacing w:val="4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4"/>
        </w:rPr>
        <w:t> </w:t>
      </w:r>
      <w:r>
        <w:rPr/>
        <w:t>found</w:t>
      </w:r>
      <w:r>
        <w:rPr>
          <w:spacing w:val="3"/>
        </w:rPr>
        <w:t> </w:t>
      </w:r>
      <w:r>
        <w:rPr/>
        <w:t>that</w:t>
      </w:r>
      <w:r>
        <w:rPr>
          <w:spacing w:val="6"/>
        </w:rPr>
        <w:t> </w:t>
      </w:r>
      <w:r>
        <w:rPr/>
        <w:t>Lagos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Ekiti</w:t>
      </w:r>
      <w:r>
        <w:rPr>
          <w:spacing w:val="7"/>
        </w:rPr>
        <w:t> </w:t>
      </w:r>
      <w:r>
        <w:rPr/>
        <w:t>States</w:t>
      </w:r>
      <w:r>
        <w:rPr>
          <w:spacing w:val="6"/>
        </w:rPr>
        <w:t> </w:t>
      </w:r>
      <w:r>
        <w:rPr/>
        <w:t>have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highest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lowest</w:t>
      </w:r>
      <w:r>
        <w:rPr>
          <w:spacing w:val="6"/>
        </w:rPr>
        <w:t> </w:t>
      </w:r>
      <w:r>
        <w:rPr/>
        <w:t>figures</w:t>
      </w:r>
      <w:r>
        <w:rPr>
          <w:spacing w:val="6"/>
        </w:rPr>
        <w:t> </w:t>
      </w:r>
      <w:r>
        <w:rPr/>
        <w:t>at</w:t>
      </w:r>
      <w:r>
        <w:rPr>
          <w:spacing w:val="4"/>
        </w:rPr>
        <w:t> </w:t>
      </w:r>
      <w:r>
        <w:rPr/>
        <w:t>0.41</w:t>
      </w:r>
      <w:r>
        <w:rPr>
          <w:spacing w:val="6"/>
        </w:rPr>
        <w:t> </w:t>
      </w:r>
      <w:r>
        <w:rPr/>
        <w:t>and</w:t>
      </w:r>
    </w:p>
    <w:p>
      <w:pPr>
        <w:pStyle w:val="BodyText"/>
        <w:spacing w:line="360" w:lineRule="auto" w:before="139"/>
        <w:ind w:left="120" w:right="113"/>
        <w:jc w:val="both"/>
      </w:pPr>
      <w:r>
        <w:rPr/>
        <w:t>0.36 in 2010, respectively. The Gini index rose rapidly to 0.479 and 0.432, respectively in Wave</w:t>
      </w:r>
      <w:r>
        <w:rPr>
          <w:spacing w:val="1"/>
        </w:rPr>
        <w:t> </w:t>
      </w:r>
      <w:r>
        <w:rPr/>
        <w:t>4 (2019). The indexes imply that, there is hardly any effective welfare and health policies, as the</w:t>
      </w:r>
      <w:r>
        <w:rPr>
          <w:spacing w:val="1"/>
        </w:rPr>
        <w:t> </w:t>
      </w:r>
      <w:r>
        <w:rPr>
          <w:sz w:val="23"/>
        </w:rPr>
        <w:t>modest</w:t>
      </w:r>
      <w:r>
        <w:rPr>
          <w:spacing w:val="-3"/>
          <w:sz w:val="23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>
          <w:sz w:val="23"/>
        </w:rPr>
        <w:t>income</w:t>
      </w:r>
      <w:r>
        <w:rPr>
          <w:spacing w:val="-3"/>
          <w:sz w:val="23"/>
        </w:rPr>
        <w:t> </w:t>
      </w:r>
      <w:r>
        <w:rPr>
          <w:sz w:val="23"/>
        </w:rPr>
        <w:t>disparity</w:t>
      </w:r>
      <w:r>
        <w:rPr>
          <w:spacing w:val="-7"/>
          <w:sz w:val="23"/>
        </w:rPr>
        <w:t> </w:t>
      </w:r>
      <w:r>
        <w:rPr/>
        <w:t>could</w:t>
      </w:r>
      <w:r>
        <w:rPr>
          <w:spacing w:val="-3"/>
        </w:rPr>
        <w:t> </w:t>
      </w:r>
      <w:r>
        <w:rPr>
          <w:sz w:val="23"/>
        </w:rPr>
        <w:t>completely</w:t>
      </w:r>
      <w:r>
        <w:rPr>
          <w:spacing w:val="-7"/>
          <w:sz w:val="23"/>
        </w:rPr>
        <w:t> </w:t>
      </w:r>
      <w:r>
        <w:rPr/>
        <w:t>eroded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gains</w:t>
      </w:r>
      <w:r>
        <w:rPr>
          <w:spacing w:val="-6"/>
        </w:rPr>
        <w:t> </w:t>
      </w:r>
      <w:r>
        <w:rPr/>
        <w:t>from</w:t>
      </w:r>
      <w:r>
        <w:rPr>
          <w:spacing w:val="-1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growth</w:t>
      </w:r>
      <w:r>
        <w:rPr>
          <w:spacing w:val="-7"/>
        </w:rPr>
        <w:t> </w:t>
      </w:r>
      <w:r>
        <w:rPr/>
        <w:t>over</w:t>
      </w:r>
      <w:r>
        <w:rPr>
          <w:spacing w:val="-57"/>
        </w:rPr>
        <w:t> </w:t>
      </w:r>
      <w:r>
        <w:rPr/>
        <w:t>time.</w:t>
      </w:r>
    </w:p>
    <w:p>
      <w:pPr>
        <w:pStyle w:val="Heading4"/>
        <w:spacing w:before="188" w:after="42"/>
        <w:ind w:left="120"/>
      </w:pPr>
      <w:r>
        <w:rPr/>
        <w:t>Table</w:t>
      </w:r>
      <w:r>
        <w:rPr>
          <w:spacing w:val="-2"/>
        </w:rPr>
        <w:t> </w:t>
      </w:r>
      <w:r>
        <w:rPr/>
        <w:t>5.11:</w:t>
      </w:r>
      <w:r>
        <w:rPr>
          <w:spacing w:val="-1"/>
        </w:rPr>
        <w:t> </w:t>
      </w:r>
      <w:r>
        <w:rPr/>
        <w:t>Gini-Coefficients</w:t>
      </w:r>
      <w:r>
        <w:rPr>
          <w:spacing w:val="-2"/>
        </w:rPr>
        <w:t> </w:t>
      </w:r>
      <w:r>
        <w:rPr/>
        <w:t>of Households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South-West</w:t>
      </w:r>
      <w:r>
        <w:rPr>
          <w:spacing w:val="-1"/>
        </w:rPr>
        <w:t> </w:t>
      </w:r>
      <w:r>
        <w:rPr/>
        <w:t>Region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6"/>
        <w:gridCol w:w="1711"/>
        <w:gridCol w:w="1709"/>
        <w:gridCol w:w="1712"/>
        <w:gridCol w:w="1704"/>
      </w:tblGrid>
      <w:tr>
        <w:trPr>
          <w:trHeight w:val="292" w:hRule="atLeast"/>
        </w:trPr>
        <w:tc>
          <w:tcPr>
            <w:tcW w:w="251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line="249" w:lineRule="exact"/>
              <w:ind w:left="100" w:right="9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1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(2010)</w:t>
            </w:r>
          </w:p>
        </w:tc>
        <w:tc>
          <w:tcPr>
            <w:tcW w:w="1709" w:type="dxa"/>
          </w:tcPr>
          <w:p>
            <w:pPr>
              <w:pStyle w:val="TableParagraph"/>
              <w:spacing w:line="249" w:lineRule="exact"/>
              <w:ind w:left="98" w:right="9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2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(2013)</w:t>
            </w:r>
          </w:p>
        </w:tc>
        <w:tc>
          <w:tcPr>
            <w:tcW w:w="1712" w:type="dxa"/>
          </w:tcPr>
          <w:p>
            <w:pPr>
              <w:pStyle w:val="TableParagraph"/>
              <w:spacing w:line="249" w:lineRule="exact"/>
              <w:ind w:left="101" w:right="9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3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(2016)</w:t>
            </w:r>
          </w:p>
        </w:tc>
        <w:tc>
          <w:tcPr>
            <w:tcW w:w="1704" w:type="dxa"/>
          </w:tcPr>
          <w:p>
            <w:pPr>
              <w:pStyle w:val="TableParagraph"/>
              <w:spacing w:line="249" w:lineRule="exact"/>
              <w:ind w:left="96" w:right="9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WAVE 4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(2019)</w:t>
            </w:r>
          </w:p>
        </w:tc>
      </w:tr>
      <w:tr>
        <w:trPr>
          <w:trHeight w:val="290" w:hRule="atLeast"/>
        </w:trPr>
        <w:tc>
          <w:tcPr>
            <w:tcW w:w="2516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South-West</w:t>
            </w:r>
            <w:r>
              <w:rPr>
                <w:rFonts w:ascii="Times New Roman"/>
                <w:b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Average</w:t>
            </w:r>
          </w:p>
        </w:tc>
        <w:tc>
          <w:tcPr>
            <w:tcW w:w="1711" w:type="dxa"/>
          </w:tcPr>
          <w:p>
            <w:pPr>
              <w:pStyle w:val="TableParagraph"/>
              <w:spacing w:line="247" w:lineRule="exact"/>
              <w:ind w:left="100" w:right="9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0.3866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0.4016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0.4091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0.4564</w:t>
            </w:r>
          </w:p>
        </w:tc>
      </w:tr>
      <w:tr>
        <w:trPr>
          <w:trHeight w:val="292" w:hRule="atLeast"/>
        </w:trPr>
        <w:tc>
          <w:tcPr>
            <w:tcW w:w="2516" w:type="dxa"/>
          </w:tcPr>
          <w:p>
            <w:pPr>
              <w:pStyle w:val="TableParagraph"/>
              <w:spacing w:line="251" w:lineRule="exact"/>
              <w:ind w:left="961" w:right="954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Ekiti</w:t>
            </w:r>
          </w:p>
        </w:tc>
        <w:tc>
          <w:tcPr>
            <w:tcW w:w="1711" w:type="dxa"/>
          </w:tcPr>
          <w:p>
            <w:pPr>
              <w:pStyle w:val="TableParagraph"/>
              <w:spacing w:line="247" w:lineRule="exact"/>
              <w:ind w:left="100" w:right="9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0.3748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0.3842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0.3984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0.4317</w:t>
            </w:r>
          </w:p>
        </w:tc>
      </w:tr>
      <w:tr>
        <w:trPr>
          <w:trHeight w:val="290" w:hRule="atLeast"/>
        </w:trPr>
        <w:tc>
          <w:tcPr>
            <w:tcW w:w="2516" w:type="dxa"/>
          </w:tcPr>
          <w:p>
            <w:pPr>
              <w:pStyle w:val="TableParagraph"/>
              <w:spacing w:line="251" w:lineRule="exact"/>
              <w:ind w:left="960" w:right="954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Ondo</w:t>
            </w:r>
          </w:p>
        </w:tc>
        <w:tc>
          <w:tcPr>
            <w:tcW w:w="1711" w:type="dxa"/>
          </w:tcPr>
          <w:p>
            <w:pPr>
              <w:pStyle w:val="TableParagraph"/>
              <w:spacing w:line="247" w:lineRule="exact"/>
              <w:ind w:left="100" w:right="9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0.3835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0.3997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0.4011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0.4622</w:t>
            </w:r>
          </w:p>
        </w:tc>
      </w:tr>
      <w:tr>
        <w:trPr>
          <w:trHeight w:val="290" w:hRule="atLeast"/>
        </w:trPr>
        <w:tc>
          <w:tcPr>
            <w:tcW w:w="2516" w:type="dxa"/>
          </w:tcPr>
          <w:p>
            <w:pPr>
              <w:pStyle w:val="TableParagraph"/>
              <w:spacing w:line="251" w:lineRule="exact"/>
              <w:ind w:left="962" w:right="954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Osun</w:t>
            </w:r>
          </w:p>
        </w:tc>
        <w:tc>
          <w:tcPr>
            <w:tcW w:w="1711" w:type="dxa"/>
          </w:tcPr>
          <w:p>
            <w:pPr>
              <w:pStyle w:val="TableParagraph"/>
              <w:spacing w:line="247" w:lineRule="exact"/>
              <w:ind w:left="100" w:right="9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0.3679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0.3745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0.3990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0.4388</w:t>
            </w:r>
          </w:p>
        </w:tc>
      </w:tr>
      <w:tr>
        <w:trPr>
          <w:trHeight w:val="292" w:hRule="atLeast"/>
        </w:trPr>
        <w:tc>
          <w:tcPr>
            <w:tcW w:w="2516" w:type="dxa"/>
          </w:tcPr>
          <w:p>
            <w:pPr>
              <w:pStyle w:val="TableParagraph"/>
              <w:spacing w:before="1"/>
              <w:ind w:left="959" w:right="954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Oyo</w:t>
            </w:r>
          </w:p>
        </w:tc>
        <w:tc>
          <w:tcPr>
            <w:tcW w:w="1711" w:type="dxa"/>
          </w:tcPr>
          <w:p>
            <w:pPr>
              <w:pStyle w:val="TableParagraph"/>
              <w:spacing w:line="249" w:lineRule="exact"/>
              <w:ind w:left="100" w:right="9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0.4002</w:t>
            </w:r>
          </w:p>
        </w:tc>
        <w:tc>
          <w:tcPr>
            <w:tcW w:w="1709" w:type="dxa"/>
          </w:tcPr>
          <w:p>
            <w:pPr>
              <w:pStyle w:val="TableParagraph"/>
              <w:spacing w:line="249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0.4038</w:t>
            </w:r>
          </w:p>
        </w:tc>
        <w:tc>
          <w:tcPr>
            <w:tcW w:w="1712" w:type="dxa"/>
          </w:tcPr>
          <w:p>
            <w:pPr>
              <w:pStyle w:val="TableParagraph"/>
              <w:spacing w:line="249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0.4064</w:t>
            </w:r>
          </w:p>
        </w:tc>
        <w:tc>
          <w:tcPr>
            <w:tcW w:w="1704" w:type="dxa"/>
          </w:tcPr>
          <w:p>
            <w:pPr>
              <w:pStyle w:val="TableParagraph"/>
              <w:spacing w:line="249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0.4625</w:t>
            </w:r>
          </w:p>
        </w:tc>
      </w:tr>
      <w:tr>
        <w:trPr>
          <w:trHeight w:val="290" w:hRule="atLeast"/>
        </w:trPr>
        <w:tc>
          <w:tcPr>
            <w:tcW w:w="2516" w:type="dxa"/>
          </w:tcPr>
          <w:p>
            <w:pPr>
              <w:pStyle w:val="TableParagraph"/>
              <w:spacing w:line="252" w:lineRule="exact"/>
              <w:ind w:left="962" w:right="953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Ogun</w:t>
            </w:r>
          </w:p>
        </w:tc>
        <w:tc>
          <w:tcPr>
            <w:tcW w:w="1711" w:type="dxa"/>
          </w:tcPr>
          <w:p>
            <w:pPr>
              <w:pStyle w:val="TableParagraph"/>
              <w:spacing w:line="247" w:lineRule="exact"/>
              <w:ind w:left="100" w:right="9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0.3814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0.3891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0.3919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0.4634</w:t>
            </w:r>
          </w:p>
        </w:tc>
      </w:tr>
      <w:tr>
        <w:trPr>
          <w:trHeight w:val="292" w:hRule="atLeast"/>
        </w:trPr>
        <w:tc>
          <w:tcPr>
            <w:tcW w:w="2516" w:type="dxa"/>
          </w:tcPr>
          <w:p>
            <w:pPr>
              <w:pStyle w:val="TableParagraph"/>
              <w:spacing w:line="251" w:lineRule="exact"/>
              <w:ind w:left="962" w:right="954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Lagos</w:t>
            </w:r>
          </w:p>
        </w:tc>
        <w:tc>
          <w:tcPr>
            <w:tcW w:w="1711" w:type="dxa"/>
          </w:tcPr>
          <w:p>
            <w:pPr>
              <w:pStyle w:val="TableParagraph"/>
              <w:spacing w:line="247" w:lineRule="exact"/>
              <w:ind w:left="100" w:right="9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0.4118</w:t>
            </w:r>
          </w:p>
        </w:tc>
        <w:tc>
          <w:tcPr>
            <w:tcW w:w="1709" w:type="dxa"/>
          </w:tcPr>
          <w:p>
            <w:pPr>
              <w:pStyle w:val="TableParagraph"/>
              <w:spacing w:line="247" w:lineRule="exact"/>
              <w:ind w:left="98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0.4481</w:t>
            </w:r>
          </w:p>
        </w:tc>
        <w:tc>
          <w:tcPr>
            <w:tcW w:w="1712" w:type="dxa"/>
          </w:tcPr>
          <w:p>
            <w:pPr>
              <w:pStyle w:val="TableParagraph"/>
              <w:spacing w:line="247" w:lineRule="exact"/>
              <w:ind w:left="101" w:right="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0.4580</w:t>
            </w: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6" w:right="8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0.4798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Researcher’s Computations (from</w:t>
      </w:r>
      <w:r>
        <w:rPr>
          <w:spacing w:val="-4"/>
          <w:sz w:val="20"/>
        </w:rPr>
        <w:t> </w:t>
      </w:r>
      <w:r>
        <w:rPr>
          <w:sz w:val="20"/>
        </w:rPr>
        <w:t>NBS</w:t>
      </w:r>
      <w:r>
        <w:rPr>
          <w:spacing w:val="-2"/>
          <w:sz w:val="20"/>
        </w:rPr>
        <w:t> </w:t>
      </w:r>
      <w:r>
        <w:rPr>
          <w:sz w:val="20"/>
        </w:rPr>
        <w:t>NGHS</w:t>
      </w:r>
      <w:r>
        <w:rPr>
          <w:spacing w:val="-3"/>
          <w:sz w:val="20"/>
        </w:rPr>
        <w:t> </w:t>
      </w:r>
      <w:r>
        <w:rPr>
          <w:sz w:val="20"/>
        </w:rPr>
        <w:t>Wave</w:t>
      </w:r>
      <w:r>
        <w:rPr>
          <w:spacing w:val="-1"/>
          <w:sz w:val="20"/>
        </w:rPr>
        <w:t> </w:t>
      </w:r>
      <w:r>
        <w:rPr>
          <w:sz w:val="20"/>
        </w:rPr>
        <w:t>1,</w:t>
      </w:r>
      <w:r>
        <w:rPr>
          <w:spacing w:val="-2"/>
          <w:sz w:val="20"/>
        </w:rPr>
        <w:t> </w:t>
      </w:r>
      <w:r>
        <w:rPr>
          <w:sz w:val="20"/>
        </w:rPr>
        <w:t>2 and</w:t>
      </w:r>
      <w:r>
        <w:rPr>
          <w:spacing w:val="-1"/>
          <w:sz w:val="20"/>
        </w:rPr>
        <w:t> </w:t>
      </w:r>
      <w:r>
        <w:rPr>
          <w:sz w:val="20"/>
        </w:rPr>
        <w:t>3)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60" w:lineRule="auto" w:before="1"/>
        <w:ind w:left="120" w:right="116"/>
        <w:jc w:val="both"/>
      </w:pP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>
          <w:sz w:val="23"/>
        </w:rPr>
        <w:t>NGHPS</w:t>
      </w:r>
      <w:r>
        <w:rPr>
          <w:spacing w:val="-6"/>
          <w:sz w:val="23"/>
        </w:rPr>
        <w:t> </w:t>
      </w:r>
      <w:r>
        <w:rPr/>
        <w:t>data,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</w:t>
      </w:r>
      <w:r>
        <w:rPr>
          <w:spacing w:val="-9"/>
        </w:rPr>
        <w:t> </w:t>
      </w:r>
      <w:r>
        <w:rPr>
          <w:sz w:val="23"/>
        </w:rPr>
        <w:t>found</w:t>
      </w:r>
      <w:r>
        <w:rPr>
          <w:spacing w:val="-5"/>
          <w:sz w:val="23"/>
        </w:rPr>
        <w:t> </w:t>
      </w:r>
      <w:r>
        <w:rPr/>
        <w:t>strong</w:t>
      </w:r>
      <w:r>
        <w:rPr>
          <w:spacing w:val="-8"/>
        </w:rPr>
        <w:t> </w:t>
      </w:r>
      <w:r>
        <w:rPr/>
        <w:t>evidence</w:t>
      </w:r>
      <w:r>
        <w:rPr>
          <w:spacing w:val="-6"/>
        </w:rPr>
        <w:t> </w:t>
      </w:r>
      <w:r>
        <w:rPr>
          <w:sz w:val="23"/>
        </w:rPr>
        <w:t>for</w:t>
      </w:r>
      <w:r>
        <w:rPr>
          <w:spacing w:val="-4"/>
          <w:sz w:val="23"/>
        </w:rPr>
        <w:t> </w:t>
      </w:r>
      <w:r>
        <w:rPr/>
        <w:t>rising</w:t>
      </w:r>
      <w:r>
        <w:rPr>
          <w:spacing w:val="-10"/>
        </w:rPr>
        <w:t> </w:t>
      </w:r>
      <w:r>
        <w:rPr/>
        <w:t>income</w:t>
      </w:r>
      <w:r>
        <w:rPr>
          <w:spacing w:val="-9"/>
        </w:rPr>
        <w:t> </w:t>
      </w:r>
      <w:r>
        <w:rPr/>
        <w:t>inequality</w:t>
      </w:r>
      <w:r>
        <w:rPr>
          <w:spacing w:val="-10"/>
        </w:rPr>
        <w:t> </w:t>
      </w:r>
      <w:r>
        <w:rPr/>
        <w:t>across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36 states and FCT Abuja except Enugu and Cross Rivers States (see Figure 5.5). By comparison,</w:t>
      </w:r>
      <w:r>
        <w:rPr>
          <w:spacing w:val="-57"/>
        </w:rPr>
        <w:t> </w:t>
      </w:r>
      <w:r>
        <w:rPr>
          <w:sz w:val="23"/>
        </w:rPr>
        <w:t>Akwa-Ibom</w:t>
      </w:r>
      <w:r>
        <w:rPr>
          <w:spacing w:val="2"/>
          <w:sz w:val="23"/>
        </w:rPr>
        <w:t> </w:t>
      </w:r>
      <w:r>
        <w:rPr/>
        <w:t>State</w:t>
      </w:r>
      <w:r>
        <w:rPr>
          <w:spacing w:val="-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 highest Gini-estimate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0.4854 in 2019.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20" w:right="113"/>
        <w:jc w:val="both"/>
      </w:pPr>
      <w:r>
        <w:rPr/>
        <w:t>This is quite surprising because the state is an oil producing state in Nigeria. Though the state is</w:t>
      </w:r>
      <w:r>
        <w:rPr>
          <w:spacing w:val="1"/>
        </w:rPr>
        <w:t> </w:t>
      </w:r>
      <w:r>
        <w:rPr/>
        <w:t>also reported to have the highest rate of unemployment (38%) in 2018 quarter 3 (NBS, 2019). By</w:t>
      </w:r>
      <w:r>
        <w:rPr>
          <w:spacing w:val="-57"/>
        </w:rPr>
        <w:t> </w:t>
      </w:r>
      <w:r>
        <w:rPr/>
        <w:t>comparison,</w:t>
      </w:r>
      <w:r>
        <w:rPr>
          <w:spacing w:val="-1"/>
        </w:rPr>
        <w:t> </w:t>
      </w:r>
      <w:r>
        <w:rPr/>
        <w:t>Ekiti State</w:t>
      </w:r>
      <w:r>
        <w:rPr>
          <w:spacing w:val="-1"/>
        </w:rPr>
        <w:t> </w:t>
      </w:r>
      <w:r>
        <w:rPr/>
        <w:t>has the lowest Gini estimate</w:t>
      </w:r>
      <w:r>
        <w:rPr>
          <w:spacing w:val="-1"/>
        </w:rPr>
        <w:t> </w:t>
      </w:r>
      <w:r>
        <w:rPr/>
        <w:t>of 0.432 in</w:t>
      </w:r>
      <w:r>
        <w:rPr>
          <w:spacing w:val="-1"/>
        </w:rPr>
        <w:t> </w:t>
      </w:r>
      <w:r>
        <w:rPr/>
        <w:t>2019 Wave</w:t>
      </w:r>
      <w:r>
        <w:rPr>
          <w:spacing w:val="-1"/>
        </w:rPr>
        <w:t> </w:t>
      </w:r>
      <w:r>
        <w:rPr/>
        <w:t>4.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1320" w:right="1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1.639999pt;margin-top:90pt;width:650.2pt;height:396pt;mso-position-horizontal-relative:page;mso-position-vertical-relative:page;z-index:15781376" coordorigin="1433,1800" coordsize="13004,7920">
            <v:shape style="position:absolute;left:2136;top:6134;width:12075;height:910" coordorigin="2136,6134" coordsize="12075,910" path="m2136,7044l14210,7044m2136,6134l14210,6134e" filled="false" stroked="true" strokeweight=".72pt" strokecolor="#d9d9d9">
              <v:path arrowok="t"/>
              <v:stroke dashstyle="solid"/>
            </v:shape>
            <v:shape style="position:absolute;left:2136;top:4310;width:12075;height:912" coordorigin="2136,4310" coordsize="12075,912" path="m2136,5222l6480,5222m6600,5222l14210,5222m2136,4310l2890,4310m3010,4310l12682,4310m12802,4310l14210,4310e" filled="false" stroked="true" strokeweight=".72pt" strokecolor="#d9d9d9">
              <v:path arrowok="t"/>
              <v:stroke dashstyle="solid"/>
            </v:shape>
            <v:line style="position:absolute" from="2136,3401" to="14210,3401" stroked="true" strokeweight=".72pt" strokecolor="#d9d9d9">
              <v:stroke dashstyle="solid"/>
            </v:line>
            <v:shape style="position:absolute;left:2229;top:3466;width:11885;height:2050" type="#_x0000_t75" stroked="false">
              <v:imagedata r:id="rId164" o:title=""/>
            </v:shape>
            <v:shape style="position:absolute;left:2136;top:2488;width:12075;height:5468" coordorigin="2136,2489" coordsize="12075,5468" path="m2136,2489l14210,2489m2136,7956l14210,7956e" filled="false" stroked="true" strokeweight=".72pt" strokecolor="#d9d9d9">
              <v:path arrowok="t"/>
              <v:stroke dashstyle="solid"/>
            </v:shape>
            <v:shape style="position:absolute;left:1642;top:8118;width:12411;height:879" type="#_x0000_t75" stroked="false">
              <v:imagedata r:id="rId165" o:title=""/>
            </v:shape>
            <v:shape style="position:absolute;left:4540;top:9364;width:384;height:116" type="#_x0000_t75" stroked="false">
              <v:imagedata r:id="rId166" o:title=""/>
            </v:shape>
            <v:line style="position:absolute" from="6331,9425" to="6715,9425" stroked="true" strokeweight="1.68pt" strokecolor="#ec7c30">
              <v:stroke dashstyle="solid"/>
            </v:line>
            <v:rect style="position:absolute;left:6470;top:9372;width:101;height:101" filled="true" fillcolor="#ec7c30" stroked="false">
              <v:fill type="solid"/>
            </v:rect>
            <v:rect style="position:absolute;left:6470;top:9372;width:101;height:101" filled="false" stroked="true" strokeweight=".72pt" strokecolor="#ec7c30">
              <v:stroke dashstyle="solid"/>
            </v:rect>
            <v:shape style="position:absolute;left:8121;top:9364;width:384;height:116" type="#_x0000_t75" stroked="false">
              <v:imagedata r:id="rId167" o:title=""/>
            </v:shape>
            <v:line style="position:absolute" from="9912,9425" to="10296,9425" stroked="true" strokeweight="1.68pt" strokecolor="#ffc000">
              <v:stroke dashstyle="solid"/>
            </v:line>
            <v:shape style="position:absolute;left:10053;top:9372;width:101;height:101" coordorigin="10054,9372" coordsize="101,101" path="m10154,9473l10054,9372m10054,9473l10154,9372e" filled="false" stroked="true" strokeweight=".72pt" strokecolor="#ffc000">
              <v:path arrowok="t"/>
              <v:stroke dashstyle="solid"/>
            </v:shape>
            <v:rect style="position:absolute;left:1440;top:1807;width:12989;height:7906" filled="false" stroked="true" strokeweight=".72pt" strokecolor="#d9d9d9">
              <v:stroke dashstyle="solid"/>
            </v:rect>
            <v:shape style="position:absolute;left:6078;top:1959;width:3704;height:390" type="#_x0000_t202" filled="false" stroked="false">
              <v:textbox inset="0,0,0,0">
                <w:txbxContent>
                  <w:p>
                    <w:pPr>
                      <w:spacing w:line="39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32"/>
                      </w:rPr>
                      <w:t>STATE</w:t>
                    </w:r>
                    <w:r>
                      <w:rPr>
                        <w:rFonts w:ascii="Calibri"/>
                        <w:b/>
                        <w:color w:val="585858"/>
                        <w:spacing w:val="63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pacing w:val="17"/>
                        <w:sz w:val="32"/>
                      </w:rPr>
                      <w:t>GINI</w:t>
                    </w:r>
                    <w:r>
                      <w:rPr>
                        <w:rFonts w:ascii="Calibri"/>
                        <w:b/>
                        <w:color w:val="585858"/>
                        <w:spacing w:val="68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pacing w:val="20"/>
                        <w:sz w:val="32"/>
                      </w:rPr>
                      <w:t>COEFFICIENT</w:t>
                    </w:r>
                  </w:p>
                </w:txbxContent>
              </v:textbox>
              <w10:wrap type="none"/>
            </v:shape>
            <v:shape style="position:absolute;left:1740;top:2404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1740;top:331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1740;top:4226;width:24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1740;top:5139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1740;top:6050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1740;top:6962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1876;top:787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965;top:9341;width:10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(2010)</w:t>
                    </w:r>
                  </w:p>
                </w:txbxContent>
              </v:textbox>
              <w10:wrap type="none"/>
            </v:shape>
            <v:shape style="position:absolute;left:6756;top:9341;width:10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(2013)</w:t>
                    </w:r>
                  </w:p>
                </w:txbxContent>
              </v:textbox>
              <w10:wrap type="none"/>
            </v:shape>
            <v:shape style="position:absolute;left:8547;top:9341;width:10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(2016)</w:t>
                    </w:r>
                  </w:p>
                </w:txbxContent>
              </v:textbox>
              <w10:wrap type="none"/>
            </v:shape>
            <v:shape style="position:absolute;left:10338;top:9341;width:10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(2019)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4"/>
        <w:spacing w:line="274" w:lineRule="exact"/>
        <w:ind w:left="120"/>
        <w:jc w:val="left"/>
      </w:pPr>
      <w:r>
        <w:rPr/>
        <w:t>Figure</w:t>
      </w:r>
      <w:r>
        <w:rPr>
          <w:spacing w:val="-2"/>
        </w:rPr>
        <w:t> </w:t>
      </w:r>
      <w:r>
        <w:rPr/>
        <w:t>5.5:</w:t>
      </w:r>
      <w:r>
        <w:rPr>
          <w:spacing w:val="-1"/>
        </w:rPr>
        <w:t> </w:t>
      </w:r>
      <w:r>
        <w:rPr/>
        <w:t>Gini</w:t>
      </w:r>
      <w:r>
        <w:rPr>
          <w:spacing w:val="-1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for 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36</w:t>
      </w:r>
      <w:r>
        <w:rPr>
          <w:spacing w:val="-1"/>
        </w:rPr>
        <w:t> </w:t>
      </w:r>
      <w:r>
        <w:rPr/>
        <w:t>States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FCT</w:t>
      </w:r>
      <w:r>
        <w:rPr>
          <w:spacing w:val="-1"/>
        </w:rPr>
        <w:t> </w:t>
      </w:r>
      <w:r>
        <w:rPr/>
        <w:t>Abuja</w:t>
      </w:r>
      <w:r>
        <w:rPr>
          <w:spacing w:val="-1"/>
        </w:rPr>
        <w:t> </w:t>
      </w:r>
      <w:r>
        <w:rPr/>
        <w:t>in Nigeria (2010-2019)</w:t>
      </w:r>
    </w:p>
    <w:p>
      <w:pPr>
        <w:spacing w:line="228" w:lineRule="exact" w:before="0"/>
        <w:ind w:left="120" w:right="0" w:firstLine="0"/>
        <w:jc w:val="left"/>
        <w:rPr>
          <w:sz w:val="20"/>
        </w:rPr>
      </w:pPr>
      <w:r>
        <w:rPr>
          <w:i/>
          <w:sz w:val="20"/>
        </w:rPr>
        <w:t>Source: </w:t>
      </w:r>
      <w:r>
        <w:rPr>
          <w:sz w:val="20"/>
        </w:rPr>
        <w:t>Computed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NGHPS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Waves</w:t>
      </w:r>
      <w:r>
        <w:rPr>
          <w:spacing w:val="-2"/>
          <w:sz w:val="20"/>
        </w:rPr>
        <w:t> </w:t>
      </w:r>
      <w:r>
        <w:rPr>
          <w:sz w:val="20"/>
        </w:rPr>
        <w:t>(2010-2019)</w:t>
      </w:r>
    </w:p>
    <w:p>
      <w:pPr>
        <w:spacing w:after="0" w:line="228" w:lineRule="exact"/>
        <w:jc w:val="left"/>
        <w:rPr>
          <w:sz w:val="20"/>
        </w:rPr>
        <w:sectPr>
          <w:footerReference w:type="default" r:id="rId163"/>
          <w:pgSz w:w="15840" w:h="12240" w:orient="landscape"/>
          <w:pgMar w:footer="1015" w:header="0" w:top="1140" w:bottom="1200" w:left="1320" w:right="2260"/>
        </w:sectPr>
      </w:pPr>
    </w:p>
    <w:p>
      <w:pPr>
        <w:pStyle w:val="BodyText"/>
        <w:spacing w:line="360" w:lineRule="auto" w:before="74"/>
        <w:ind w:left="120" w:right="113"/>
        <w:jc w:val="both"/>
      </w:pPr>
      <w:r>
        <w:rPr/>
        <w:pict>
          <v:group style="position:absolute;margin-left:71.639999pt;margin-top:178.443115pt;width:462.75pt;height:192.75pt;mso-position-horizontal-relative:page;mso-position-vertical-relative:paragraph;z-index:15781888" coordorigin="1433,3569" coordsize="9255,3855">
            <v:shape style="position:absolute;left:2479;top:6384;width:233;height:504" coordorigin="2479,6384" coordsize="233,504" path="m2479,6888l2712,6888m2479,6826l2712,6826m2479,6761l2712,6761m2479,6698l2712,6698m2479,6571l2712,6571m2479,6509l2712,6509m2479,6446l2712,6446m2479,6384l2712,6384e" filled="false" stroked="true" strokeweight=".72pt" strokecolor="#f1f1f1">
              <v:path arrowok="t"/>
              <v:stroke dashstyle="solid"/>
            </v:shape>
            <v:line style="position:absolute" from="2479,6636" to="2712,6636" stroked="true" strokeweight=".72pt" strokecolor="#d9d9d9">
              <v:stroke dashstyle="solid"/>
            </v:line>
            <v:shape style="position:absolute;left:2479;top:6067;width:233;height:190" coordorigin="2479,6067" coordsize="233,190" path="m2479,6257l2712,6257m2479,6194l2712,6194m2479,6130l2712,6130m2479,6067l2712,6067e" filled="false" stroked="true" strokeweight=".72pt" strokecolor="#f1f1f1">
              <v:path arrowok="t"/>
              <v:stroke dashstyle="solid"/>
            </v:shape>
            <v:line style="position:absolute" from="2479,6319" to="2712,6319" stroked="true" strokeweight=".72pt" strokecolor="#d9d9d9">
              <v:stroke dashstyle="solid"/>
            </v:line>
            <v:shape style="position:absolute;left:2479;top:5752;width:233;height:188" coordorigin="2479,5753" coordsize="233,188" path="m2479,5940l2712,5940m2479,5878l2712,5878m2479,5815l2712,5815m2479,5753l2712,5753e" filled="false" stroked="true" strokeweight=".72pt" strokecolor="#f1f1f1">
              <v:path arrowok="t"/>
              <v:stroke dashstyle="solid"/>
            </v:shape>
            <v:line style="position:absolute" from="2479,6005" to="2712,6005" stroked="true" strokeweight=".72pt" strokecolor="#d9d9d9">
              <v:stroke dashstyle="solid"/>
            </v:line>
            <v:shape style="position:absolute;left:2479;top:5436;width:233;height:190" coordorigin="2479,5436" coordsize="233,190" path="m2479,5626l2712,5626m2479,5563l2712,5563m2479,5498l2712,5498m2479,5436l2712,5436e" filled="false" stroked="true" strokeweight=".72pt" strokecolor="#f1f1f1">
              <v:path arrowok="t"/>
              <v:stroke dashstyle="solid"/>
            </v:shape>
            <v:line style="position:absolute" from="2479,5688" to="2712,5688" stroked="true" strokeweight=".72pt" strokecolor="#d9d9d9">
              <v:stroke dashstyle="solid"/>
            </v:line>
            <v:shape style="position:absolute;left:2479;top:5121;width:233;height:188" coordorigin="2479,5122" coordsize="233,188" path="m2479,5309l2712,5309m2479,5246l2712,5246m2479,5184l2712,5184m2479,5122l2712,5122e" filled="false" stroked="true" strokeweight=".72pt" strokecolor="#f1f1f1">
              <v:path arrowok="t"/>
              <v:stroke dashstyle="solid"/>
            </v:shape>
            <v:line style="position:absolute" from="2479,5374" to="2712,5374" stroked="true" strokeweight=".72pt" strokecolor="#d9d9d9">
              <v:stroke dashstyle="solid"/>
            </v:line>
            <v:shape style="position:absolute;left:2479;top:4804;width:233;height:190" coordorigin="2479,4805" coordsize="233,190" path="m2479,4994l2712,4994m2479,4932l2712,4932m2479,4867l2712,4867m2479,4805l2712,4805e" filled="false" stroked="true" strokeweight=".72pt" strokecolor="#f1f1f1">
              <v:path arrowok="t"/>
              <v:stroke dashstyle="solid"/>
            </v:shape>
            <v:line style="position:absolute" from="2479,5057" to="2712,5057" stroked="true" strokeweight=".72pt" strokecolor="#d9d9d9">
              <v:stroke dashstyle="solid"/>
            </v:line>
            <v:shape style="position:absolute;left:2479;top:4490;width:540;height:188" coordorigin="2479,4490" coordsize="540,188" path="m2479,4678l2866,4678m2479,4615l3019,4615m2479,4553l3019,4553m2479,4490l3019,4490e" filled="false" stroked="true" strokeweight=".72pt" strokecolor="#f1f1f1">
              <v:path arrowok="t"/>
              <v:stroke dashstyle="solid"/>
            </v:shape>
            <v:line style="position:absolute" from="2479,4742" to="2712,4742" stroked="true" strokeweight=".72pt" strokecolor="#d9d9d9">
              <v:stroke dashstyle="solid"/>
            </v:line>
            <v:shape style="position:absolute;left:2479;top:4173;width:696;height:190" coordorigin="2479,4174" coordsize="696,190" path="m2479,4363l3019,4363m2479,4301l3175,4301m2479,4236l3175,4236m2479,4174l3175,4174e" filled="false" stroked="true" strokeweight=".72pt" strokecolor="#f1f1f1">
              <v:path arrowok="t"/>
              <v:stroke dashstyle="solid"/>
            </v:shape>
            <v:line style="position:absolute" from="2479,4426" to="3019,4426" stroked="true" strokeweight=".72pt" strokecolor="#d9d9d9">
              <v:stroke dashstyle="solid"/>
            </v:line>
            <v:shape style="position:absolute;left:3328;top:6384;width:464;height:504" coordorigin="3329,6384" coordsize="464,504" path="m3329,6888l3792,6888m3329,6826l3792,6826m3329,6761l3792,6761m3329,6698l3792,6698m3329,6571l3792,6571m3329,6509l3792,6509m3329,6446l3792,6446m3329,6384l3792,6384e" filled="false" stroked="true" strokeweight=".72pt" strokecolor="#f1f1f1">
              <v:path arrowok="t"/>
              <v:stroke dashstyle="solid"/>
            </v:shape>
            <v:line style="position:absolute" from="3329,6636" to="3792,6636" stroked="true" strokeweight=".72pt" strokecolor="#d9d9d9">
              <v:stroke dashstyle="solid"/>
            </v:line>
            <v:shape style="position:absolute;left:3328;top:6067;width:464;height:190" coordorigin="3329,6067" coordsize="464,190" path="m3329,6257l3792,6257m3329,6194l3792,6194m3329,6130l3792,6130m3329,6067l3792,6067e" filled="false" stroked="true" strokeweight=".72pt" strokecolor="#f1f1f1">
              <v:path arrowok="t"/>
              <v:stroke dashstyle="solid"/>
            </v:shape>
            <v:line style="position:absolute" from="3329,6319" to="3792,6319" stroked="true" strokeweight=".72pt" strokecolor="#d9d9d9">
              <v:stroke dashstyle="solid"/>
            </v:line>
            <v:shape style="position:absolute;left:3328;top:5752;width:464;height:188" coordorigin="3329,5753" coordsize="464,188" path="m3329,5940l3792,5940m3329,5878l3792,5878m3329,5815l3792,5815m3329,5753l3792,5753e" filled="false" stroked="true" strokeweight=".72pt" strokecolor="#f1f1f1">
              <v:path arrowok="t"/>
              <v:stroke dashstyle="solid"/>
            </v:shape>
            <v:line style="position:absolute" from="3329,6005" to="3792,6005" stroked="true" strokeweight=".72pt" strokecolor="#d9d9d9">
              <v:stroke dashstyle="solid"/>
            </v:line>
            <v:shape style="position:absolute;left:3328;top:5436;width:464;height:190" coordorigin="3329,5436" coordsize="464,190" path="m3329,5626l3792,5626m3329,5563l3792,5563m3329,5498l3792,5498m3329,5436l3792,5436e" filled="false" stroked="true" strokeweight=".72pt" strokecolor="#f1f1f1">
              <v:path arrowok="t"/>
              <v:stroke dashstyle="solid"/>
            </v:shape>
            <v:line style="position:absolute" from="3329,5688" to="3792,5688" stroked="true" strokeweight=".72pt" strokecolor="#d9d9d9">
              <v:stroke dashstyle="solid"/>
            </v:line>
            <v:shape style="position:absolute;left:3328;top:5121;width:464;height:188" coordorigin="3329,5122" coordsize="464,188" path="m3329,5309l3792,5309m3329,5246l3792,5246m3329,5184l3792,5184m3329,5122l3792,5122e" filled="false" stroked="true" strokeweight=".72pt" strokecolor="#f1f1f1">
              <v:path arrowok="t"/>
              <v:stroke dashstyle="solid"/>
            </v:shape>
            <v:line style="position:absolute" from="3329,5374" to="3792,5374" stroked="true" strokeweight=".72pt" strokecolor="#d9d9d9">
              <v:stroke dashstyle="solid"/>
            </v:line>
            <v:shape style="position:absolute;left:3328;top:4867;width:464;height:128" coordorigin="3329,4867" coordsize="464,128" path="m3329,4994l3792,4994m3329,4932l3792,4932m3329,4867l3792,4867e" filled="false" stroked="true" strokeweight=".72pt" strokecolor="#f1f1f1">
              <v:path arrowok="t"/>
              <v:stroke dashstyle="solid"/>
            </v:shape>
            <v:shape style="position:absolute;left:3328;top:4803;width:771;height:8" coordorigin="3329,4804" coordsize="771,8" path="m3329,4811l4099,4811m3329,4804l4099,4804e" filled="false" stroked="true" strokeweight=".12pt" strokecolor="#f1f1f1">
              <v:path arrowok="t"/>
              <v:stroke dashstyle="solid"/>
            </v:shape>
            <v:line style="position:absolute" from="3329,5057" to="3792,5057" stroked="true" strokeweight=".72pt" strokecolor="#d9d9d9">
              <v:stroke dashstyle="solid"/>
            </v:line>
            <v:shape style="position:absolute;left:3328;top:4490;width:771;height:188" coordorigin="3329,4490" coordsize="771,188" path="m3329,4678l4099,4678m3329,4615l4099,4615m3329,4553l4099,4553m3329,4490l4099,4490e" filled="false" stroked="true" strokeweight=".72pt" strokecolor="#f1f1f1">
              <v:path arrowok="t"/>
              <v:stroke dashstyle="solid"/>
            </v:shape>
            <v:line style="position:absolute" from="3329,4742" to="4099,4742" stroked="true" strokeweight=".72pt" strokecolor="#d9d9d9">
              <v:stroke dashstyle="solid"/>
            </v:line>
            <v:shape style="position:absolute;left:3328;top:4173;width:924;height:190" coordorigin="3329,4174" coordsize="924,190" path="m3329,4363l4099,4363m3329,4301l4253,4301m3329,4236l4253,4236m3329,4174l4253,4174e" filled="false" stroked="true" strokeweight=".72pt" strokecolor="#f1f1f1">
              <v:path arrowok="t"/>
              <v:stroke dashstyle="solid"/>
            </v:shape>
            <v:line style="position:absolute" from="3329,4426" to="4099,4426" stroked="true" strokeweight=".72pt" strokecolor="#d9d9d9">
              <v:stroke dashstyle="solid"/>
            </v:line>
            <v:shape style="position:absolute;left:2479;top:4046;width:6480;height:2" coordorigin="2479,4046" coordsize="6480,0" path="m2479,4046l6413,4046m6569,4046l8959,4046e" filled="false" stroked="true" strokeweight=".72pt" strokecolor="#f1f1f1">
              <v:path arrowok="t"/>
              <v:stroke dashstyle="solid"/>
            </v:shape>
            <v:shape style="position:absolute;left:2479;top:3859;width:6480;height:125" coordorigin="2479,3859" coordsize="6480,125" path="m2479,3984l8959,3984m2479,3922l8959,3922m2479,3859l8959,3859e" filled="false" stroked="true" strokeweight=".72pt" strokecolor="#f1f1f1">
              <v:path arrowok="t"/>
              <v:stroke dashstyle="solid"/>
            </v:shape>
            <v:line style="position:absolute" from="2479,4112" to="4253,4112" stroked="true" strokeweight=".6pt" strokecolor="#d9d9d9">
              <v:stroke dashstyle="solid"/>
            </v:line>
            <v:shape style="position:absolute;left:4408;top:6384;width:464;height:504" coordorigin="4409,6384" coordsize="464,504" path="m4409,6888l4872,6888m4409,6826l4872,6826m4409,6761l4872,6761m4409,6698l4872,6698m4409,6571l4872,6571m4409,6509l4872,6509m4409,6446l4872,6446m4409,6384l4872,6384e" filled="false" stroked="true" strokeweight=".72pt" strokecolor="#f1f1f1">
              <v:path arrowok="t"/>
              <v:stroke dashstyle="solid"/>
            </v:shape>
            <v:line style="position:absolute" from="4409,6636" to="4872,6636" stroked="true" strokeweight=".72pt" strokecolor="#d9d9d9">
              <v:stroke dashstyle="solid"/>
            </v:line>
            <v:shape style="position:absolute;left:4408;top:6067;width:464;height:190" coordorigin="4409,6067" coordsize="464,190" path="m4409,6257l4872,6257m4409,6194l4872,6194m4409,6130l4872,6130m4409,6067l4872,6067e" filled="false" stroked="true" strokeweight=".72pt" strokecolor="#f1f1f1">
              <v:path arrowok="t"/>
              <v:stroke dashstyle="solid"/>
            </v:shape>
            <v:line style="position:absolute" from="4409,6319" to="4872,6319" stroked="true" strokeweight=".72pt" strokecolor="#d9d9d9">
              <v:stroke dashstyle="solid"/>
            </v:line>
            <v:shape style="position:absolute;left:4408;top:5752;width:464;height:188" coordorigin="4409,5753" coordsize="464,188" path="m4409,5940l4872,5940m4409,5878l4872,5878m4409,5815l4872,5815m4409,5753l4872,5753e" filled="false" stroked="true" strokeweight=".72pt" strokecolor="#f1f1f1">
              <v:path arrowok="t"/>
              <v:stroke dashstyle="solid"/>
            </v:shape>
            <v:line style="position:absolute" from="4409,6005" to="4872,6005" stroked="true" strokeweight=".72pt" strokecolor="#d9d9d9">
              <v:stroke dashstyle="solid"/>
            </v:line>
            <v:shape style="position:absolute;left:4408;top:5436;width:464;height:190" coordorigin="4409,5436" coordsize="464,190" path="m4409,5626l4872,5626m4409,5563l4872,5563m4409,5498l4872,5498m4409,5436l4872,5436e" filled="false" stroked="true" strokeweight=".72pt" strokecolor="#f1f1f1">
              <v:path arrowok="t"/>
              <v:stroke dashstyle="solid"/>
            </v:shape>
            <v:line style="position:absolute" from="4409,5688" to="4872,5688" stroked="true" strokeweight=".72pt" strokecolor="#d9d9d9">
              <v:stroke dashstyle="solid"/>
            </v:line>
            <v:shape style="position:absolute;left:4408;top:5121;width:464;height:188" coordorigin="4409,5122" coordsize="464,188" path="m4409,5309l4872,5309m4409,5246l4872,5246m4409,5184l4872,5184m4409,5122l4872,5122e" filled="false" stroked="true" strokeweight=".72pt" strokecolor="#f1f1f1">
              <v:path arrowok="t"/>
              <v:stroke dashstyle="solid"/>
            </v:shape>
            <v:line style="position:absolute" from="4409,5374" to="4872,5374" stroked="true" strokeweight=".72pt" strokecolor="#d9d9d9">
              <v:stroke dashstyle="solid"/>
            </v:line>
            <v:shape style="position:absolute;left:4408;top:4867;width:464;height:128" coordorigin="4409,4867" coordsize="464,128" path="m4409,4994l4872,4994m4409,4932l4872,4932m4409,4867l4872,4867e" filled="false" stroked="true" strokeweight=".72pt" strokecolor="#f1f1f1">
              <v:path arrowok="t"/>
              <v:stroke dashstyle="solid"/>
            </v:shape>
            <v:shape style="position:absolute;left:4408;top:4803;width:464;height:8" coordorigin="4409,4804" coordsize="464,8" path="m4409,4811l4872,4811m4409,4804l4872,4804e" filled="false" stroked="true" strokeweight=".12pt" strokecolor="#f1f1f1">
              <v:path arrowok="t"/>
              <v:stroke dashstyle="solid"/>
            </v:shape>
            <v:line style="position:absolute" from="4409,5057" to="4872,5057" stroked="true" strokeweight=".72pt" strokecolor="#d9d9d9">
              <v:stroke dashstyle="solid"/>
            </v:line>
            <v:shape style="position:absolute;left:4408;top:4490;width:771;height:188" coordorigin="4409,4490" coordsize="771,188" path="m4409,4678l4872,4678m4409,4615l4872,4615m4409,4553l5179,4553m4409,4490l5179,4490e" filled="false" stroked="true" strokeweight=".72pt" strokecolor="#f1f1f1">
              <v:path arrowok="t"/>
              <v:stroke dashstyle="solid"/>
            </v:shape>
            <v:line style="position:absolute" from="4409,4742" to="4872,4742" stroked="true" strokeweight=".72pt" strokecolor="#d9d9d9">
              <v:stroke dashstyle="solid"/>
            </v:line>
            <v:shape style="position:absolute;left:4408;top:4173;width:924;height:190" coordorigin="4409,4174" coordsize="924,190" path="m4409,4363l5333,4363m4409,4301l5333,4301m4409,4236l5333,4236m4409,4174l5333,4174e" filled="false" stroked="true" strokeweight=".72pt" strokecolor="#f1f1f1">
              <v:path arrowok="t"/>
              <v:stroke dashstyle="solid"/>
            </v:shape>
            <v:line style="position:absolute" from="4409,4426" to="5179,4426" stroked="true" strokeweight=".72pt" strokecolor="#d9d9d9">
              <v:stroke dashstyle="solid"/>
            </v:line>
            <v:line style="position:absolute" from="4409,4112" to="5333,4112" stroked="true" strokeweight=".6pt" strokecolor="#d9d9d9">
              <v:stroke dashstyle="solid"/>
            </v:line>
            <v:shape style="position:absolute;left:5488;top:6384;width:461;height:504" coordorigin="5489,6384" coordsize="461,504" path="m5489,6888l5950,6888m5489,6826l5950,6826m5489,6761l5950,6761m5489,6698l5950,6698m5489,6571l5950,6571m5489,6509l5950,6509m5489,6446l5950,6446m5489,6384l5950,6384e" filled="false" stroked="true" strokeweight=".72pt" strokecolor="#f1f1f1">
              <v:path arrowok="t"/>
              <v:stroke dashstyle="solid"/>
            </v:shape>
            <v:line style="position:absolute" from="5489,6636" to="5950,6636" stroked="true" strokeweight=".72pt" strokecolor="#d9d9d9">
              <v:stroke dashstyle="solid"/>
            </v:line>
            <v:shape style="position:absolute;left:5488;top:6067;width:461;height:190" coordorigin="5489,6067" coordsize="461,190" path="m5489,6257l5950,6257m5489,6194l5950,6194m5489,6130l5950,6130m5489,6067l5950,6067e" filled="false" stroked="true" strokeweight=".72pt" strokecolor="#f1f1f1">
              <v:path arrowok="t"/>
              <v:stroke dashstyle="solid"/>
            </v:shape>
            <v:line style="position:absolute" from="5489,6319" to="5950,6319" stroked="true" strokeweight=".72pt" strokecolor="#d9d9d9">
              <v:stroke dashstyle="solid"/>
            </v:line>
            <v:shape style="position:absolute;left:5488;top:5752;width:461;height:188" coordorigin="5489,5753" coordsize="461,188" path="m5489,5940l5950,5940m5489,5878l5950,5878m5489,5815l5950,5815m5489,5753l5950,5753e" filled="false" stroked="true" strokeweight=".72pt" strokecolor="#f1f1f1">
              <v:path arrowok="t"/>
              <v:stroke dashstyle="solid"/>
            </v:shape>
            <v:line style="position:absolute" from="5489,6005" to="5950,6005" stroked="true" strokeweight=".72pt" strokecolor="#d9d9d9">
              <v:stroke dashstyle="solid"/>
            </v:line>
            <v:shape style="position:absolute;left:5488;top:5436;width:461;height:190" coordorigin="5489,5436" coordsize="461,190" path="m5489,5626l5950,5626m5489,5563l5950,5563m5489,5498l5950,5498m5489,5436l5950,5436e" filled="false" stroked="true" strokeweight=".72pt" strokecolor="#f1f1f1">
              <v:path arrowok="t"/>
              <v:stroke dashstyle="solid"/>
            </v:shape>
            <v:line style="position:absolute" from="5489,5688" to="5950,5688" stroked="true" strokeweight=".72pt" strokecolor="#d9d9d9">
              <v:stroke dashstyle="solid"/>
            </v:line>
            <v:shape style="position:absolute;left:5488;top:5121;width:461;height:188" coordorigin="5489,5122" coordsize="461,188" path="m5489,5309l5950,5309m5489,5246l5950,5246m5489,5184l5950,5184m5489,5122l5950,5122e" filled="false" stroked="true" strokeweight=".72pt" strokecolor="#f1f1f1">
              <v:path arrowok="t"/>
              <v:stroke dashstyle="solid"/>
            </v:shape>
            <v:line style="position:absolute" from="5489,5374" to="5950,5374" stroked="true" strokeweight=".72pt" strokecolor="#d9d9d9">
              <v:stroke dashstyle="solid"/>
            </v:line>
            <v:shape style="position:absolute;left:5488;top:4804;width:461;height:190" coordorigin="5489,4805" coordsize="461,190" path="m5489,4994l5950,4994m5489,4932l5950,4932m5489,4867l5950,4867m5489,4805l5950,4805e" filled="false" stroked="true" strokeweight=".72pt" strokecolor="#f1f1f1">
              <v:path arrowok="t"/>
              <v:stroke dashstyle="solid"/>
            </v:shape>
            <v:line style="position:absolute" from="5489,5057" to="5950,5057" stroked="true" strokeweight=".72pt" strokecolor="#d9d9d9">
              <v:stroke dashstyle="solid"/>
            </v:line>
            <v:shape style="position:absolute;left:5488;top:4490;width:461;height:188" coordorigin="5489,4490" coordsize="461,188" path="m5489,4678l5950,4678m5489,4615l5950,4615m5489,4553l5950,4553m5489,4490l5950,4490e" filled="false" stroked="true" strokeweight=".72pt" strokecolor="#f1f1f1">
              <v:path arrowok="t"/>
              <v:stroke dashstyle="solid"/>
            </v:shape>
            <v:line style="position:absolute" from="5489,4742" to="5950,4742" stroked="true" strokeweight=".72pt" strokecolor="#d9d9d9">
              <v:stroke dashstyle="solid"/>
            </v:line>
            <v:shape style="position:absolute;left:5488;top:4173;width:771;height:190" coordorigin="5489,4174" coordsize="771,190" path="m5489,4363l5950,4363m5489,4301l5950,4301m5489,4236l6259,4236m5489,4174l6259,4174e" filled="false" stroked="true" strokeweight=".72pt" strokecolor="#f1f1f1">
              <v:path arrowok="t"/>
              <v:stroke dashstyle="solid"/>
            </v:shape>
            <v:line style="position:absolute" from="5489,4426" to="5950,4426" stroked="true" strokeweight=".72pt" strokecolor="#d9d9d9">
              <v:stroke dashstyle="solid"/>
            </v:line>
            <v:line style="position:absolute" from="5489,4112" to="6413,4112" stroked="true" strokeweight=".6pt" strokecolor="#d9d9d9">
              <v:stroke dashstyle="solid"/>
            </v:line>
            <v:shape style="position:absolute;left:6568;top:6384;width:461;height:504" coordorigin="6569,6384" coordsize="461,504" path="m6569,6888l7030,6888m6569,6826l7030,6826m6569,6761l7030,6761m6569,6698l7030,6698m6569,6571l7030,6571m6569,6509l7030,6509m6569,6446l7030,6446m6569,6384l7030,6384e" filled="false" stroked="true" strokeweight=".72pt" strokecolor="#f1f1f1">
              <v:path arrowok="t"/>
              <v:stroke dashstyle="solid"/>
            </v:shape>
            <v:line style="position:absolute" from="6569,6636" to="7030,6636" stroked="true" strokeweight=".72pt" strokecolor="#d9d9d9">
              <v:stroke dashstyle="solid"/>
            </v:line>
            <v:shape style="position:absolute;left:6568;top:6067;width:461;height:190" coordorigin="6569,6067" coordsize="461,190" path="m6569,6257l7030,6257m6569,6194l7030,6194m6569,6130l7030,6130m6569,6067l7030,6067e" filled="false" stroked="true" strokeweight=".72pt" strokecolor="#f1f1f1">
              <v:path arrowok="t"/>
              <v:stroke dashstyle="solid"/>
            </v:shape>
            <v:line style="position:absolute" from="6569,6319" to="7030,6319" stroked="true" strokeweight=".72pt" strokecolor="#d9d9d9">
              <v:stroke dashstyle="solid"/>
            </v:line>
            <v:shape style="position:absolute;left:6568;top:5752;width:461;height:188" coordorigin="6569,5753" coordsize="461,188" path="m6569,5940l7030,5940m6569,5878l7030,5878m6569,5815l7030,5815m6569,5753l7030,5753e" filled="false" stroked="true" strokeweight=".72pt" strokecolor="#f1f1f1">
              <v:path arrowok="t"/>
              <v:stroke dashstyle="solid"/>
            </v:shape>
            <v:line style="position:absolute" from="6569,6005" to="7030,6005" stroked="true" strokeweight=".72pt" strokecolor="#d9d9d9">
              <v:stroke dashstyle="solid"/>
            </v:line>
            <v:shape style="position:absolute;left:6568;top:5436;width:461;height:190" coordorigin="6569,5436" coordsize="461,190" path="m6569,5626l7030,5626m6569,5563l7030,5563m6569,5498l7030,5498m6569,5436l7030,5436e" filled="false" stroked="true" strokeweight=".72pt" strokecolor="#f1f1f1">
              <v:path arrowok="t"/>
              <v:stroke dashstyle="solid"/>
            </v:shape>
            <v:line style="position:absolute" from="6569,5688" to="7030,5688" stroked="true" strokeweight=".72pt" strokecolor="#d9d9d9">
              <v:stroke dashstyle="solid"/>
            </v:line>
            <v:shape style="position:absolute;left:6568;top:5121;width:461;height:188" coordorigin="6569,5122" coordsize="461,188" path="m6569,5309l7030,5309m6569,5246l7030,5246m6569,5184l7030,5184m6569,5122l7030,5122e" filled="false" stroked="true" strokeweight=".72pt" strokecolor="#f1f1f1">
              <v:path arrowok="t"/>
              <v:stroke dashstyle="solid"/>
            </v:shape>
            <v:line style="position:absolute" from="6569,5374" to="7030,5374" stroked="true" strokeweight=".72pt" strokecolor="#d9d9d9">
              <v:stroke dashstyle="solid"/>
            </v:line>
            <v:shape style="position:absolute;left:6568;top:4804;width:461;height:190" coordorigin="6569,4805" coordsize="461,190" path="m6569,4994l7030,4994m6569,4932l7030,4932m6569,4867l7030,4867m6569,4805l7030,4805e" filled="false" stroked="true" strokeweight=".72pt" strokecolor="#f1f1f1">
              <v:path arrowok="t"/>
              <v:stroke dashstyle="solid"/>
            </v:shape>
            <v:line style="position:absolute" from="6569,5057" to="7030,5057" stroked="true" strokeweight=".72pt" strokecolor="#d9d9d9">
              <v:stroke dashstyle="solid"/>
            </v:line>
            <v:shape style="position:absolute;left:6568;top:4552;width:461;height:125" coordorigin="6569,4553" coordsize="461,125" path="m6569,4678l7030,4678m6569,4615l7030,4615m6569,4553l7030,4553e" filled="false" stroked="true" strokeweight=".72pt" strokecolor="#f1f1f1">
              <v:path arrowok="t"/>
              <v:stroke dashstyle="solid"/>
            </v:shape>
            <v:shape style="position:absolute;left:6568;top:4484;width:617;height:8" coordorigin="6569,4484" coordsize="617,8" path="m6569,4492l7186,4492m6569,4484l7186,4484e" filled="false" stroked="true" strokeweight=".6pt" strokecolor="#f1f1f1">
              <v:path arrowok="t"/>
              <v:stroke dashstyle="solid"/>
            </v:shape>
            <v:line style="position:absolute" from="6569,4742" to="7030,4742" stroked="true" strokeweight=".72pt" strokecolor="#d9d9d9">
              <v:stroke dashstyle="solid"/>
            </v:line>
            <v:shape style="position:absolute;left:6568;top:4173;width:924;height:190" coordorigin="6569,4174" coordsize="924,190" path="m6569,4363l7339,4363m6569,4301l7339,4301m6569,4236l7339,4236m6569,4174l7493,4174e" filled="false" stroked="true" strokeweight=".72pt" strokecolor="#f1f1f1">
              <v:path arrowok="t"/>
              <v:stroke dashstyle="solid"/>
            </v:shape>
            <v:line style="position:absolute" from="6569,4426" to="7186,4426" stroked="true" strokeweight=".72pt" strokecolor="#d9d9d9">
              <v:stroke dashstyle="solid"/>
            </v:line>
            <v:line style="position:absolute" from="6569,4112" to="7493,4112" stroked="true" strokeweight=".6pt" strokecolor="#d9d9d9">
              <v:stroke dashstyle="solid"/>
            </v:line>
            <v:shape style="position:absolute;left:7646;top:6384;width:464;height:504" coordorigin="7646,6384" coordsize="464,504" path="m7646,6888l8110,6888m7646,6826l8110,6826m7646,6761l8110,6761m7646,6698l8110,6698m7646,6571l8110,6571m7646,6509l8110,6509m7646,6446l8110,6446m7646,6384l8110,6384e" filled="false" stroked="true" strokeweight=".72pt" strokecolor="#f1f1f1">
              <v:path arrowok="t"/>
              <v:stroke dashstyle="solid"/>
            </v:shape>
            <v:line style="position:absolute" from="7646,6636" to="8110,6636" stroked="true" strokeweight=".72pt" strokecolor="#d9d9d9">
              <v:stroke dashstyle="solid"/>
            </v:line>
            <v:shape style="position:absolute;left:7646;top:6067;width:464;height:190" coordorigin="7646,6067" coordsize="464,190" path="m7646,6257l8110,6257m7646,6194l8110,6194m7646,6130l8110,6130m7646,6067l8110,6067e" filled="false" stroked="true" strokeweight=".72pt" strokecolor="#f1f1f1">
              <v:path arrowok="t"/>
              <v:stroke dashstyle="solid"/>
            </v:shape>
            <v:line style="position:absolute" from="7646,6319" to="8110,6319" stroked="true" strokeweight=".72pt" strokecolor="#d9d9d9">
              <v:stroke dashstyle="solid"/>
            </v:line>
            <v:shape style="position:absolute;left:7646;top:5752;width:464;height:188" coordorigin="7646,5753" coordsize="464,188" path="m7646,5940l8110,5940m7646,5878l8110,5878m7646,5815l8110,5815m7646,5753l8110,5753e" filled="false" stroked="true" strokeweight=".72pt" strokecolor="#f1f1f1">
              <v:path arrowok="t"/>
              <v:stroke dashstyle="solid"/>
            </v:shape>
            <v:line style="position:absolute" from="7646,6005" to="8110,6005" stroked="true" strokeweight=".72pt" strokecolor="#d9d9d9">
              <v:stroke dashstyle="solid"/>
            </v:line>
            <v:shape style="position:absolute;left:7646;top:5436;width:464;height:190" coordorigin="7646,5436" coordsize="464,190" path="m7646,5626l8110,5626m7646,5563l8110,5563m7646,5498l8110,5498m7646,5436l8110,5436e" filled="false" stroked="true" strokeweight=".72pt" strokecolor="#f1f1f1">
              <v:path arrowok="t"/>
              <v:stroke dashstyle="solid"/>
            </v:shape>
            <v:line style="position:absolute" from="7646,5688" to="8110,5688" stroked="true" strokeweight=".72pt" strokecolor="#d9d9d9">
              <v:stroke dashstyle="solid"/>
            </v:line>
            <v:shape style="position:absolute;left:7646;top:5121;width:464;height:188" coordorigin="7646,5122" coordsize="464,188" path="m7646,5309l8110,5309m7646,5246l8110,5246m7646,5184l8110,5184m7646,5122l8110,5122e" filled="false" stroked="true" strokeweight=".72pt" strokecolor="#f1f1f1">
              <v:path arrowok="t"/>
              <v:stroke dashstyle="solid"/>
            </v:shape>
            <v:line style="position:absolute" from="7646,5374" to="8110,5374" stroked="true" strokeweight=".72pt" strokecolor="#d9d9d9">
              <v:stroke dashstyle="solid"/>
            </v:line>
            <v:shape style="position:absolute;left:7646;top:4804;width:464;height:190" coordorigin="7646,4805" coordsize="464,190" path="m7646,4994l8110,4994m7646,4932l8110,4932m7646,4867l8110,4867m7646,4805l8110,4805e" filled="false" stroked="true" strokeweight=".72pt" strokecolor="#f1f1f1">
              <v:path arrowok="t"/>
              <v:stroke dashstyle="solid"/>
            </v:shape>
            <v:line style="position:absolute" from="7646,5057" to="8110,5057" stroked="true" strokeweight=".72pt" strokecolor="#d9d9d9">
              <v:stroke dashstyle="solid"/>
            </v:line>
            <v:shape style="position:absolute;left:7646;top:4552;width:464;height:125" coordorigin="7646,4553" coordsize="464,125" path="m7646,4678l8110,4678m7646,4615l8110,4615m7646,4553l8110,4553e" filled="false" stroked="true" strokeweight=".72pt" strokecolor="#f1f1f1">
              <v:path arrowok="t"/>
              <v:stroke dashstyle="solid"/>
            </v:shape>
            <v:shape style="position:absolute;left:7646;top:4484;width:617;height:8" coordorigin="7646,4484" coordsize="617,8" path="m7646,4492l8263,4492m7646,4484l8263,4484e" filled="false" stroked="true" strokeweight=".6pt" strokecolor="#f1f1f1">
              <v:path arrowok="t"/>
              <v:stroke dashstyle="solid"/>
            </v:shape>
            <v:line style="position:absolute" from="7646,4742" to="8110,4742" stroked="true" strokeweight=".72pt" strokecolor="#d9d9d9">
              <v:stroke dashstyle="solid"/>
            </v:line>
            <v:shape style="position:absolute;left:7646;top:4362;width:927;height:8" coordorigin="7646,4362" coordsize="927,8" path="m7646,4369l8573,4369m7646,4362l8573,4362e" filled="false" stroked="true" strokeweight=".12pt" strokecolor="#f1f1f1">
              <v:path arrowok="t"/>
              <v:stroke dashstyle="solid"/>
            </v:shape>
            <v:shape style="position:absolute;left:7646;top:4173;width:927;height:128" coordorigin="7646,4174" coordsize="927,128" path="m7646,4301l8573,4301m7646,4236l8573,4236m7646,4174l8573,4174e" filled="false" stroked="true" strokeweight=".72pt" strokecolor="#f1f1f1">
              <v:path arrowok="t"/>
              <v:stroke dashstyle="solid"/>
            </v:shape>
            <v:line style="position:absolute" from="7646,4426" to="8263,4426" stroked="true" strokeweight=".72pt" strokecolor="#d9d9d9">
              <v:stroke dashstyle="solid"/>
            </v:line>
            <v:line style="position:absolute" from="7646,4112" to="8573,4112" stroked="true" strokeweight=".6pt" strokecolor="#d9d9d9">
              <v:stroke dashstyle="solid"/>
            </v:line>
            <v:shape style="position:absolute;left:8726;top:6384;width:233;height:504" coordorigin="8726,6384" coordsize="233,504" path="m8726,6888l8959,6888m8726,6826l8959,6826m8726,6761l8959,6761m8726,6698l8959,6698m8726,6571l8959,6571m8726,6509l8959,6509m8726,6446l8959,6446m8726,6384l8959,6384e" filled="false" stroked="true" strokeweight=".72pt" strokecolor="#f1f1f1">
              <v:path arrowok="t"/>
              <v:stroke dashstyle="solid"/>
            </v:shape>
            <v:line style="position:absolute" from="8726,6636" to="8959,6636" stroked="true" strokeweight=".72pt" strokecolor="#d9d9d9">
              <v:stroke dashstyle="solid"/>
            </v:line>
            <v:shape style="position:absolute;left:8726;top:6067;width:233;height:190" coordorigin="8726,6067" coordsize="233,190" path="m8726,6257l8959,6257m8726,6194l8959,6194m8726,6130l8959,6130m8726,6067l8959,6067e" filled="false" stroked="true" strokeweight=".72pt" strokecolor="#f1f1f1">
              <v:path arrowok="t"/>
              <v:stroke dashstyle="solid"/>
            </v:shape>
            <v:line style="position:absolute" from="8726,6319" to="8959,6319" stroked="true" strokeweight=".72pt" strokecolor="#d9d9d9">
              <v:stroke dashstyle="solid"/>
            </v:line>
            <v:shape style="position:absolute;left:8726;top:5752;width:233;height:188" coordorigin="8726,5753" coordsize="233,188" path="m8726,5940l8959,5940m8726,5878l8959,5878m8726,5815l8959,5815m8726,5753l8959,5753e" filled="false" stroked="true" strokeweight=".72pt" strokecolor="#f1f1f1">
              <v:path arrowok="t"/>
              <v:stroke dashstyle="solid"/>
            </v:shape>
            <v:line style="position:absolute" from="8726,6005" to="8959,6005" stroked="true" strokeweight=".72pt" strokecolor="#d9d9d9">
              <v:stroke dashstyle="solid"/>
            </v:line>
            <v:shape style="position:absolute;left:8726;top:5436;width:233;height:190" coordorigin="8726,5436" coordsize="233,190" path="m8726,5626l8959,5626m8726,5563l8959,5563m8726,5498l8959,5498m8726,5436l8959,5436e" filled="false" stroked="true" strokeweight=".72pt" strokecolor="#f1f1f1">
              <v:path arrowok="t"/>
              <v:stroke dashstyle="solid"/>
            </v:shape>
            <v:line style="position:absolute" from="8726,5688" to="8959,5688" stroked="true" strokeweight=".72pt" strokecolor="#d9d9d9">
              <v:stroke dashstyle="solid"/>
            </v:line>
            <v:shape style="position:absolute;left:8726;top:5121;width:233;height:188" coordorigin="8726,5122" coordsize="233,188" path="m8726,5309l8959,5309m8726,5246l8959,5246m8726,5184l8959,5184m8726,5122l8959,5122e" filled="false" stroked="true" strokeweight=".72pt" strokecolor="#f1f1f1">
              <v:path arrowok="t"/>
              <v:stroke dashstyle="solid"/>
            </v:shape>
            <v:line style="position:absolute" from="8726,5374" to="8959,5374" stroked="true" strokeweight=".72pt" strokecolor="#d9d9d9">
              <v:stroke dashstyle="solid"/>
            </v:line>
            <v:shape style="position:absolute;left:8726;top:4804;width:233;height:190" coordorigin="8726,4805" coordsize="233,190" path="m8726,4994l8959,4994m8726,4932l8959,4932m8726,4867l8959,4867m8726,4805l8959,4805e" filled="false" stroked="true" strokeweight=".72pt" strokecolor="#f1f1f1">
              <v:path arrowok="t"/>
              <v:stroke dashstyle="solid"/>
            </v:shape>
            <v:line style="position:absolute" from="8726,5057" to="8959,5057" stroked="true" strokeweight=".72pt" strokecolor="#d9d9d9">
              <v:stroke dashstyle="solid"/>
            </v:line>
            <v:shape style="position:absolute;left:8726;top:4552;width:233;height:125" coordorigin="8726,4553" coordsize="233,125" path="m8726,4678l8959,4678m8726,4615l8959,4615m8726,4553l8959,4553e" filled="false" stroked="true" strokeweight=".72pt" strokecolor="#f1f1f1">
              <v:path arrowok="t"/>
              <v:stroke dashstyle="solid"/>
            </v:shape>
            <v:shape style="position:absolute;left:8726;top:4484;width:233;height:8" coordorigin="8726,4484" coordsize="233,8" path="m8726,4492l8959,4492m8726,4484l8959,4484e" filled="false" stroked="true" strokeweight=".6pt" strokecolor="#f1f1f1">
              <v:path arrowok="t"/>
              <v:stroke dashstyle="solid"/>
            </v:shape>
            <v:line style="position:absolute" from="8726,4742" to="8959,4742" stroked="true" strokeweight=".72pt" strokecolor="#d9d9d9">
              <v:stroke dashstyle="solid"/>
            </v:line>
            <v:shape style="position:absolute;left:8726;top:4362;width:233;height:8" coordorigin="8726,4362" coordsize="233,8" path="m8726,4369l8959,4369m8726,4362l8959,4362e" filled="false" stroked="true" strokeweight=".12pt" strokecolor="#f1f1f1">
              <v:path arrowok="t"/>
              <v:stroke dashstyle="solid"/>
            </v:shape>
            <v:shape style="position:absolute;left:8726;top:4173;width:233;height:128" coordorigin="8726,4174" coordsize="233,128" path="m8726,4301l8959,4301m8726,4236l8959,4236m8726,4174l8959,4174e" filled="false" stroked="true" strokeweight=".72pt" strokecolor="#f1f1f1">
              <v:path arrowok="t"/>
              <v:stroke dashstyle="solid"/>
            </v:shape>
            <v:line style="position:absolute" from="8726,4426" to="8959,4426" stroked="true" strokeweight=".72pt" strokecolor="#d9d9d9">
              <v:stroke dashstyle="solid"/>
            </v:line>
            <v:line style="position:absolute" from="8726,4112" to="8959,4112" stroked="true" strokeweight=".6pt" strokecolor="#d9d9d9">
              <v:stroke dashstyle="solid"/>
            </v:line>
            <v:shape style="position:absolute;left:2479;top:4100;width:6480;height:6" coordorigin="2479,4100" coordsize="6480,6" path="m2479,4106l5333,4106m5489,4106l6413,4106m6569,4106l7493,4106m7646,4106l8573,4106m8726,4106l8959,4106m2479,4100l5333,4100m5489,4100l6413,4100m6569,4100l7493,4100m7646,4100l8573,4100m8726,4100l8959,4100e" filled="false" stroked="true" strokeweight=".48pt" strokecolor="#d9d9d9">
              <v:path arrowok="t"/>
              <v:stroke dashstyle="solid"/>
            </v:shape>
            <v:line style="position:absolute" from="2479,3794" to="8959,3794" stroked="true" strokeweight=".72pt" strokecolor="#d9d9d9">
              <v:stroke dashstyle="solid"/>
            </v:line>
            <v:shape style="position:absolute;left:2712;top:4286;width:5552;height:2664" coordorigin="2712,4286" coordsize="5552,2664" path="m2866,4726l2712,4726,2712,6950,2866,6950,2866,4726xm3946,4829l3792,4829,3792,6950,3946,6950,3946,4829xm5026,4574l4872,4574,4872,6950,5026,6950,5026,4574xm6106,4286l5950,4286,5950,6950,6106,6950,6106,4286xm7186,4486l7030,4486,7030,6950,7186,6950,7186,4486xm8263,4510l8110,4510,8110,6950,8263,6950,8263,4510xe" filled="true" fillcolor="#818181" stroked="false">
              <v:path arrowok="t"/>
              <v:fill type="solid"/>
            </v:shape>
            <v:shape style="position:absolute;left:2865;top:4272;width:5554;height:2679" coordorigin="2866,4272" coordsize="5554,2679" path="m3019,4651l2866,4651,2866,6950,3019,6950,3019,4651xm4099,4810l3946,4810,3946,6950,4099,6950,4099,4810xm5179,4560l5026,4560,5026,6950,5179,6950,5179,4560xm6259,4272l6106,4272,6106,6950,6259,6950,6259,4272xm7339,4397l7186,4397,7186,6950,7339,6950,7339,4397xm8419,4416l8263,4416,8263,6950,8419,6950,8419,4416xe" filled="true" fillcolor="#9a9a9a" stroked="false">
              <v:path arrowok="t"/>
              <v:fill type="solid"/>
            </v:shape>
            <v:shape style="position:absolute;left:3019;top:4106;width:5554;height:2844" coordorigin="3019,4106" coordsize="5554,2844" path="m3175,4346l3019,4346,3019,6950,3175,6950,3175,4346xm4253,4354l4099,4354,4099,6950,4253,6950,4253,4354xm5333,4385l5179,4385,5179,6950,5333,6950,5333,4385xm6413,4106l6259,4106,6259,6950,6413,6950,6413,4106xm7493,4205l7339,4205,7339,6950,7493,6950,7493,4205xm8573,4368l8419,4368,8419,6950,8573,6950,8573,4368xe" filled="true" fillcolor="#b5b5b5" stroked="false">
              <v:path arrowok="t"/>
              <v:fill type="solid"/>
            </v:shape>
            <v:shape style="position:absolute;left:3175;top:4015;width:5552;height:2936" coordorigin="3175,4015" coordsize="5552,2936" path="m3329,4133l3175,4133,3175,6950,3329,6950,3329,4133xm4409,4102l4253,4102,4253,6950,4409,6950,4409,4102xm5489,4082l5333,4082,5333,6950,5489,6950,5489,4082xm6569,4015l6413,4015,6413,6950,6569,6950,6569,4015xm7646,4085l7493,4085,7493,6950,7646,6950,7646,4085xm8726,4070l8573,4070,8573,6950,8726,6950,8726,4070xe" filled="true" fillcolor="#d1d1d1" stroked="false">
              <v:path arrowok="t"/>
              <v:fill type="solid"/>
            </v:shape>
            <v:line style="position:absolute" from="2479,6950" to="8959,6950" stroked="true" strokeweight=".72pt" strokecolor="#d9d9d9">
              <v:stroke dashstyle="solid"/>
            </v:line>
            <v:rect style="position:absolute;left:9273;top:4939;width:99;height:99" filled="true" fillcolor="#818181" stroked="false">
              <v:fill type="solid"/>
            </v:rect>
            <v:rect style="position:absolute;left:9273;top:5277;width:99;height:99" filled="true" fillcolor="#9a9a9a" stroked="false">
              <v:fill type="solid"/>
            </v:rect>
            <v:rect style="position:absolute;left:9273;top:5613;width:99;height:99" filled="true" fillcolor="#b5b5b5" stroked="false">
              <v:fill type="solid"/>
            </v:rect>
            <v:rect style="position:absolute;left:9273;top:5952;width:99;height:99" filled="true" fillcolor="#d1d1d1" stroked="false">
              <v:fill type="solid"/>
            </v:rect>
            <v:rect style="position:absolute;left:1440;top:3576;width:9240;height:3840" filled="false" stroked="true" strokeweight=".72pt" strokecolor="#d9d9d9">
              <v:stroke dashstyle="solid"/>
            </v:rect>
            <v:shape style="position:absolute;left:1994;top:3711;width:340;height:333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before="9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0.45</w:t>
                    </w:r>
                  </w:p>
                  <w:p>
                    <w:pPr>
                      <w:spacing w:before="9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</w:t>
                    </w:r>
                  </w:p>
                  <w:p>
                    <w:pPr>
                      <w:spacing w:before="9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0.35</w:t>
                    </w:r>
                  </w:p>
                  <w:p>
                    <w:pPr>
                      <w:spacing w:before="9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0.3</w:t>
                    </w:r>
                  </w:p>
                  <w:p>
                    <w:pPr>
                      <w:spacing w:before="9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0.25</w:t>
                    </w:r>
                  </w:p>
                  <w:p>
                    <w:pPr>
                      <w:spacing w:before="9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</w:t>
                    </w:r>
                  </w:p>
                  <w:p>
                    <w:pPr>
                      <w:spacing w:before="9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0.15</w:t>
                    </w:r>
                  </w:p>
                  <w:p>
                    <w:pPr>
                      <w:spacing w:before="9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0.1</w:t>
                    </w:r>
                  </w:p>
                  <w:p>
                    <w:pPr>
                      <w:spacing w:before="9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0.05</w:t>
                    </w:r>
                  </w:p>
                  <w:p>
                    <w:pPr>
                      <w:spacing w:line="216" w:lineRule="exact" w:before="9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415;top:4905;width:1085;height:119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(2010)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(2013)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(2016)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Wave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(2019)</w:t>
                    </w:r>
                  </w:p>
                </w:txbxContent>
              </v:textbox>
              <w10:wrap type="none"/>
            </v:shape>
            <v:shape style="position:absolute;left:2606;top:7102;width:6264;height:180" type="#_x0000_t202" filled="false" stroked="false">
              <v:textbox inset="0,0,0,0">
                <w:txbxContent>
                  <w:p>
                    <w:pPr>
                      <w:tabs>
                        <w:tab w:pos="1062" w:val="left" w:leader="none"/>
                        <w:tab w:pos="4340" w:val="left" w:leader="none"/>
                        <w:tab w:pos="538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North-East</w:t>
                      <w:tab/>
                      <w:t>North-West  </w:t>
                    </w:r>
                    <w:r>
                      <w:rPr>
                        <w:rFonts w:ascii="Calibri"/>
                        <w:color w:val="585858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North-Central</w:t>
                    </w:r>
                    <w:r>
                      <w:rPr>
                        <w:rFonts w:ascii="Calibri"/>
                        <w:color w:val="585858"/>
                        <w:spacing w:val="7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South-South</w:t>
                      <w:tab/>
                      <w:t>South-East</w:t>
                      <w:tab/>
                      <w:t>South-West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7994pt;margin-top:236.650696pt;width:12pt;height:64.1500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Gini</w:t>
                  </w:r>
                  <w:r>
                    <w:rPr>
                      <w:rFonts w:ascii="Calibri"/>
                      <w:color w:val="585858"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Coefficient</w:t>
                  </w:r>
                </w:p>
              </w:txbxContent>
            </v:textbox>
            <w10:wrap type="none"/>
          </v:shape>
        </w:pic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regional</w:t>
      </w:r>
      <w:r>
        <w:rPr>
          <w:spacing w:val="-6"/>
        </w:rPr>
        <w:t> </w:t>
      </w:r>
      <w:r>
        <w:rPr/>
        <w:t>level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Nigeria,</w:t>
      </w:r>
      <w:r>
        <w:rPr>
          <w:spacing w:val="-6"/>
        </w:rPr>
        <w:t> </w:t>
      </w:r>
      <w:r>
        <w:rPr/>
        <w:t>South-South</w:t>
      </w:r>
      <w:r>
        <w:rPr>
          <w:spacing w:val="-6"/>
        </w:rPr>
        <w:t> </w:t>
      </w:r>
      <w:r>
        <w:rPr/>
        <w:t>region</w:t>
      </w:r>
      <w:r>
        <w:rPr>
          <w:spacing w:val="-6"/>
        </w:rPr>
        <w:t> </w:t>
      </w:r>
      <w:r>
        <w:rPr/>
        <w:t>have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highest</w:t>
      </w:r>
      <w:r>
        <w:rPr>
          <w:spacing w:val="-6"/>
        </w:rPr>
        <w:t> </w:t>
      </w:r>
      <w:r>
        <w:rPr/>
        <w:t>Gini</w:t>
      </w:r>
      <w:r>
        <w:rPr>
          <w:spacing w:val="-6"/>
        </w:rPr>
        <w:t> </w:t>
      </w:r>
      <w:r>
        <w:rPr/>
        <w:t>index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0.4652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2019</w:t>
      </w:r>
      <w:r>
        <w:rPr>
          <w:spacing w:val="-58"/>
        </w:rPr>
        <w:t> </w:t>
      </w:r>
      <w:r>
        <w:rPr/>
        <w:t>(Wave 4), followed by South-East zone of 0.454, while North-East with 0.446 the lowest (Figure</w:t>
      </w:r>
      <w:r>
        <w:rPr>
          <w:spacing w:val="-57"/>
        </w:rPr>
        <w:t> </w:t>
      </w:r>
      <w:r>
        <w:rPr/>
        <w:t>5.6). The same South-South region in Q4 2018 had the highest unemployed persons (5,385,608</w:t>
      </w:r>
      <w:r>
        <w:rPr>
          <w:spacing w:val="1"/>
        </w:rPr>
        <w:t> </w:t>
      </w:r>
      <w:r>
        <w:rPr/>
        <w:t>people)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</w:t>
      </w:r>
      <w:r>
        <w:rPr>
          <w:spacing w:val="-12"/>
        </w:rPr>
        <w:t> </w:t>
      </w:r>
      <w:r>
        <w:rPr/>
        <w:t>(NBS,</w:t>
      </w:r>
      <w:r>
        <w:rPr>
          <w:spacing w:val="-9"/>
        </w:rPr>
        <w:t> </w:t>
      </w:r>
      <w:r>
        <w:rPr/>
        <w:t>2019).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>
          <w:sz w:val="23"/>
        </w:rPr>
        <w:t>findings</w:t>
      </w:r>
      <w:r>
        <w:rPr>
          <w:spacing w:val="-9"/>
          <w:sz w:val="23"/>
        </w:rPr>
        <w:t> </w:t>
      </w:r>
      <w:r>
        <w:rPr/>
        <w:t>is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consistent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>
          <w:sz w:val="23"/>
        </w:rPr>
        <w:t>World</w:t>
      </w:r>
      <w:r>
        <w:rPr>
          <w:spacing w:val="-11"/>
          <w:sz w:val="23"/>
        </w:rPr>
        <w:t> </w:t>
      </w:r>
      <w:r>
        <w:rPr>
          <w:sz w:val="23"/>
        </w:rPr>
        <w:t>Bank’s</w:t>
      </w:r>
      <w:r>
        <w:rPr>
          <w:spacing w:val="-8"/>
          <w:sz w:val="23"/>
        </w:rPr>
        <w:t> </w:t>
      </w:r>
      <w:r>
        <w:rPr/>
        <w:t>estimates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2003</w:t>
      </w:r>
      <w:r>
        <w:rPr>
          <w:spacing w:val="-57"/>
        </w:rPr>
        <w:t> </w:t>
      </w:r>
      <w:r>
        <w:rPr/>
        <w:t>to 2013, except the South-West, where the Gini index fell by almost 2 basis points. (World Bank,</w:t>
      </w:r>
      <w:r>
        <w:rPr>
          <w:spacing w:val="-57"/>
        </w:rPr>
        <w:t> </w:t>
      </w:r>
      <w:r>
        <w:rPr/>
        <w:t>2016).This</w:t>
      </w:r>
      <w:r>
        <w:rPr>
          <w:spacing w:val="-12"/>
        </w:rPr>
        <w:t> </w:t>
      </w:r>
      <w:r>
        <w:rPr/>
        <w:t>result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suggest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income</w:t>
      </w:r>
      <w:r>
        <w:rPr>
          <w:spacing w:val="-12"/>
        </w:rPr>
        <w:t> </w:t>
      </w:r>
      <w:r>
        <w:rPr/>
        <w:t>disparity</w:t>
      </w:r>
      <w:r>
        <w:rPr>
          <w:spacing w:val="-13"/>
        </w:rPr>
        <w:t> </w:t>
      </w:r>
      <w:r>
        <w:rPr/>
        <w:t>rose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all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regions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Nigeria</w:t>
      </w:r>
      <w:r>
        <w:rPr>
          <w:spacing w:val="-12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2010</w:t>
      </w:r>
      <w:r>
        <w:rPr>
          <w:spacing w:val="-58"/>
        </w:rPr>
        <w:t> </w:t>
      </w:r>
      <w:r>
        <w:rPr/>
        <w:t>and 2019. With high unemployment rate and rising rent-seeking in Nigeria (NBS, 2019), it then</w:t>
      </w:r>
      <w:r>
        <w:rPr>
          <w:spacing w:val="1"/>
        </w:rPr>
        <w:t> </w:t>
      </w:r>
      <w:r>
        <w:rPr/>
        <w:t>implies</w:t>
      </w:r>
      <w:r>
        <w:rPr>
          <w:spacing w:val="-1"/>
        </w:rPr>
        <w:t> </w:t>
      </w:r>
      <w:r>
        <w:rPr/>
        <w:t>that economic</w:t>
      </w:r>
      <w:r>
        <w:rPr>
          <w:spacing w:val="-2"/>
        </w:rPr>
        <w:t> </w:t>
      </w:r>
      <w:r>
        <w:rPr/>
        <w:t>growth has</w:t>
      </w:r>
      <w:r>
        <w:rPr>
          <w:spacing w:val="-1"/>
        </w:rPr>
        <w:t> </w:t>
      </w:r>
      <w:r>
        <w:rPr/>
        <w:t>no trickle-down effect (Lawson</w:t>
      </w:r>
      <w:r>
        <w:rPr>
          <w:spacing w:val="-1"/>
        </w:rPr>
        <w:t> </w:t>
      </w:r>
      <w:r>
        <w:rPr/>
        <w:t>and Mariotti,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4"/>
        <w:spacing w:line="274" w:lineRule="exact"/>
        <w:ind w:left="120"/>
      </w:pPr>
      <w:r>
        <w:rPr/>
        <w:t>Figure</w:t>
      </w:r>
      <w:r>
        <w:rPr>
          <w:spacing w:val="-3"/>
        </w:rPr>
        <w:t> </w:t>
      </w:r>
      <w:r>
        <w:rPr/>
        <w:t>5.6:</w:t>
      </w:r>
      <w:r>
        <w:rPr>
          <w:spacing w:val="-1"/>
        </w:rPr>
        <w:t> </w:t>
      </w:r>
      <w:r>
        <w:rPr/>
        <w:t>Gini</w:t>
      </w:r>
      <w:r>
        <w:rPr>
          <w:spacing w:val="-1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across Geo-political</w:t>
      </w:r>
      <w:r>
        <w:rPr>
          <w:spacing w:val="-1"/>
        </w:rPr>
        <w:t> </w:t>
      </w:r>
      <w:r>
        <w:rPr/>
        <w:t>zones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spacing w:line="228" w:lineRule="exact"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2"/>
          <w:sz w:val="20"/>
        </w:rPr>
        <w:t> </w:t>
      </w:r>
      <w:r>
        <w:rPr>
          <w:sz w:val="20"/>
        </w:rPr>
        <w:t>NBS-NGHPS,</w:t>
      </w:r>
      <w:r>
        <w:rPr>
          <w:spacing w:val="-2"/>
          <w:sz w:val="20"/>
        </w:rPr>
        <w:t> </w:t>
      </w:r>
      <w:r>
        <w:rPr>
          <w:sz w:val="20"/>
        </w:rPr>
        <w:t>Waves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20" w:right="115"/>
        <w:jc w:val="both"/>
      </w:pPr>
      <w:r>
        <w:rPr/>
        <w:t>At the aggregate level for Nigeria, the magnitude of Gini estimates grew rapidly at 0.455 in 2019</w:t>
      </w:r>
      <w:r>
        <w:rPr>
          <w:spacing w:val="-57"/>
        </w:rPr>
        <w:t> </w:t>
      </w:r>
      <w:r>
        <w:rPr/>
        <w:t>compared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0.378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2010</w:t>
      </w:r>
      <w:r>
        <w:rPr>
          <w:spacing w:val="-6"/>
        </w:rPr>
        <w:t> </w:t>
      </w:r>
      <w:r>
        <w:rPr/>
        <w:t>(Table</w:t>
      </w:r>
      <w:r>
        <w:rPr>
          <w:spacing w:val="-6"/>
        </w:rPr>
        <w:t> </w:t>
      </w:r>
      <w:r>
        <w:rPr/>
        <w:t>5.12).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figures</w:t>
      </w:r>
      <w:r>
        <w:rPr>
          <w:spacing w:val="-4"/>
        </w:rPr>
        <w:t> </w:t>
      </w:r>
      <w:r>
        <w:rPr/>
        <w:t>were</w:t>
      </w:r>
      <w:r>
        <w:rPr>
          <w:spacing w:val="-7"/>
        </w:rPr>
        <w:t> </w:t>
      </w:r>
      <w:r>
        <w:rPr/>
        <w:t>consistent</w:t>
      </w:r>
      <w:r>
        <w:rPr>
          <w:spacing w:val="-6"/>
        </w:rPr>
        <w:t> </w:t>
      </w:r>
      <w:r>
        <w:rPr/>
        <w:t>with</w:t>
      </w:r>
      <w:r>
        <w:rPr>
          <w:spacing w:val="-4"/>
        </w:rPr>
        <w:t> </w:t>
      </w:r>
      <w:r>
        <w:rPr/>
        <w:t>previous</w:t>
      </w:r>
      <w:r>
        <w:rPr>
          <w:spacing w:val="-5"/>
        </w:rPr>
        <w:t> </w:t>
      </w:r>
      <w:r>
        <w:rPr/>
        <w:t>evidences.</w:t>
      </w:r>
      <w:r>
        <w:rPr>
          <w:spacing w:val="-6"/>
        </w:rPr>
        <w:t> </w:t>
      </w:r>
      <w:r>
        <w:rPr/>
        <w:t>For</w:t>
      </w:r>
      <w:r>
        <w:rPr>
          <w:spacing w:val="-57"/>
        </w:rPr>
        <w:t> </w:t>
      </w:r>
      <w:r>
        <w:rPr/>
        <w:t>instance,</w:t>
      </w:r>
      <w:r>
        <w:rPr>
          <w:spacing w:val="-11"/>
        </w:rPr>
        <w:t> </w:t>
      </w:r>
      <w:r>
        <w:rPr/>
        <w:t>from</w:t>
      </w:r>
      <w:r>
        <w:rPr>
          <w:spacing w:val="-9"/>
        </w:rPr>
        <w:t> </w:t>
      </w:r>
      <w:r>
        <w:rPr/>
        <w:t>Gini</w:t>
      </w:r>
      <w:r>
        <w:rPr>
          <w:spacing w:val="-9"/>
        </w:rPr>
        <w:t> </w:t>
      </w:r>
      <w:r>
        <w:rPr/>
        <w:t>indices</w:t>
      </w:r>
      <w:r>
        <w:rPr>
          <w:spacing w:val="-9"/>
        </w:rPr>
        <w:t> </w:t>
      </w:r>
      <w:r>
        <w:rPr/>
        <w:t>computed</w:t>
      </w:r>
      <w:r>
        <w:rPr>
          <w:spacing w:val="-10"/>
        </w:rPr>
        <w:t> </w:t>
      </w:r>
      <w:r>
        <w:rPr/>
        <w:t>from</w:t>
      </w:r>
      <w:r>
        <w:rPr>
          <w:spacing w:val="-8"/>
        </w:rPr>
        <w:t> </w:t>
      </w:r>
      <w:r>
        <w:rPr>
          <w:sz w:val="23"/>
        </w:rPr>
        <w:t>National</w:t>
      </w:r>
      <w:r>
        <w:rPr>
          <w:spacing w:val="-9"/>
          <w:sz w:val="23"/>
        </w:rPr>
        <w:t> </w:t>
      </w:r>
      <w:r>
        <w:rPr>
          <w:sz w:val="23"/>
        </w:rPr>
        <w:t>Living</w:t>
      </w:r>
      <w:r>
        <w:rPr>
          <w:spacing w:val="-12"/>
          <w:sz w:val="23"/>
        </w:rPr>
        <w:t> </w:t>
      </w:r>
      <w:r>
        <w:rPr>
          <w:sz w:val="23"/>
        </w:rPr>
        <w:t>Standard</w:t>
      </w:r>
      <w:r>
        <w:rPr>
          <w:spacing w:val="-10"/>
          <w:sz w:val="23"/>
        </w:rPr>
        <w:t> </w:t>
      </w:r>
      <w:r>
        <w:rPr>
          <w:sz w:val="23"/>
        </w:rPr>
        <w:t>Survey</w:t>
      </w:r>
      <w:r>
        <w:rPr>
          <w:spacing w:val="-9"/>
          <w:sz w:val="23"/>
        </w:rPr>
        <w:t> </w:t>
      </w:r>
      <w:r>
        <w:rPr/>
        <w:t>on</w:t>
      </w:r>
      <w:r>
        <w:rPr>
          <w:spacing w:val="-10"/>
        </w:rPr>
        <w:t> </w:t>
      </w:r>
      <w:r>
        <w:rPr/>
        <w:t>18,977</w:t>
      </w:r>
      <w:r>
        <w:rPr>
          <w:spacing w:val="-10"/>
        </w:rPr>
        <w:t> </w:t>
      </w:r>
      <w:r>
        <w:rPr/>
        <w:t>households,</w:t>
      </w:r>
      <w:r>
        <w:rPr>
          <w:spacing w:val="-57"/>
        </w:rPr>
        <w:t> </w:t>
      </w:r>
      <w:r>
        <w:rPr/>
        <w:t>Oyekale</w:t>
      </w:r>
      <w:r>
        <w:rPr>
          <w:spacing w:val="-7"/>
        </w:rPr>
        <w:t> </w:t>
      </w:r>
      <w:r>
        <w:rPr/>
        <w:t>(2006:25)</w:t>
      </w:r>
      <w:r>
        <w:rPr>
          <w:spacing w:val="-9"/>
        </w:rPr>
        <w:t> </w:t>
      </w:r>
      <w:r>
        <w:rPr/>
        <w:t>found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Gini</w:t>
      </w:r>
      <w:r>
        <w:rPr>
          <w:spacing w:val="-7"/>
        </w:rPr>
        <w:t> </w:t>
      </w:r>
      <w:r>
        <w:rPr/>
        <w:t>indices</w:t>
      </w:r>
      <w:r>
        <w:rPr>
          <w:spacing w:val="-6"/>
        </w:rPr>
        <w:t> </w:t>
      </w:r>
      <w:r>
        <w:rPr/>
        <w:t>rose</w:t>
      </w:r>
      <w:r>
        <w:rPr>
          <w:spacing w:val="-10"/>
        </w:rPr>
        <w:t> </w:t>
      </w:r>
      <w:r>
        <w:rPr/>
        <w:t>in</w:t>
      </w:r>
      <w:r>
        <w:rPr>
          <w:spacing w:val="-6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six</w:t>
      </w:r>
      <w:r>
        <w:rPr>
          <w:spacing w:val="-6"/>
        </w:rPr>
        <w:t> </w:t>
      </w:r>
      <w:r>
        <w:rPr/>
        <w:t>geo-political</w:t>
      </w:r>
      <w:r>
        <w:rPr>
          <w:spacing w:val="-8"/>
        </w:rPr>
        <w:t> </w:t>
      </w:r>
      <w:r>
        <w:rPr/>
        <w:t>zones</w:t>
      </w:r>
      <w:r>
        <w:rPr>
          <w:spacing w:val="-7"/>
        </w:rPr>
        <w:t> </w:t>
      </w:r>
      <w:r>
        <w:rPr/>
        <w:t>between</w:t>
      </w:r>
      <w:r>
        <w:rPr>
          <w:spacing w:val="-9"/>
        </w:rPr>
        <w:t> </w:t>
      </w:r>
      <w:r>
        <w:rPr/>
        <w:t>1998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2004.</w:t>
      </w:r>
      <w:r>
        <w:rPr>
          <w:spacing w:val="-2"/>
        </w:rPr>
        <w:t> </w:t>
      </w:r>
      <w:r>
        <w:rPr/>
        <w:t>Similar pattern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observed for both</w:t>
      </w:r>
      <w:r>
        <w:rPr>
          <w:spacing w:val="-1"/>
        </w:rPr>
        <w:t> </w:t>
      </w:r>
      <w:r>
        <w:rPr/>
        <w:t>rural and</w:t>
      </w:r>
      <w:r>
        <w:rPr>
          <w:spacing w:val="-1"/>
        </w:rPr>
        <w:t> </w:t>
      </w:r>
      <w:r>
        <w:rPr/>
        <w:t>urban sectors in</w:t>
      </w:r>
      <w:r>
        <w:rPr>
          <w:spacing w:val="2"/>
        </w:rPr>
        <w:t> </w:t>
      </w:r>
      <w:r>
        <w:rPr/>
        <w:t>Nigeria.</w:t>
      </w:r>
    </w:p>
    <w:p>
      <w:pPr>
        <w:pStyle w:val="Heading4"/>
        <w:spacing w:before="5" w:after="3"/>
        <w:ind w:left="180"/>
      </w:pPr>
      <w:r>
        <w:rPr/>
        <w:t>Table</w:t>
      </w:r>
      <w:r>
        <w:rPr>
          <w:spacing w:val="-1"/>
        </w:rPr>
        <w:t> </w:t>
      </w:r>
      <w:r>
        <w:rPr/>
        <w:t>5.12:</w:t>
      </w:r>
      <w:r>
        <w:rPr>
          <w:spacing w:val="-3"/>
        </w:rPr>
        <w:t> </w:t>
      </w:r>
      <w:r>
        <w:rPr/>
        <w:t>Magnitude</w:t>
      </w:r>
      <w:r>
        <w:rPr>
          <w:spacing w:val="-1"/>
        </w:rPr>
        <w:t> </w:t>
      </w:r>
      <w:r>
        <w:rPr/>
        <w:t>of Income</w:t>
      </w:r>
      <w:r>
        <w:rPr>
          <w:spacing w:val="-1"/>
        </w:rPr>
        <w:t> </w:t>
      </w:r>
      <w:r>
        <w:rPr/>
        <w:t>Inequality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 (2010-2019)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1871"/>
        <w:gridCol w:w="1873"/>
        <w:gridCol w:w="1870"/>
        <w:gridCol w:w="1871"/>
      </w:tblGrid>
      <w:tr>
        <w:trPr>
          <w:trHeight w:val="316" w:hRule="atLeast"/>
        </w:trPr>
        <w:tc>
          <w:tcPr>
            <w:tcW w:w="187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line="270" w:lineRule="exact"/>
              <w:ind w:left="206" w:right="202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Wave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I (2010)</w:t>
            </w:r>
          </w:p>
        </w:tc>
        <w:tc>
          <w:tcPr>
            <w:tcW w:w="1873" w:type="dxa"/>
          </w:tcPr>
          <w:p>
            <w:pPr>
              <w:pStyle w:val="TableParagraph"/>
              <w:spacing w:line="270" w:lineRule="exact"/>
              <w:ind w:left="207" w:right="206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Wave</w:t>
            </w:r>
            <w:r>
              <w:rPr>
                <w:rFonts w:asci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2 (2013)</w:t>
            </w:r>
          </w:p>
        </w:tc>
        <w:tc>
          <w:tcPr>
            <w:tcW w:w="1870" w:type="dxa"/>
          </w:tcPr>
          <w:p>
            <w:pPr>
              <w:pStyle w:val="TableParagraph"/>
              <w:spacing w:line="270" w:lineRule="exact"/>
              <w:ind w:left="206" w:right="203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Wave</w:t>
            </w:r>
            <w:r>
              <w:rPr>
                <w:rFonts w:asci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3 (2016)</w:t>
            </w:r>
          </w:p>
        </w:tc>
        <w:tc>
          <w:tcPr>
            <w:tcW w:w="1871" w:type="dxa"/>
          </w:tcPr>
          <w:p>
            <w:pPr>
              <w:pStyle w:val="TableParagraph"/>
              <w:spacing w:line="270" w:lineRule="exact"/>
              <w:ind w:left="206" w:right="20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Wave</w:t>
            </w:r>
            <w:r>
              <w:rPr>
                <w:rFonts w:asci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4 (2019)</w:t>
            </w:r>
          </w:p>
        </w:tc>
      </w:tr>
      <w:tr>
        <w:trPr>
          <w:trHeight w:val="318" w:hRule="atLeast"/>
        </w:trPr>
        <w:tc>
          <w:tcPr>
            <w:tcW w:w="1870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Gini-estimate</w:t>
            </w:r>
          </w:p>
        </w:tc>
        <w:tc>
          <w:tcPr>
            <w:tcW w:w="1871" w:type="dxa"/>
          </w:tcPr>
          <w:p>
            <w:pPr>
              <w:pStyle w:val="TableParagraph"/>
              <w:spacing w:line="270" w:lineRule="exact"/>
              <w:ind w:left="206" w:right="1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0.378</w:t>
            </w:r>
          </w:p>
        </w:tc>
        <w:tc>
          <w:tcPr>
            <w:tcW w:w="1873" w:type="dxa"/>
          </w:tcPr>
          <w:p>
            <w:pPr>
              <w:pStyle w:val="TableParagraph"/>
              <w:spacing w:line="270" w:lineRule="exact"/>
              <w:ind w:left="207" w:right="20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0.385</w:t>
            </w:r>
          </w:p>
        </w:tc>
        <w:tc>
          <w:tcPr>
            <w:tcW w:w="1870" w:type="dxa"/>
          </w:tcPr>
          <w:p>
            <w:pPr>
              <w:pStyle w:val="TableParagraph"/>
              <w:spacing w:line="270" w:lineRule="exact"/>
              <w:ind w:left="206" w:right="20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0.372</w:t>
            </w:r>
          </w:p>
        </w:tc>
        <w:tc>
          <w:tcPr>
            <w:tcW w:w="1871" w:type="dxa"/>
          </w:tcPr>
          <w:p>
            <w:pPr>
              <w:pStyle w:val="TableParagraph"/>
              <w:spacing w:line="270" w:lineRule="exact"/>
              <w:ind w:left="206" w:right="2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0.455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Computed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3"/>
          <w:sz w:val="20"/>
        </w:rPr>
        <w:t> </w:t>
      </w:r>
      <w:r>
        <w:rPr>
          <w:sz w:val="20"/>
        </w:rPr>
        <w:t>NBS-NGHPS</w:t>
      </w:r>
      <w:r>
        <w:rPr>
          <w:spacing w:val="-2"/>
          <w:sz w:val="20"/>
        </w:rPr>
        <w:t> </w:t>
      </w:r>
      <w:r>
        <w:rPr>
          <w:sz w:val="20"/>
        </w:rPr>
        <w:t>Waves</w:t>
      </w:r>
    </w:p>
    <w:p>
      <w:pPr>
        <w:pStyle w:val="BodyText"/>
        <w:spacing w:line="360" w:lineRule="auto" w:before="177"/>
        <w:ind w:left="120" w:right="118"/>
        <w:jc w:val="both"/>
      </w:pPr>
      <w:r>
        <w:rPr/>
        <w:t>Aigbokhan</w:t>
      </w:r>
      <w:r>
        <w:rPr>
          <w:spacing w:val="-11"/>
        </w:rPr>
        <w:t> </w:t>
      </w:r>
      <w:r>
        <w:rPr/>
        <w:t>(2017:4-5)</w:t>
      </w:r>
      <w:r>
        <w:rPr>
          <w:spacing w:val="-14"/>
        </w:rPr>
        <w:t> </w:t>
      </w:r>
      <w:r>
        <w:rPr/>
        <w:t>also</w:t>
      </w:r>
      <w:r>
        <w:rPr>
          <w:spacing w:val="-13"/>
        </w:rPr>
        <w:t> </w:t>
      </w:r>
      <w:r>
        <w:rPr/>
        <w:t>found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Gini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increased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0.36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0.39</w:t>
      </w:r>
      <w:r>
        <w:rPr>
          <w:spacing w:val="-13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2013</w:t>
      </w:r>
      <w:r>
        <w:rPr>
          <w:spacing w:val="-58"/>
        </w:rPr>
        <w:t> </w:t>
      </w:r>
      <w:r>
        <w:rPr/>
        <w:t>and 2016. This was computed from NGHPS data on 5,000 households. These then suggest that</w:t>
      </w:r>
      <w:r>
        <w:rPr>
          <w:spacing w:val="1"/>
        </w:rPr>
        <w:t> </w:t>
      </w:r>
      <w:r>
        <w:rPr/>
        <w:t>income</w:t>
      </w:r>
      <w:r>
        <w:rPr>
          <w:spacing w:val="-1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was significantly</w:t>
      </w:r>
      <w:r>
        <w:rPr>
          <w:spacing w:val="-3"/>
        </w:rPr>
        <w:t> </w:t>
      </w:r>
      <w:r>
        <w:rPr/>
        <w:t>risen</w:t>
      </w:r>
      <w:r>
        <w:rPr>
          <w:spacing w:val="3"/>
        </w:rPr>
        <w:t> </w:t>
      </w:r>
      <w:r>
        <w:rPr/>
        <w:t>between 2010 and 2019.</w:t>
      </w:r>
    </w:p>
    <w:p>
      <w:pPr>
        <w:spacing w:after="0" w:line="360" w:lineRule="auto"/>
        <w:jc w:val="both"/>
        <w:sectPr>
          <w:footerReference w:type="default" r:id="rId168"/>
          <w:pgSz w:w="12240" w:h="15840"/>
          <w:pgMar w:footer="935" w:header="0" w:top="1360" w:bottom="1120" w:left="1320" w:right="1320"/>
          <w:pgNumType w:start="102"/>
        </w:sectPr>
      </w:pPr>
    </w:p>
    <w:p>
      <w:pPr>
        <w:pStyle w:val="Heading4"/>
        <w:numPr>
          <w:ilvl w:val="1"/>
          <w:numId w:val="15"/>
        </w:numPr>
        <w:tabs>
          <w:tab w:pos="661" w:val="left" w:leader="none"/>
        </w:tabs>
        <w:spacing w:line="240" w:lineRule="auto" w:before="79" w:after="0"/>
        <w:ind w:left="660" w:right="0" w:hanging="541"/>
        <w:jc w:val="both"/>
      </w:pP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Health</w:t>
      </w:r>
      <w:r>
        <w:rPr>
          <w:spacing w:val="-3"/>
        </w:rPr>
        <w:t> </w:t>
      </w:r>
      <w:r>
        <w:rPr/>
        <w:t>Outcomes (Illness)</w:t>
      </w:r>
    </w:p>
    <w:p>
      <w:pPr>
        <w:pStyle w:val="Heading5"/>
        <w:numPr>
          <w:ilvl w:val="2"/>
          <w:numId w:val="15"/>
        </w:numPr>
        <w:tabs>
          <w:tab w:pos="781" w:val="left" w:leader="none"/>
        </w:tabs>
        <w:spacing w:line="240" w:lineRule="auto" w:before="175" w:after="0"/>
        <w:ind w:left="780" w:right="0" w:hanging="661"/>
        <w:jc w:val="both"/>
      </w:pPr>
      <w:bookmarkStart w:name="_TOC_250016" w:id="61"/>
      <w:r>
        <w:rPr/>
        <w:t>Preliminary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NGHPS</w:t>
      </w:r>
      <w:r>
        <w:rPr>
          <w:spacing w:val="-1"/>
        </w:rPr>
        <w:t> </w:t>
      </w:r>
      <w:r>
        <w:rPr/>
        <w:t>(All</w:t>
      </w:r>
      <w:r>
        <w:rPr>
          <w:spacing w:val="-1"/>
        </w:rPr>
        <w:t> </w:t>
      </w:r>
      <w:bookmarkEnd w:id="61"/>
      <w:r>
        <w:rPr/>
        <w:t>Waves)</w:t>
      </w:r>
    </w:p>
    <w:p>
      <w:pPr>
        <w:pStyle w:val="BodyText"/>
        <w:spacing w:line="360" w:lineRule="auto" w:before="20"/>
        <w:ind w:left="120" w:right="113"/>
        <w:jc w:val="both"/>
      </w:pPr>
      <w:r>
        <w:rPr/>
        <w:t>A</w:t>
      </w:r>
      <w:r>
        <w:rPr>
          <w:spacing w:val="-7"/>
        </w:rPr>
        <w:t> </w:t>
      </w:r>
      <w:r>
        <w:rPr/>
        <w:t>common</w:t>
      </w:r>
      <w:r>
        <w:rPr>
          <w:spacing w:val="-7"/>
        </w:rPr>
        <w:t> </w:t>
      </w:r>
      <w:r>
        <w:rPr/>
        <w:t>property</w:t>
      </w:r>
      <w:r>
        <w:rPr>
          <w:spacing w:val="-11"/>
        </w:rPr>
        <w:t> </w:t>
      </w:r>
      <w:r>
        <w:rPr/>
        <w:t>of</w:t>
      </w:r>
      <w:r>
        <w:rPr>
          <w:spacing w:val="-5"/>
        </w:rPr>
        <w:t> </w:t>
      </w:r>
      <w:r>
        <w:rPr/>
        <w:t>any</w:t>
      </w:r>
      <w:r>
        <w:rPr>
          <w:spacing w:val="-11"/>
        </w:rPr>
        <w:t> </w:t>
      </w:r>
      <w:r>
        <w:rPr/>
        <w:t>survey</w:t>
      </w:r>
      <w:r>
        <w:rPr>
          <w:spacing w:val="-11"/>
        </w:rPr>
        <w:t> </w:t>
      </w:r>
      <w:r>
        <w:rPr/>
        <w:t>data</w:t>
      </w:r>
      <w:r>
        <w:rPr>
          <w:spacing w:val="-7"/>
        </w:rPr>
        <w:t> </w:t>
      </w:r>
      <w:r>
        <w:rPr/>
        <w:t>(including</w:t>
      </w:r>
      <w:r>
        <w:rPr>
          <w:spacing w:val="-7"/>
        </w:rPr>
        <w:t> </w:t>
      </w:r>
      <w:r>
        <w:rPr/>
        <w:t>NGHPS)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every</w:t>
      </w:r>
      <w:r>
        <w:rPr>
          <w:spacing w:val="-9"/>
        </w:rPr>
        <w:t> </w:t>
      </w:r>
      <w:r>
        <w:rPr/>
        <w:t>answer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questions</w:t>
      </w:r>
      <w:r>
        <w:rPr>
          <w:spacing w:val="-5"/>
        </w:rPr>
        <w:t> </w:t>
      </w:r>
      <w:r>
        <w:rPr/>
        <w:t>from</w:t>
      </w:r>
      <w:r>
        <w:rPr>
          <w:spacing w:val="-58"/>
        </w:rPr>
        <w:t> </w:t>
      </w:r>
      <w:r>
        <w:rPr/>
        <w:t>respondents is critical to the quality of results. Hence, the study conducted reliability test. The</w:t>
      </w:r>
      <w:r>
        <w:rPr>
          <w:spacing w:val="1"/>
        </w:rPr>
        <w:t> </w:t>
      </w:r>
      <w:r>
        <w:rPr>
          <w:spacing w:val="-1"/>
        </w:rPr>
        <w:t>approach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first</w:t>
      </w:r>
      <w:r>
        <w:rPr>
          <w:spacing w:val="-8"/>
        </w:rPr>
        <w:t> </w:t>
      </w:r>
      <w:r>
        <w:rPr/>
        <w:t>developed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Cronbach</w:t>
      </w:r>
      <w:r>
        <w:rPr>
          <w:spacing w:val="-7"/>
        </w:rPr>
        <w:t> </w:t>
      </w:r>
      <w:r>
        <w:rPr/>
        <w:t>(1951),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popularly</w:t>
      </w:r>
      <w:r>
        <w:rPr>
          <w:spacing w:val="-14"/>
        </w:rPr>
        <w:t> </w:t>
      </w:r>
      <w:r>
        <w:rPr/>
        <w:t>known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Cronbach’s</w:t>
      </w:r>
      <w:r>
        <w:rPr>
          <w:spacing w:val="-11"/>
        </w:rPr>
        <w:t> </w:t>
      </w:r>
      <w:r>
        <w:rPr/>
        <w:t>Alpha</w:t>
      </w:r>
      <w:r>
        <w:rPr>
          <w:spacing w:val="-11"/>
        </w:rPr>
        <w:t> </w:t>
      </w:r>
      <w:r>
        <w:rPr/>
        <w:t>(</w:t>
      </w:r>
      <w:r>
        <w:rPr>
          <w:rFonts w:ascii="Cambria Math" w:hAnsi="Cambria Math" w:eastAsia="Cambria Math"/>
        </w:rPr>
        <w:t>𝛼)</w:t>
      </w:r>
      <w:r>
        <w:rPr/>
        <w:t>.</w:t>
      </w:r>
      <w:r>
        <w:rPr>
          <w:spacing w:val="-57"/>
        </w:rPr>
        <w:t> </w:t>
      </w:r>
      <w:r>
        <w:rPr/>
        <w:t>The reliability</w:t>
      </w:r>
      <w:r>
        <w:rPr>
          <w:vertAlign w:val="superscript"/>
        </w:rPr>
        <w:t>13</w:t>
      </w:r>
      <w:r>
        <w:rPr>
          <w:vertAlign w:val="baseline"/>
        </w:rPr>
        <w:t> tests for validity and strength of all responses are of utmost importance 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failure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vertAlign w:val="baseline"/>
        </w:rPr>
        <w:t>test</w:t>
      </w:r>
      <w:r>
        <w:rPr>
          <w:spacing w:val="-7"/>
          <w:vertAlign w:val="baseline"/>
        </w:rPr>
        <w:t> </w:t>
      </w:r>
      <w:r>
        <w:rPr>
          <w:vertAlign w:val="baseline"/>
        </w:rPr>
        <w:t>this</w:t>
      </w:r>
      <w:r>
        <w:rPr>
          <w:spacing w:val="-7"/>
          <w:vertAlign w:val="baseline"/>
        </w:rPr>
        <w:t> </w:t>
      </w:r>
      <w:r>
        <w:rPr>
          <w:vertAlign w:val="baseline"/>
        </w:rPr>
        <w:t>may</w:t>
      </w:r>
      <w:r>
        <w:rPr>
          <w:spacing w:val="-11"/>
          <w:vertAlign w:val="baseline"/>
        </w:rPr>
        <w:t> </w:t>
      </w:r>
      <w:r>
        <w:rPr>
          <w:vertAlign w:val="baseline"/>
        </w:rPr>
        <w:t>limit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trustworthiness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consistency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estimates</w:t>
      </w:r>
      <w:r>
        <w:rPr>
          <w:spacing w:val="-6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8"/>
          <w:vertAlign w:val="baseline"/>
        </w:rPr>
        <w:t> </w:t>
      </w:r>
      <w:r>
        <w:rPr>
          <w:vertAlign w:val="baseline"/>
        </w:rPr>
        <w:t>from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survey and render them biased. It also signifies whether the scales used in the questionnaire are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stable</w:t>
      </w:r>
      <w:r>
        <w:rPr>
          <w:spacing w:val="1"/>
          <w:vertAlign w:val="baseline"/>
        </w:rPr>
        <w:t> </w:t>
      </w:r>
      <w:r>
        <w:rPr>
          <w:vertAlign w:val="baseline"/>
        </w:rPr>
        <w:t>over time.</w:t>
      </w:r>
    </w:p>
    <w:p>
      <w:pPr>
        <w:pStyle w:val="BodyText"/>
        <w:spacing w:line="360" w:lineRule="auto" w:before="116"/>
        <w:ind w:left="120" w:right="117"/>
        <w:jc w:val="both"/>
      </w:pPr>
      <w:r>
        <w:rPr/>
        <w:t>The</w:t>
      </w:r>
      <w:r>
        <w:rPr>
          <w:spacing w:val="-7"/>
        </w:rPr>
        <w:t> </w:t>
      </w:r>
      <w:r>
        <w:rPr/>
        <w:t>study’s</w:t>
      </w:r>
      <w:r>
        <w:rPr>
          <w:spacing w:val="-6"/>
        </w:rPr>
        <w:t> </w:t>
      </w:r>
      <w:r>
        <w:rPr/>
        <w:t>test</w:t>
      </w:r>
      <w:r>
        <w:rPr>
          <w:spacing w:val="-3"/>
        </w:rPr>
        <w:t> </w:t>
      </w:r>
      <w:r>
        <w:rPr/>
        <w:t>scale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reliability</w:t>
      </w:r>
      <w:r>
        <w:rPr>
          <w:spacing w:val="-9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for</w:t>
      </w:r>
      <w:r>
        <w:rPr>
          <w:spacing w:val="-8"/>
        </w:rPr>
        <w:t> </w:t>
      </w:r>
      <w:r>
        <w:rPr/>
        <w:t>all</w:t>
      </w:r>
      <w:r>
        <w:rPr>
          <w:spacing w:val="-5"/>
        </w:rPr>
        <w:t> </w:t>
      </w:r>
      <w:r>
        <w:rPr/>
        <w:t>variables was</w:t>
      </w:r>
      <w:r>
        <w:rPr>
          <w:spacing w:val="-3"/>
        </w:rPr>
        <w:t> </w:t>
      </w:r>
      <w:r>
        <w:rPr/>
        <w:t>fairly</w:t>
      </w:r>
      <w:r>
        <w:rPr>
          <w:spacing w:val="-8"/>
        </w:rPr>
        <w:t> </w:t>
      </w:r>
      <w:r>
        <w:rPr/>
        <w:t>high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0.8439</w:t>
      </w:r>
      <w:r>
        <w:rPr>
          <w:spacing w:val="-4"/>
        </w:rPr>
        <w:t> </w:t>
      </w:r>
      <w:r>
        <w:rPr/>
        <w:t>out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1 (see Appendix Table G1). This shows that the set of variables as a group are highly consistent,</w:t>
      </w:r>
      <w:r>
        <w:rPr>
          <w:spacing w:val="1"/>
        </w:rPr>
        <w:t> </w:t>
      </w:r>
      <w:r>
        <w:rPr/>
        <w:t>stable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reliable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84%</w:t>
      </w:r>
      <w:r>
        <w:rPr>
          <w:spacing w:val="-10"/>
        </w:rPr>
        <w:t> </w:t>
      </w:r>
      <w:r>
        <w:rPr/>
        <w:t>statistically,</w:t>
      </w:r>
      <w:r>
        <w:rPr>
          <w:spacing w:val="-9"/>
        </w:rPr>
        <w:t> </w:t>
      </w:r>
      <w:r>
        <w:rPr/>
        <w:t>as</w:t>
      </w:r>
      <w:r>
        <w:rPr>
          <w:spacing w:val="-11"/>
        </w:rPr>
        <w:t> </w:t>
      </w:r>
      <w:r>
        <w:rPr/>
        <w:t>reliability</w:t>
      </w:r>
      <w:r>
        <w:rPr>
          <w:spacing w:val="-14"/>
        </w:rPr>
        <w:t> </w:t>
      </w:r>
      <w:r>
        <w:rPr/>
        <w:t>coefficients</w:t>
      </w:r>
      <w:r>
        <w:rPr>
          <w:spacing w:val="-10"/>
        </w:rPr>
        <w:t> </w:t>
      </w:r>
      <w:r>
        <w:rPr/>
        <w:t>above</w:t>
      </w:r>
      <w:r>
        <w:rPr>
          <w:spacing w:val="-12"/>
        </w:rPr>
        <w:t> </w:t>
      </w:r>
      <w:r>
        <w:rPr/>
        <w:t>80%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considered</w:t>
      </w:r>
      <w:r>
        <w:rPr>
          <w:spacing w:val="-11"/>
        </w:rPr>
        <w:t> </w:t>
      </w:r>
      <w:r>
        <w:rPr/>
        <w:t>reliable</w:t>
      </w:r>
      <w:r>
        <w:rPr>
          <w:spacing w:val="-58"/>
        </w:rPr>
        <w:t> </w:t>
      </w:r>
      <w:r>
        <w:rPr/>
        <w:t>(Sarker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2018:7). On this</w:t>
      </w:r>
      <w:r>
        <w:rPr>
          <w:spacing w:val="-1"/>
        </w:rPr>
        <w:t> </w:t>
      </w:r>
      <w:r>
        <w:rPr/>
        <w:t>basis, related</w:t>
      </w:r>
      <w:r>
        <w:rPr>
          <w:spacing w:val="-1"/>
        </w:rPr>
        <w:t> </w:t>
      </w:r>
      <w:r>
        <w:rPr/>
        <w:t>statistical analysis was</w:t>
      </w:r>
      <w:r>
        <w:rPr>
          <w:spacing w:val="-1"/>
        </w:rPr>
        <w:t> </w:t>
      </w:r>
      <w:r>
        <w:rPr/>
        <w:t>permissible.</w:t>
      </w:r>
    </w:p>
    <w:p>
      <w:pPr>
        <w:pStyle w:val="BodyText"/>
        <w:spacing w:before="5"/>
        <w:rPr>
          <w:sz w:val="20"/>
        </w:rPr>
      </w:pPr>
    </w:p>
    <w:p>
      <w:pPr>
        <w:pStyle w:val="Heading5"/>
        <w:numPr>
          <w:ilvl w:val="2"/>
          <w:numId w:val="15"/>
        </w:numPr>
        <w:tabs>
          <w:tab w:pos="781" w:val="left" w:leader="none"/>
        </w:tabs>
        <w:spacing w:line="240" w:lineRule="auto" w:before="0" w:after="0"/>
        <w:ind w:left="780" w:right="0" w:hanging="661"/>
        <w:jc w:val="both"/>
      </w:pPr>
      <w:bookmarkStart w:name="_TOC_250015" w:id="62"/>
      <w:r>
        <w:rPr/>
        <w:t>Regression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NGHPS</w:t>
      </w:r>
      <w:r>
        <w:rPr>
          <w:spacing w:val="-1"/>
        </w:rPr>
        <w:t> </w:t>
      </w:r>
      <w:bookmarkEnd w:id="62"/>
      <w:r>
        <w:rPr/>
        <w:t>Waves</w:t>
      </w:r>
    </w:p>
    <w:p>
      <w:pPr>
        <w:pStyle w:val="BodyText"/>
        <w:spacing w:line="360" w:lineRule="auto" w:before="132"/>
        <w:ind w:left="120" w:right="115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results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various</w:t>
      </w:r>
      <w:r>
        <w:rPr>
          <w:spacing w:val="-11"/>
        </w:rPr>
        <w:t> </w:t>
      </w:r>
      <w:r>
        <w:rPr>
          <w:spacing w:val="-1"/>
        </w:rPr>
        <w:t>panel</w:t>
      </w:r>
      <w:r>
        <w:rPr>
          <w:spacing w:val="-12"/>
        </w:rPr>
        <w:t> </w:t>
      </w:r>
      <w:r>
        <w:rPr/>
        <w:t>logistic</w:t>
      </w:r>
      <w:r>
        <w:rPr>
          <w:spacing w:val="-13"/>
        </w:rPr>
        <w:t> </w:t>
      </w:r>
      <w:r>
        <w:rPr/>
        <w:t>regression</w:t>
      </w:r>
      <w:r>
        <w:rPr>
          <w:spacing w:val="-12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–</w:t>
      </w:r>
      <w:r>
        <w:rPr>
          <w:spacing w:val="-12"/>
        </w:rPr>
        <w:t> </w:t>
      </w:r>
      <w:r>
        <w:rPr/>
        <w:t>POLS,</w:t>
      </w:r>
      <w:r>
        <w:rPr>
          <w:spacing w:val="-10"/>
        </w:rPr>
        <w:t> </w:t>
      </w:r>
      <w:r>
        <w:rPr/>
        <w:t>FE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RE</w:t>
      </w:r>
      <w:r>
        <w:rPr>
          <w:spacing w:val="-10"/>
        </w:rPr>
        <w:t> </w:t>
      </w:r>
      <w:r>
        <w:rPr/>
        <w:t>–</w:t>
      </w:r>
      <w:r>
        <w:rPr>
          <w:spacing w:val="-12"/>
        </w:rPr>
        <w:t> </w:t>
      </w:r>
      <w:r>
        <w:rPr/>
        <w:t>were</w:t>
      </w:r>
      <w:r>
        <w:rPr>
          <w:spacing w:val="-12"/>
        </w:rPr>
        <w:t> </w:t>
      </w:r>
      <w:r>
        <w:rPr/>
        <w:t>shown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Table</w:t>
      </w:r>
      <w:r>
        <w:rPr>
          <w:spacing w:val="-58"/>
        </w:rPr>
        <w:t> </w:t>
      </w:r>
      <w:r>
        <w:rPr/>
        <w:t>5.13,</w:t>
      </w:r>
      <w:r>
        <w:rPr>
          <w:spacing w:val="-12"/>
        </w:rPr>
        <w:t> </w:t>
      </w:r>
      <w:r>
        <w:rPr/>
        <w:t>5.14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5.15,</w:t>
      </w:r>
      <w:r>
        <w:rPr>
          <w:spacing w:val="-11"/>
        </w:rPr>
        <w:t> </w:t>
      </w:r>
      <w:r>
        <w:rPr/>
        <w:t>respectively.</w:t>
      </w:r>
      <w:r>
        <w:rPr>
          <w:spacing w:val="-12"/>
        </w:rPr>
        <w:t> </w:t>
      </w:r>
      <w:r>
        <w:rPr/>
        <w:t>These</w:t>
      </w:r>
      <w:r>
        <w:rPr>
          <w:spacing w:val="-12"/>
        </w:rPr>
        <w:t> </w:t>
      </w:r>
      <w:r>
        <w:rPr/>
        <w:t>were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NGHPS</w:t>
      </w:r>
      <w:r>
        <w:rPr>
          <w:spacing w:val="-10"/>
        </w:rPr>
        <w:t> </w:t>
      </w:r>
      <w:r>
        <w:rPr/>
        <w:t>Waves.</w:t>
      </w:r>
      <w:r>
        <w:rPr>
          <w:spacing w:val="-12"/>
        </w:rPr>
        <w:t> </w:t>
      </w:r>
      <w:r>
        <w:rPr/>
        <w:t>Table</w:t>
      </w:r>
      <w:r>
        <w:rPr>
          <w:spacing w:val="-12"/>
        </w:rPr>
        <w:t> </w:t>
      </w:r>
      <w:r>
        <w:rPr/>
        <w:t>5.13</w:t>
      </w:r>
      <w:r>
        <w:rPr>
          <w:spacing w:val="-10"/>
        </w:rPr>
        <w:t> </w:t>
      </w:r>
      <w:r>
        <w:rPr/>
        <w:t>presents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Pooled</w:t>
      </w:r>
      <w:r>
        <w:rPr>
          <w:spacing w:val="-57"/>
        </w:rPr>
        <w:t> </w:t>
      </w:r>
      <w:r>
        <w:rPr/>
        <w:t>OLS</w:t>
      </w:r>
      <w:r>
        <w:rPr>
          <w:spacing w:val="-2"/>
        </w:rPr>
        <w:t> </w:t>
      </w:r>
      <w:r>
        <w:rPr/>
        <w:t>estimates,</w:t>
      </w:r>
      <w:r>
        <w:rPr>
          <w:spacing w:val="-4"/>
        </w:rPr>
        <w:t> </w:t>
      </w:r>
      <w:r>
        <w:rPr/>
        <w:t>where</w:t>
      </w:r>
      <w:r>
        <w:rPr>
          <w:spacing w:val="-4"/>
        </w:rPr>
        <w:t> </w:t>
      </w:r>
      <w:r>
        <w:rPr/>
        <w:t>several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households’</w:t>
      </w:r>
      <w:r>
        <w:rPr>
          <w:spacing w:val="-1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variables have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signs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significant.</w:t>
      </w:r>
    </w:p>
    <w:p>
      <w:pPr>
        <w:pStyle w:val="BodyText"/>
        <w:spacing w:line="360" w:lineRule="auto" w:before="207"/>
        <w:ind w:left="120" w:right="113"/>
        <w:jc w:val="both"/>
      </w:pPr>
      <w:r>
        <w:rPr/>
        <w:t>The family size has a statistically significant effect on illness – it is positively related to illness,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measure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outcomes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1%</w:t>
      </w:r>
      <w:r>
        <w:rPr>
          <w:spacing w:val="-6"/>
        </w:rPr>
        <w:t> </w:t>
      </w:r>
      <w:r>
        <w:rPr/>
        <w:t>level.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result</w:t>
      </w:r>
      <w:r>
        <w:rPr>
          <w:spacing w:val="-4"/>
        </w:rPr>
        <w:t> </w:t>
      </w:r>
      <w:r>
        <w:rPr/>
        <w:t>show</w:t>
      </w:r>
      <w:r>
        <w:rPr>
          <w:spacing w:val="-6"/>
        </w:rPr>
        <w:t> </w:t>
      </w:r>
      <w:r>
        <w:rPr/>
        <w:t>that,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every</w:t>
      </w:r>
      <w:r>
        <w:rPr>
          <w:spacing w:val="-6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household</w:t>
      </w:r>
      <w:r>
        <w:rPr>
          <w:spacing w:val="-57"/>
        </w:rPr>
        <w:t> </w:t>
      </w:r>
      <w:r>
        <w:rPr/>
        <w:t>membership</w:t>
      </w:r>
      <w:r>
        <w:rPr>
          <w:spacing w:val="-15"/>
        </w:rPr>
        <w:t> </w:t>
      </w:r>
      <w:r>
        <w:rPr/>
        <w:t>amidst</w:t>
      </w:r>
      <w:r>
        <w:rPr>
          <w:spacing w:val="-14"/>
        </w:rPr>
        <w:t> </w:t>
      </w:r>
      <w:r>
        <w:rPr/>
        <w:t>rising</w:t>
      </w:r>
      <w:r>
        <w:rPr>
          <w:spacing w:val="-17"/>
        </w:rPr>
        <w:t> </w:t>
      </w:r>
      <w:r>
        <w:rPr/>
        <w:t>income</w:t>
      </w:r>
      <w:r>
        <w:rPr>
          <w:spacing w:val="-14"/>
        </w:rPr>
        <w:t> </w:t>
      </w:r>
      <w:r>
        <w:rPr/>
        <w:t>inequality,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odds</w:t>
      </w:r>
      <w:r>
        <w:rPr>
          <w:vertAlign w:val="superscript"/>
        </w:rPr>
        <w:t>14</w:t>
      </w:r>
      <w:r>
        <w:rPr>
          <w:spacing w:val="-14"/>
          <w:vertAlign w:val="baseline"/>
        </w:rPr>
        <w:t> </w:t>
      </w:r>
      <w:r>
        <w:rPr>
          <w:vertAlign w:val="baseline"/>
        </w:rPr>
        <w:t>of</w:t>
      </w:r>
      <w:r>
        <w:rPr>
          <w:spacing w:val="-16"/>
          <w:vertAlign w:val="baseline"/>
        </w:rPr>
        <w:t> </w:t>
      </w:r>
      <w:r>
        <w:rPr>
          <w:vertAlign w:val="baseline"/>
        </w:rPr>
        <w:t>illness</w:t>
      </w:r>
      <w:r>
        <w:rPr>
          <w:spacing w:val="-14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-15"/>
          <w:vertAlign w:val="baseline"/>
        </w:rPr>
        <w:t> </w:t>
      </w:r>
      <w:r>
        <w:rPr>
          <w:vertAlign w:val="baseline"/>
        </w:rPr>
        <w:t>by</w:t>
      </w:r>
      <w:r>
        <w:rPr>
          <w:spacing w:val="-17"/>
          <w:vertAlign w:val="baseline"/>
        </w:rPr>
        <w:t> </w:t>
      </w:r>
      <w:r>
        <w:rPr>
          <w:vertAlign w:val="baseline"/>
        </w:rPr>
        <w:t>4%</w:t>
      </w:r>
      <w:r>
        <w:rPr>
          <w:spacing w:val="-14"/>
          <w:vertAlign w:val="baseline"/>
        </w:rPr>
        <w:t> </w:t>
      </w:r>
      <w:r>
        <w:rPr>
          <w:vertAlign w:val="baseline"/>
        </w:rPr>
        <w:t>for</w:t>
      </w:r>
      <w:r>
        <w:rPr>
          <w:spacing w:val="-14"/>
          <w:vertAlign w:val="baseline"/>
        </w:rPr>
        <w:t> </w:t>
      </w:r>
      <w:r>
        <w:rPr>
          <w:vertAlign w:val="baseline"/>
        </w:rPr>
        <w:t>all</w:t>
      </w:r>
      <w:r>
        <w:rPr>
          <w:spacing w:val="-14"/>
          <w:vertAlign w:val="baseline"/>
        </w:rPr>
        <w:t> </w:t>
      </w:r>
      <w:r>
        <w:rPr>
          <w:vertAlign w:val="baseline"/>
        </w:rPr>
        <w:t>members.</w:t>
      </w:r>
      <w:r>
        <w:rPr>
          <w:spacing w:val="-58"/>
          <w:vertAlign w:val="baseline"/>
        </w:rPr>
        <w:t> </w:t>
      </w:r>
      <w:r>
        <w:rPr>
          <w:vertAlign w:val="baseline"/>
        </w:rPr>
        <w:t>Intuitively, widening income disparity lead to shifts in priorities as family size increases, inhibits</w:t>
      </w:r>
      <w:r>
        <w:rPr>
          <w:spacing w:val="1"/>
          <w:vertAlign w:val="baseline"/>
        </w:rPr>
        <w:t> </w:t>
      </w:r>
      <w:r>
        <w:rPr>
          <w:vertAlign w:val="baseline"/>
        </w:rPr>
        <w:t>purchasing-power of their resources to meet basic needs of each members, and results to more</w:t>
      </w:r>
      <w:r>
        <w:rPr>
          <w:spacing w:val="1"/>
          <w:vertAlign w:val="baseline"/>
        </w:rPr>
        <w:t> </w:t>
      </w:r>
      <w:r>
        <w:rPr>
          <w:vertAlign w:val="baseline"/>
        </w:rPr>
        <w:t>illness. This is because each addition to a family size often requires adjustments and sacrifices by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all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members,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which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can</w:t>
      </w:r>
      <w:r>
        <w:rPr>
          <w:spacing w:val="-12"/>
          <w:vertAlign w:val="baseline"/>
        </w:rPr>
        <w:t> </w:t>
      </w:r>
      <w:r>
        <w:rPr>
          <w:vertAlign w:val="baseline"/>
        </w:rPr>
        <w:t>lead</w:t>
      </w:r>
      <w:r>
        <w:rPr>
          <w:spacing w:val="-12"/>
          <w:vertAlign w:val="baseline"/>
        </w:rPr>
        <w:t> </w:t>
      </w:r>
      <w:r>
        <w:rPr>
          <w:vertAlign w:val="baseline"/>
        </w:rPr>
        <w:t>to</w:t>
      </w:r>
      <w:r>
        <w:rPr>
          <w:spacing w:val="-11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12"/>
          <w:vertAlign w:val="baseline"/>
        </w:rPr>
        <w:t> </w:t>
      </w:r>
      <w:r>
        <w:rPr>
          <w:vertAlign w:val="baseline"/>
        </w:rPr>
        <w:t>issues</w:t>
      </w:r>
      <w:r>
        <w:rPr>
          <w:spacing w:val="-12"/>
          <w:vertAlign w:val="baseline"/>
        </w:rPr>
        <w:t> </w:t>
      </w:r>
      <w:r>
        <w:rPr>
          <w:vertAlign w:val="baseline"/>
        </w:rPr>
        <w:t>(Dasgupta</w:t>
      </w:r>
      <w:r>
        <w:rPr>
          <w:spacing w:val="-13"/>
          <w:vertAlign w:val="baseline"/>
        </w:rPr>
        <w:t> </w:t>
      </w:r>
      <w:r>
        <w:rPr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vertAlign w:val="baseline"/>
        </w:rPr>
        <w:t>Solomon,</w:t>
      </w:r>
      <w:r>
        <w:rPr>
          <w:spacing w:val="-12"/>
          <w:vertAlign w:val="baseline"/>
        </w:rPr>
        <w:t> </w:t>
      </w:r>
      <w:r>
        <w:rPr>
          <w:vertAlign w:val="baseline"/>
        </w:rPr>
        <w:t>2017).</w:t>
      </w:r>
      <w:r>
        <w:rPr>
          <w:spacing w:val="-15"/>
          <w:vertAlign w:val="baseline"/>
        </w:rPr>
        <w:t> </w:t>
      </w:r>
      <w:r>
        <w:rPr>
          <w:vertAlign w:val="baseline"/>
        </w:rPr>
        <w:t>This</w:t>
      </w:r>
      <w:r>
        <w:rPr>
          <w:spacing w:val="-12"/>
          <w:vertAlign w:val="baseline"/>
        </w:rPr>
        <w:t> </w:t>
      </w:r>
      <w:r>
        <w:rPr>
          <w:vertAlign w:val="baseline"/>
        </w:rPr>
        <w:t>finding</w:t>
      </w:r>
      <w:r>
        <w:rPr>
          <w:spacing w:val="-15"/>
          <w:vertAlign w:val="baseline"/>
        </w:rPr>
        <w:t> </w:t>
      </w:r>
      <w:r>
        <w:rPr>
          <w:vertAlign w:val="baseline"/>
        </w:rPr>
        <w:t>confirms</w:t>
      </w:r>
      <w:r>
        <w:rPr>
          <w:spacing w:val="-57"/>
          <w:vertAlign w:val="baseline"/>
        </w:rPr>
        <w:t> </w:t>
      </w:r>
      <w:r>
        <w:rPr>
          <w:vertAlign w:val="baseline"/>
        </w:rPr>
        <w:t>that members of larger family size had poorer health than those from</w:t>
      </w:r>
      <w:r>
        <w:rPr>
          <w:spacing w:val="1"/>
          <w:vertAlign w:val="baseline"/>
        </w:rPr>
        <w:t> </w:t>
      </w:r>
      <w:r>
        <w:rPr>
          <w:vertAlign w:val="baseline"/>
        </w:rPr>
        <w:t>smaller size (Owoo,</w:t>
      </w:r>
      <w:r>
        <w:rPr>
          <w:spacing w:val="1"/>
          <w:vertAlign w:val="baseline"/>
        </w:rPr>
        <w:t> </w:t>
      </w:r>
      <w:r>
        <w:rPr>
          <w:vertAlign w:val="baseline"/>
        </w:rPr>
        <w:t>2018:121)</w:t>
      </w: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72.024002pt;margin-top:9.902412pt;width:144.020pt;height:.71997pt;mso-position-horizontal-relative:page;mso-position-vertical-relative:paragraph;z-index:-156743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20" w:right="0" w:firstLine="0"/>
        <w:jc w:val="left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Cronbach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(1951)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presents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perfect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reliability, while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implies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reliability</w:t>
      </w:r>
    </w:p>
    <w:p>
      <w:pPr>
        <w:pStyle w:val="BodyText"/>
        <w:spacing w:before="11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935" w:top="1360" w:bottom="1200" w:left="1320" w:right="1320"/>
        </w:sectPr>
      </w:pPr>
    </w:p>
    <w:p>
      <w:pPr>
        <w:spacing w:line="217" w:lineRule="exact" w:before="93"/>
        <w:ind w:left="120" w:right="0" w:firstLine="0"/>
        <w:jc w:val="left"/>
        <w:rPr>
          <w:rFonts w:ascii="Cambria Math" w:eastAsia="Cambria Math"/>
          <w:sz w:val="18"/>
        </w:rPr>
      </w:pPr>
      <w:r>
        <w:rPr/>
        <w:pict>
          <v:rect style="position:absolute;margin-left:225.289993pt;margin-top:12.434996pt;width:12.72pt;height:.60004pt;mso-position-horizontal-relative:page;mso-position-vertical-relative:paragraph;z-index:-43053568" filled="true" fillcolor="#000000" stroked="false">
            <v:fill type="solid"/>
            <w10:wrap type="none"/>
          </v:rect>
        </w:pict>
      </w:r>
      <w:r>
        <w:rPr>
          <w:rFonts w:ascii="Calibri" w:eastAsia="Calibri"/>
          <w:position w:val="8"/>
          <w:sz w:val="14"/>
        </w:rPr>
        <w:t>14</w:t>
      </w:r>
      <w:r>
        <w:rPr>
          <w:rFonts w:ascii="Calibri" w:eastAsia="Calibri"/>
          <w:spacing w:val="20"/>
          <w:position w:val="8"/>
          <w:sz w:val="14"/>
        </w:rPr>
        <w:t> </w:t>
      </w:r>
      <w:r>
        <w:rPr>
          <w:sz w:val="18"/>
        </w:rPr>
        <w:t>The</w:t>
      </w:r>
      <w:r>
        <w:rPr>
          <w:spacing w:val="3"/>
          <w:sz w:val="18"/>
        </w:rPr>
        <w:t> </w:t>
      </w:r>
      <w:r>
        <w:rPr>
          <w:sz w:val="18"/>
        </w:rPr>
        <w:t>odd</w:t>
      </w:r>
      <w:r>
        <w:rPr>
          <w:spacing w:val="5"/>
          <w:sz w:val="18"/>
        </w:rPr>
        <w:t> </w:t>
      </w:r>
      <w:r>
        <w:rPr>
          <w:sz w:val="18"/>
        </w:rPr>
        <w:t>ratio</w:t>
      </w:r>
      <w:r>
        <w:rPr>
          <w:spacing w:val="2"/>
          <w:sz w:val="18"/>
        </w:rPr>
        <w:t> </w:t>
      </w:r>
      <w:r>
        <w:rPr>
          <w:sz w:val="18"/>
        </w:rPr>
        <w:t>(OR)</w:t>
      </w:r>
      <w:r>
        <w:rPr>
          <w:spacing w:val="3"/>
          <w:sz w:val="18"/>
        </w:rPr>
        <w:t> </w:t>
      </w:r>
      <w:r>
        <w:rPr>
          <w:sz w:val="18"/>
        </w:rPr>
        <w:t>in</w:t>
      </w:r>
      <w:r>
        <w:rPr>
          <w:spacing w:val="5"/>
          <w:sz w:val="18"/>
        </w:rPr>
        <w:t> </w:t>
      </w:r>
      <w:r>
        <w:rPr>
          <w:sz w:val="18"/>
        </w:rPr>
        <w:t>logistic</w:t>
      </w:r>
      <w:r>
        <w:rPr>
          <w:spacing w:val="3"/>
          <w:sz w:val="18"/>
        </w:rPr>
        <w:t> </w:t>
      </w:r>
      <w:r>
        <w:rPr>
          <w:sz w:val="18"/>
        </w:rPr>
        <w:t>model</w:t>
      </w:r>
      <w:r>
        <w:rPr>
          <w:spacing w:val="5"/>
          <w:sz w:val="18"/>
        </w:rPr>
        <w:t> </w:t>
      </w:r>
      <w:r>
        <w:rPr>
          <w:sz w:val="18"/>
        </w:rPr>
        <w:t>is</w:t>
      </w:r>
      <w:r>
        <w:rPr>
          <w:spacing w:val="42"/>
          <w:sz w:val="18"/>
        </w:rPr>
        <w:t> </w:t>
      </w:r>
      <w:r>
        <w:rPr>
          <w:rFonts w:ascii="Cambria Math" w:eastAsia="Cambria Math"/>
          <w:sz w:val="18"/>
          <w:vertAlign w:val="superscript"/>
        </w:rPr>
        <w:t>𝑝</w:t>
      </w:r>
    </w:p>
    <w:p>
      <w:pPr>
        <w:spacing w:line="116" w:lineRule="exact" w:before="0"/>
        <w:ind w:left="0" w:right="0" w:firstLine="0"/>
        <w:jc w:val="right"/>
        <w:rPr>
          <w:rFonts w:ascii="Cambria Math" w:hAnsi="Cambria Math" w:eastAsia="Cambria Math"/>
          <w:sz w:val="13"/>
        </w:rPr>
      </w:pPr>
      <w:r>
        <w:rPr>
          <w:rFonts w:ascii="Cambria Math" w:hAnsi="Cambria Math" w:eastAsia="Cambria Math"/>
          <w:w w:val="105"/>
          <w:sz w:val="13"/>
        </w:rPr>
        <w:t>1−𝑝</w:t>
      </w:r>
    </w:p>
    <w:p>
      <w:pPr>
        <w:spacing w:before="136"/>
        <w:ind w:left="1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where</w:t>
      </w:r>
      <w:r>
        <w:rPr>
          <w:spacing w:val="5"/>
          <w:sz w:val="18"/>
        </w:rPr>
        <w:t> </w:t>
      </w:r>
      <w:r>
        <w:rPr>
          <w:sz w:val="18"/>
        </w:rPr>
        <w:t>p</w:t>
      </w:r>
      <w:r>
        <w:rPr>
          <w:spacing w:val="7"/>
          <w:sz w:val="18"/>
        </w:rPr>
        <w:t> </w:t>
      </w:r>
      <w:r>
        <w:rPr>
          <w:sz w:val="18"/>
        </w:rPr>
        <w:t>is</w:t>
      </w:r>
      <w:r>
        <w:rPr>
          <w:spacing w:val="6"/>
          <w:sz w:val="18"/>
        </w:rPr>
        <w:t> </w:t>
      </w:r>
      <w:r>
        <w:rPr>
          <w:sz w:val="18"/>
        </w:rPr>
        <w:t>the</w:t>
      </w:r>
      <w:r>
        <w:rPr>
          <w:spacing w:val="6"/>
          <w:sz w:val="18"/>
        </w:rPr>
        <w:t> </w:t>
      </w:r>
      <w:r>
        <w:rPr>
          <w:sz w:val="18"/>
        </w:rPr>
        <w:t>probability</w:t>
      </w:r>
      <w:r>
        <w:rPr>
          <w:spacing w:val="2"/>
          <w:sz w:val="18"/>
        </w:rPr>
        <w:t> </w:t>
      </w:r>
      <w:r>
        <w:rPr>
          <w:sz w:val="18"/>
        </w:rPr>
        <w:t>of</w:t>
      </w:r>
      <w:r>
        <w:rPr>
          <w:spacing w:val="4"/>
          <w:sz w:val="18"/>
        </w:rPr>
        <w:t> </w:t>
      </w:r>
      <w:r>
        <w:rPr>
          <w:sz w:val="18"/>
        </w:rPr>
        <w:t>the</w:t>
      </w:r>
      <w:r>
        <w:rPr>
          <w:spacing w:val="6"/>
          <w:sz w:val="18"/>
        </w:rPr>
        <w:t> </w:t>
      </w:r>
      <w:r>
        <w:rPr>
          <w:sz w:val="18"/>
        </w:rPr>
        <w:t>event</w:t>
      </w:r>
      <w:r>
        <w:rPr>
          <w:spacing w:val="7"/>
          <w:sz w:val="18"/>
        </w:rPr>
        <w:t> </w:t>
      </w:r>
      <w:r>
        <w:rPr>
          <w:sz w:val="18"/>
        </w:rPr>
        <w:t>occurrence.</w:t>
      </w:r>
      <w:r>
        <w:rPr>
          <w:spacing w:val="9"/>
          <w:sz w:val="18"/>
        </w:rPr>
        <w:t> </w:t>
      </w:r>
      <w:r>
        <w:rPr>
          <w:i/>
          <w:sz w:val="18"/>
        </w:rPr>
        <w:t>Exp</w:t>
      </w:r>
      <w:r>
        <w:rPr>
          <w:i/>
          <w:spacing w:val="8"/>
          <w:sz w:val="18"/>
        </w:rPr>
        <w:t> </w:t>
      </w:r>
      <w:r>
        <w:rPr>
          <w:i/>
          <w:sz w:val="18"/>
        </w:rPr>
        <w:t>(beta)</w:t>
      </w:r>
      <w:r>
        <w:rPr>
          <w:i/>
          <w:spacing w:val="7"/>
          <w:sz w:val="18"/>
        </w:rPr>
        <w:t> </w:t>
      </w:r>
      <w:r>
        <w:rPr>
          <w:sz w:val="18"/>
        </w:rPr>
        <w:t>or</w:t>
      </w:r>
      <w:r>
        <w:rPr>
          <w:spacing w:val="3"/>
          <w:sz w:val="18"/>
        </w:rPr>
        <w:t> </w:t>
      </w:r>
      <w:r>
        <w:rPr>
          <w:rFonts w:ascii="Cambria Math" w:hAnsi="Cambria Math" w:eastAsia="Cambria Math"/>
          <w:sz w:val="18"/>
        </w:rPr>
        <w:t>𝑒</w:t>
      </w:r>
      <w:r>
        <w:rPr>
          <w:rFonts w:ascii="Cambria Math" w:hAnsi="Cambria Math" w:eastAsia="Cambria Math"/>
          <w:sz w:val="18"/>
          <w:vertAlign w:val="superscript"/>
        </w:rPr>
        <w:t>𝑐𝑜𝑒𝑓.</w:t>
      </w:r>
      <w:r>
        <w:rPr>
          <w:sz w:val="18"/>
          <w:vertAlign w:val="baseline"/>
        </w:rPr>
        <w:t>.</w:t>
      </w:r>
      <w:r>
        <w:rPr>
          <w:spacing w:val="7"/>
          <w:sz w:val="18"/>
          <w:vertAlign w:val="baseline"/>
        </w:rPr>
        <w:t> </w:t>
      </w:r>
      <w:r>
        <w:rPr>
          <w:sz w:val="18"/>
          <w:vertAlign w:val="baseline"/>
        </w:rPr>
        <w:t>(OR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–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1)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x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380" w:bottom="280" w:left="1320" w:right="1320"/>
          <w:cols w:num="2" w:equalWidth="0">
            <w:col w:w="3438" w:space="40"/>
            <w:col w:w="6122"/>
          </w:cols>
        </w:sectPr>
      </w:pPr>
    </w:p>
    <w:p>
      <w:pPr>
        <w:spacing w:line="200" w:lineRule="exact" w:before="0"/>
        <w:ind w:left="120" w:right="0" w:firstLine="0"/>
        <w:jc w:val="left"/>
        <w:rPr>
          <w:sz w:val="18"/>
        </w:rPr>
      </w:pPr>
      <w:r>
        <w:rPr>
          <w:sz w:val="18"/>
        </w:rPr>
        <w:t>100%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(%</w:t>
      </w:r>
      <w:r>
        <w:rPr>
          <w:spacing w:val="-1"/>
          <w:sz w:val="18"/>
        </w:rPr>
        <w:t> </w:t>
      </w:r>
      <w:r>
        <w:rPr>
          <w:sz w:val="18"/>
        </w:rPr>
        <w:t>changes)</w:t>
      </w:r>
    </w:p>
    <w:p>
      <w:pPr>
        <w:spacing w:after="0" w:line="200" w:lineRule="exact"/>
        <w:jc w:val="left"/>
        <w:rPr>
          <w:sz w:val="18"/>
        </w:rPr>
        <w:sectPr>
          <w:type w:val="continuous"/>
          <w:pgSz w:w="12240" w:h="15840"/>
          <w:pgMar w:top="1380" w:bottom="280" w:left="1320" w:right="1320"/>
        </w:sectPr>
      </w:pPr>
    </w:p>
    <w:p>
      <w:pPr>
        <w:pStyle w:val="Heading4"/>
        <w:spacing w:before="77" w:after="3"/>
        <w:ind w:left="106" w:right="108"/>
        <w:jc w:val="center"/>
      </w:pPr>
      <w:r>
        <w:rPr/>
        <w:t>Table</w:t>
      </w:r>
      <w:r>
        <w:rPr>
          <w:spacing w:val="-2"/>
        </w:rPr>
        <w:t> </w:t>
      </w:r>
      <w:r>
        <w:rPr/>
        <w:t>5.13</w:t>
      </w:r>
      <w:r>
        <w:rPr>
          <w:spacing w:val="-1"/>
        </w:rPr>
        <w:t> </w:t>
      </w:r>
      <w:r>
        <w:rPr/>
        <w:t>POOLED</w:t>
      </w:r>
      <w:r>
        <w:rPr>
          <w:spacing w:val="-2"/>
        </w:rPr>
        <w:t> </w:t>
      </w:r>
      <w:r>
        <w:rPr/>
        <w:t>OLS</w:t>
      </w:r>
      <w:r>
        <w:rPr>
          <w:spacing w:val="-1"/>
        </w:rPr>
        <w:t> </w:t>
      </w:r>
      <w:r>
        <w:rPr/>
        <w:t>Regression</w:t>
      </w: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9"/>
        <w:gridCol w:w="2160"/>
        <w:gridCol w:w="1351"/>
        <w:gridCol w:w="1528"/>
      </w:tblGrid>
      <w:tr>
        <w:trPr>
          <w:trHeight w:val="230" w:hRule="atLeast"/>
        </w:trPr>
        <w:tc>
          <w:tcPr>
            <w:tcW w:w="9088" w:type="dxa"/>
            <w:gridSpan w:val="4"/>
          </w:tcPr>
          <w:p>
            <w:pPr>
              <w:pStyle w:val="TableParagraph"/>
              <w:spacing w:line="210" w:lineRule="exact"/>
              <w:ind w:left="1244" w:right="1241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Dependent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Variable: Ill-Health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in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past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four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weeks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(proxy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for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Health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Outcomes)</w:t>
            </w:r>
          </w:p>
        </w:tc>
      </w:tr>
      <w:tr>
        <w:trPr>
          <w:trHeight w:val="230" w:hRule="atLeast"/>
        </w:trPr>
        <w:tc>
          <w:tcPr>
            <w:tcW w:w="4049" w:type="dxa"/>
          </w:tcPr>
          <w:p>
            <w:pPr>
              <w:pStyle w:val="TableParagraph"/>
              <w:spacing w:line="210" w:lineRule="exact"/>
              <w:ind w:left="1416" w:right="141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VARIABLES</w:t>
            </w:r>
          </w:p>
        </w:tc>
        <w:tc>
          <w:tcPr>
            <w:tcW w:w="2160" w:type="dxa"/>
          </w:tcPr>
          <w:p>
            <w:pPr>
              <w:pStyle w:val="TableParagraph"/>
              <w:spacing w:line="210" w:lineRule="exact"/>
              <w:ind w:left="234" w:right="227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Coefficient</w:t>
            </w:r>
          </w:p>
        </w:tc>
        <w:tc>
          <w:tcPr>
            <w:tcW w:w="1351" w:type="dxa"/>
          </w:tcPr>
          <w:p>
            <w:pPr>
              <w:pStyle w:val="TableParagraph"/>
              <w:spacing w:line="210" w:lineRule="exact"/>
              <w:ind w:left="201" w:right="193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Odd Ratios</w:t>
            </w:r>
          </w:p>
        </w:tc>
        <w:tc>
          <w:tcPr>
            <w:tcW w:w="1528" w:type="dxa"/>
          </w:tcPr>
          <w:p>
            <w:pPr>
              <w:pStyle w:val="TableParagraph"/>
              <w:spacing w:line="210" w:lineRule="exact"/>
              <w:ind w:left="209" w:right="205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Wald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Test</w:t>
            </w:r>
            <w:r>
              <w:rPr>
                <w:rFonts w:ascii="Times New Roman"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(z)</w:t>
            </w:r>
          </w:p>
        </w:tc>
      </w:tr>
      <w:tr>
        <w:trPr>
          <w:trHeight w:val="232" w:hRule="atLeast"/>
        </w:trPr>
        <w:tc>
          <w:tcPr>
            <w:tcW w:w="4049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05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HOUSEHOLD</w:t>
            </w:r>
            <w:r>
              <w:rPr>
                <w:rFonts w:ascii="Times New Roman"/>
                <w:b/>
                <w:i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CHARACTERISTICS</w:t>
            </w:r>
          </w:p>
        </w:tc>
        <w:tc>
          <w:tcPr>
            <w:tcW w:w="2160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Family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Size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0.0381***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(0.0105)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1.0388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3.62</w:t>
            </w:r>
          </w:p>
        </w:tc>
      </w:tr>
      <w:tr>
        <w:trPr>
          <w:trHeight w:val="228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Food,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Diet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and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Calories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Hunger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Food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0.3432***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(0.0285)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1.4095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12.06</w:t>
            </w:r>
          </w:p>
        </w:tc>
      </w:tr>
      <w:tr>
        <w:trPr>
          <w:trHeight w:val="229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Gari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-0.0627*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(0.0370)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0.9392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-1.69</w:t>
            </w:r>
          </w:p>
        </w:tc>
      </w:tr>
      <w:tr>
        <w:trPr>
          <w:trHeight w:val="230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Rice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34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-0.2722***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(0.0296)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0.7617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-9.18</w:t>
            </w:r>
          </w:p>
        </w:tc>
      </w:tr>
      <w:tr>
        <w:trPr>
          <w:trHeight w:val="230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Yam,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Cassava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Maize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Flour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34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-1.4488***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(0.0287)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0.2348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9" w:right="20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-50.48</w:t>
            </w:r>
          </w:p>
        </w:tc>
      </w:tr>
      <w:tr>
        <w:trPr>
          <w:trHeight w:val="227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Beans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234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-0.0136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(0.0327)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99" w:right="1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0.9865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209" w:right="20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-0.41</w:t>
            </w:r>
          </w:p>
        </w:tc>
      </w:tr>
      <w:tr>
        <w:trPr>
          <w:trHeight w:val="232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Meat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Fish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234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-0.0007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(0.0009)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99" w:right="1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0.9993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209" w:right="20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-0.77</w:t>
            </w:r>
          </w:p>
        </w:tc>
      </w:tr>
      <w:tr>
        <w:trPr>
          <w:trHeight w:val="229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Highest</w:t>
            </w:r>
            <w:r>
              <w:rPr>
                <w:rFonts w:ascii="Times New Roman"/>
                <w:b/>
                <w:i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Education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0.9419***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(0.0262)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2.5648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35.94</w:t>
            </w:r>
          </w:p>
        </w:tc>
      </w:tr>
      <w:tr>
        <w:trPr>
          <w:trHeight w:val="231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Primary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Education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-0.0172*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(0.0103)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1.0173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-1.67</w:t>
            </w:r>
          </w:p>
        </w:tc>
      </w:tr>
      <w:tr>
        <w:trPr>
          <w:trHeight w:val="230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Secondary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Education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34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-0.1973***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(0.0286)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0.8210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-6.87</w:t>
            </w:r>
          </w:p>
        </w:tc>
      </w:tr>
      <w:tr>
        <w:trPr>
          <w:trHeight w:val="232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Tertiary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234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-0.6530***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(0.0450)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0.5205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209" w:right="20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-14.50</w:t>
            </w:r>
          </w:p>
        </w:tc>
      </w:tr>
      <w:tr>
        <w:trPr>
          <w:trHeight w:val="228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Material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1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Mosquito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Possession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234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-0.4029***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(0.0380)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0.6684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209" w:right="20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-10.59</w:t>
            </w:r>
          </w:p>
        </w:tc>
      </w:tr>
      <w:tr>
        <w:trPr>
          <w:trHeight w:val="226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left="105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Access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to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Electricity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34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-0.1036***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(0.0237)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0.9015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-4.37</w:t>
            </w:r>
          </w:p>
        </w:tc>
      </w:tr>
      <w:tr>
        <w:trPr>
          <w:trHeight w:val="230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34" w:right="22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0.0265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(0.0181)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99" w:right="1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1.0269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9" w:right="20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1.46</w:t>
            </w:r>
          </w:p>
        </w:tc>
      </w:tr>
      <w:tr>
        <w:trPr>
          <w:trHeight w:val="230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Drinkable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Water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Access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0.1391**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(0.0466)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1.1493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2.98</w:t>
            </w:r>
          </w:p>
        </w:tc>
      </w:tr>
      <w:tr>
        <w:trPr>
          <w:trHeight w:val="229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Pipe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Borne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Water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34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-0.2498***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(0.0090)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0.7789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9" w:right="20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-27.86</w:t>
            </w:r>
          </w:p>
        </w:tc>
      </w:tr>
      <w:tr>
        <w:trPr>
          <w:trHeight w:val="230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Borehole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Well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Water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34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-0.0406***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(0.0091)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0.9602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-4.48</w:t>
            </w:r>
          </w:p>
        </w:tc>
      </w:tr>
      <w:tr>
        <w:trPr>
          <w:trHeight w:val="232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River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Spring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1.0729***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(0.0320)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2.9241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33.53</w:t>
            </w:r>
          </w:p>
        </w:tc>
      </w:tr>
      <w:tr>
        <w:trPr>
          <w:trHeight w:val="227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Toilet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and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Sanitation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0.1658***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(0.0274)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1.1803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6.06</w:t>
            </w:r>
          </w:p>
        </w:tc>
      </w:tr>
      <w:tr>
        <w:trPr>
          <w:trHeight w:val="229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Water 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Modern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Toilet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34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-0.2379***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(0.0310)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0.7882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-7.68</w:t>
            </w:r>
          </w:p>
        </w:tc>
      </w:tr>
      <w:tr>
        <w:trPr>
          <w:trHeight w:val="229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Pit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Latrine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34" w:right="22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0.0035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(0.0039)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99" w:right="1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1.0036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9" w:right="20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0.90</w:t>
            </w:r>
          </w:p>
        </w:tc>
      </w:tr>
      <w:tr>
        <w:trPr>
          <w:trHeight w:val="230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Unhealthy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Lifestyle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Alcoholic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Consumption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234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-0.0017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(0.0012)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99" w:right="1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0.9982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209" w:right="20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-1.50</w:t>
            </w:r>
          </w:p>
        </w:tc>
      </w:tr>
      <w:tr>
        <w:trPr>
          <w:trHeight w:val="235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Self-Medication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illness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0.2970***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(0.0393)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1.3458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7.57</w:t>
            </w:r>
          </w:p>
        </w:tc>
      </w:tr>
      <w:tr>
        <w:trPr>
          <w:trHeight w:val="228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05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Health-Seeking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Behaviour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Seeking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Healthcare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34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-0.1665***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(0.0230)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0.8466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-7.23</w:t>
            </w:r>
          </w:p>
        </w:tc>
      </w:tr>
      <w:tr>
        <w:trPr>
          <w:trHeight w:val="229" w:hRule="atLeast"/>
        </w:trPr>
        <w:tc>
          <w:tcPr>
            <w:tcW w:w="4049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2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Others</w:t>
            </w:r>
          </w:p>
        </w:tc>
        <w:tc>
          <w:tcPr>
            <w:tcW w:w="2160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234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-0.0023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(0.0132)</w:t>
            </w:r>
          </w:p>
        </w:tc>
        <w:tc>
          <w:tcPr>
            <w:tcW w:w="1351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199" w:right="1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0.9977</w:t>
            </w:r>
          </w:p>
        </w:tc>
        <w:tc>
          <w:tcPr>
            <w:tcW w:w="1528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209" w:right="20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-0.17</w:t>
            </w:r>
          </w:p>
        </w:tc>
      </w:tr>
      <w:tr>
        <w:trPr>
          <w:trHeight w:val="2071" w:hRule="atLeast"/>
        </w:trPr>
        <w:tc>
          <w:tcPr>
            <w:tcW w:w="4049" w:type="dxa"/>
          </w:tcPr>
          <w:p>
            <w:pPr>
              <w:pStyle w:val="TableParagraph"/>
              <w:spacing w:line="226" w:lineRule="exact"/>
              <w:ind w:left="105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HOUSEHOLDS’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TOTAL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INCOME</w:t>
            </w:r>
          </w:p>
          <w:p>
            <w:pPr>
              <w:pStyle w:val="TableParagraph"/>
              <w:ind w:left="105" w:right="145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Wages and Salaries Incomes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Business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Enterprises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Trades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Farming or Livestock Incomes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Remittances</w:t>
            </w:r>
          </w:p>
          <w:p>
            <w:pPr>
              <w:pStyle w:val="TableParagraph"/>
              <w:ind w:left="105" w:right="15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Monetary </w:t>
            </w:r>
            <w:r>
              <w:rPr>
                <w:rFonts w:ascii="Times New Roman"/>
                <w:sz w:val="20"/>
              </w:rPr>
              <w:t>Transfer/Assistance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Pensions and</w:t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Grants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Dividend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Investment</w:t>
            </w:r>
          </w:p>
          <w:p>
            <w:pPr>
              <w:pStyle w:val="TableParagraph"/>
              <w:spacing w:line="217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Properties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Owned</w:t>
            </w:r>
          </w:p>
        </w:tc>
        <w:tc>
          <w:tcPr>
            <w:tcW w:w="2160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34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-0.0701***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(0.0084)</w:t>
            </w:r>
          </w:p>
          <w:p>
            <w:pPr>
              <w:pStyle w:val="TableParagraph"/>
              <w:spacing w:before="1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-0.0172**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(0.0067)</w:t>
            </w:r>
          </w:p>
          <w:p>
            <w:pPr>
              <w:pStyle w:val="TableParagraph"/>
              <w:spacing w:line="228" w:lineRule="exact"/>
              <w:ind w:left="234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-0.3442***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(0.0355)</w:t>
            </w:r>
          </w:p>
          <w:p>
            <w:pPr>
              <w:pStyle w:val="TableParagraph"/>
              <w:spacing w:line="228" w:lineRule="exact"/>
              <w:ind w:left="234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-0.0185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(0.0183)</w:t>
            </w:r>
          </w:p>
          <w:p>
            <w:pPr>
              <w:pStyle w:val="TableParagraph"/>
              <w:spacing w:line="228" w:lineRule="exact" w:before="3"/>
              <w:ind w:left="234" w:right="2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-0.2039***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(0.0475)</w:t>
            </w:r>
          </w:p>
          <w:p>
            <w:pPr>
              <w:pStyle w:val="TableParagraph"/>
              <w:spacing w:line="228" w:lineRule="exact"/>
              <w:ind w:left="234" w:right="22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0.0122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(0.0380)</w:t>
            </w:r>
          </w:p>
          <w:p>
            <w:pPr>
              <w:pStyle w:val="TableParagraph"/>
              <w:spacing w:before="1"/>
              <w:ind w:left="234" w:right="22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0.1129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(0.0707)</w:t>
            </w:r>
          </w:p>
          <w:p>
            <w:pPr>
              <w:pStyle w:val="TableParagraph"/>
              <w:spacing w:line="217" w:lineRule="exact" w:before="1"/>
              <w:ind w:left="234" w:right="22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-0.0118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(0.0078)</w:t>
            </w:r>
          </w:p>
        </w:tc>
        <w:tc>
          <w:tcPr>
            <w:tcW w:w="135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398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0.9323</w:t>
            </w:r>
          </w:p>
          <w:p>
            <w:pPr>
              <w:pStyle w:val="TableParagraph"/>
              <w:spacing w:before="1"/>
              <w:ind w:left="398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0.9829</w:t>
            </w:r>
          </w:p>
          <w:p>
            <w:pPr>
              <w:pStyle w:val="TableParagraph"/>
              <w:spacing w:line="228" w:lineRule="exact"/>
              <w:ind w:left="398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0.7087</w:t>
            </w:r>
          </w:p>
          <w:p>
            <w:pPr>
              <w:pStyle w:val="TableParagraph"/>
              <w:spacing w:line="228" w:lineRule="exact"/>
              <w:ind w:left="3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0.9817</w:t>
            </w:r>
          </w:p>
          <w:p>
            <w:pPr>
              <w:pStyle w:val="TableParagraph"/>
              <w:spacing w:line="228" w:lineRule="exact" w:before="3"/>
              <w:ind w:left="398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0.8156</w:t>
            </w:r>
          </w:p>
          <w:p>
            <w:pPr>
              <w:pStyle w:val="TableParagraph"/>
              <w:spacing w:line="228" w:lineRule="exact"/>
              <w:ind w:left="3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1.0122</w:t>
            </w:r>
          </w:p>
          <w:p>
            <w:pPr>
              <w:pStyle w:val="TableParagraph"/>
              <w:spacing w:before="1"/>
              <w:ind w:left="3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1.1195</w:t>
            </w:r>
          </w:p>
          <w:p>
            <w:pPr>
              <w:pStyle w:val="TableParagraph"/>
              <w:spacing w:line="217" w:lineRule="exact" w:before="1"/>
              <w:ind w:left="3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0.9883</w:t>
            </w:r>
          </w:p>
        </w:tc>
        <w:tc>
          <w:tcPr>
            <w:tcW w:w="1528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-8.36</w:t>
            </w:r>
          </w:p>
          <w:p>
            <w:pPr>
              <w:pStyle w:val="TableParagraph"/>
              <w:spacing w:before="1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-2.58</w:t>
            </w:r>
          </w:p>
          <w:p>
            <w:pPr>
              <w:pStyle w:val="TableParagraph"/>
              <w:spacing w:line="228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-9.69</w:t>
            </w:r>
          </w:p>
          <w:p>
            <w:pPr>
              <w:pStyle w:val="TableParagraph"/>
              <w:spacing w:line="228" w:lineRule="exact"/>
              <w:ind w:left="209" w:right="20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-1.01</w:t>
            </w:r>
          </w:p>
          <w:p>
            <w:pPr>
              <w:pStyle w:val="TableParagraph"/>
              <w:spacing w:line="228" w:lineRule="exact" w:before="3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-4.30</w:t>
            </w:r>
          </w:p>
          <w:p>
            <w:pPr>
              <w:pStyle w:val="TableParagraph"/>
              <w:spacing w:line="228" w:lineRule="exact"/>
              <w:ind w:left="209" w:right="20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0.32</w:t>
            </w:r>
          </w:p>
          <w:p>
            <w:pPr>
              <w:pStyle w:val="TableParagraph"/>
              <w:spacing w:before="1"/>
              <w:ind w:left="209" w:right="20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1.60</w:t>
            </w:r>
          </w:p>
          <w:p>
            <w:pPr>
              <w:pStyle w:val="TableParagraph"/>
              <w:spacing w:line="217" w:lineRule="exact" w:before="1"/>
              <w:ind w:left="209" w:right="20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-1.51</w:t>
            </w:r>
          </w:p>
        </w:tc>
      </w:tr>
      <w:tr>
        <w:trPr>
          <w:trHeight w:val="460" w:hRule="atLeast"/>
        </w:trPr>
        <w:tc>
          <w:tcPr>
            <w:tcW w:w="4049" w:type="dxa"/>
          </w:tcPr>
          <w:p>
            <w:pPr>
              <w:pStyle w:val="TableParagraph"/>
              <w:spacing w:line="226" w:lineRule="exact"/>
              <w:ind w:left="105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INCOME</w:t>
            </w:r>
            <w:r>
              <w:rPr>
                <w:rFonts w:asci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INEQUALITY</w:t>
            </w:r>
          </w:p>
          <w:p>
            <w:pPr>
              <w:pStyle w:val="TableParagraph"/>
              <w:spacing w:line="215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Gini-Coefficient</w:t>
            </w:r>
          </w:p>
        </w:tc>
        <w:tc>
          <w:tcPr>
            <w:tcW w:w="2160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12" w:lineRule="exact" w:before="1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0.0999***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(0.0277)</w:t>
            </w:r>
          </w:p>
        </w:tc>
        <w:tc>
          <w:tcPr>
            <w:tcW w:w="135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12" w:lineRule="exact" w:before="1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1.1051</w:t>
            </w:r>
          </w:p>
        </w:tc>
        <w:tc>
          <w:tcPr>
            <w:tcW w:w="1528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12" w:lineRule="exact" w:before="1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3.61</w:t>
            </w:r>
          </w:p>
        </w:tc>
      </w:tr>
      <w:tr>
        <w:trPr>
          <w:trHeight w:val="230" w:hRule="atLeast"/>
        </w:trPr>
        <w:tc>
          <w:tcPr>
            <w:tcW w:w="4049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Constant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(α)</w:t>
            </w:r>
          </w:p>
        </w:tc>
        <w:tc>
          <w:tcPr>
            <w:tcW w:w="2160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0.4980***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(0.1383)</w:t>
            </w:r>
          </w:p>
        </w:tc>
        <w:tc>
          <w:tcPr>
            <w:tcW w:w="1351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99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1.6454</w:t>
            </w:r>
          </w:p>
        </w:tc>
        <w:tc>
          <w:tcPr>
            <w:tcW w:w="1528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209" w:right="20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3.60</w:t>
            </w:r>
          </w:p>
        </w:tc>
      </w:tr>
      <w:tr>
        <w:trPr>
          <w:trHeight w:val="229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Pseudo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z w:val="20"/>
                <w:vertAlign w:val="superscript"/>
              </w:rPr>
              <w:t>2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0.1107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LR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chi</w:t>
            </w:r>
            <w:r>
              <w:rPr>
                <w:rFonts w:ascii="Times New Roman"/>
                <w:sz w:val="20"/>
                <w:vertAlign w:val="superscript"/>
              </w:rPr>
              <w:t>2</w:t>
            </w:r>
            <w:r>
              <w:rPr>
                <w:rFonts w:ascii="Times New Roman"/>
                <w:spacing w:val="-1"/>
                <w:sz w:val="20"/>
                <w:vertAlign w:val="baseline"/>
              </w:rPr>
              <w:t> </w:t>
            </w:r>
            <w:r>
              <w:rPr>
                <w:rFonts w:ascii="Times New Roman"/>
                <w:sz w:val="20"/>
                <w:vertAlign w:val="baseline"/>
              </w:rPr>
              <w:t>(34)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34" w:right="22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6469.49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0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Prob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˃chi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0.0000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049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Observations</w:t>
            </w:r>
          </w:p>
        </w:tc>
        <w:tc>
          <w:tcPr>
            <w:tcW w:w="2160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234" w:right="2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71,410</w:t>
            </w:r>
          </w:p>
        </w:tc>
        <w:tc>
          <w:tcPr>
            <w:tcW w:w="1351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before="0"/>
        <w:ind w:left="120" w:right="0" w:firstLine="0"/>
        <w:jc w:val="left"/>
        <w:rPr>
          <w:sz w:val="16"/>
        </w:rPr>
      </w:pPr>
      <w:r>
        <w:rPr>
          <w:sz w:val="16"/>
        </w:rPr>
        <w:t>NOTE:</w:t>
      </w:r>
      <w:r>
        <w:rPr>
          <w:spacing w:val="-4"/>
          <w:sz w:val="16"/>
        </w:rPr>
        <w:t> </w:t>
      </w:r>
      <w:r>
        <w:rPr>
          <w:sz w:val="16"/>
        </w:rPr>
        <w:t>1.</w:t>
      </w:r>
      <w:r>
        <w:rPr>
          <w:spacing w:val="-1"/>
          <w:sz w:val="16"/>
        </w:rPr>
        <w:t> </w:t>
      </w:r>
      <w:r>
        <w:rPr>
          <w:sz w:val="16"/>
        </w:rPr>
        <w:t>*Significant</w:t>
      </w:r>
      <w:r>
        <w:rPr>
          <w:spacing w:val="-3"/>
          <w:sz w:val="16"/>
        </w:rPr>
        <w:t> </w:t>
      </w:r>
      <w:r>
        <w:rPr>
          <w:sz w:val="16"/>
        </w:rPr>
        <w:t>at</w:t>
      </w:r>
      <w:r>
        <w:rPr>
          <w:spacing w:val="-3"/>
          <w:sz w:val="16"/>
        </w:rPr>
        <w:t> </w:t>
      </w:r>
      <w:r>
        <w:rPr>
          <w:sz w:val="16"/>
        </w:rPr>
        <w:t>10%,</w:t>
      </w:r>
      <w:r>
        <w:rPr>
          <w:spacing w:val="-1"/>
          <w:sz w:val="16"/>
        </w:rPr>
        <w:t> </w:t>
      </w:r>
      <w:r>
        <w:rPr>
          <w:sz w:val="16"/>
        </w:rPr>
        <w:t>**</w:t>
      </w:r>
      <w:r>
        <w:rPr>
          <w:spacing w:val="-3"/>
          <w:sz w:val="16"/>
        </w:rPr>
        <w:t> </w:t>
      </w:r>
      <w:r>
        <w:rPr>
          <w:sz w:val="16"/>
        </w:rPr>
        <w:t>significant</w:t>
      </w:r>
      <w:r>
        <w:rPr>
          <w:spacing w:val="-4"/>
          <w:sz w:val="16"/>
        </w:rPr>
        <w:t> </w:t>
      </w:r>
      <w:r>
        <w:rPr>
          <w:sz w:val="16"/>
        </w:rPr>
        <w:t>at</w:t>
      </w:r>
      <w:r>
        <w:rPr>
          <w:spacing w:val="-3"/>
          <w:sz w:val="16"/>
        </w:rPr>
        <w:t> </w:t>
      </w:r>
      <w:r>
        <w:rPr>
          <w:sz w:val="16"/>
        </w:rPr>
        <w:t>5%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***</w:t>
      </w:r>
      <w:r>
        <w:rPr>
          <w:spacing w:val="-3"/>
          <w:sz w:val="16"/>
        </w:rPr>
        <w:t> </w:t>
      </w:r>
      <w:r>
        <w:rPr>
          <w:sz w:val="16"/>
        </w:rPr>
        <w:t>significant</w:t>
      </w:r>
      <w:r>
        <w:rPr>
          <w:spacing w:val="-3"/>
          <w:sz w:val="16"/>
        </w:rPr>
        <w:t> </w:t>
      </w:r>
      <w:r>
        <w:rPr>
          <w:sz w:val="16"/>
        </w:rPr>
        <w:t>at</w:t>
      </w:r>
      <w:r>
        <w:rPr>
          <w:spacing w:val="-3"/>
          <w:sz w:val="16"/>
        </w:rPr>
        <w:t> </w:t>
      </w:r>
      <w:r>
        <w:rPr>
          <w:sz w:val="16"/>
        </w:rPr>
        <w:t>1%</w:t>
      </w:r>
    </w:p>
    <w:p>
      <w:pPr>
        <w:spacing w:line="183" w:lineRule="exact" w:before="0"/>
        <w:ind w:left="120" w:right="0" w:firstLine="0"/>
        <w:jc w:val="left"/>
        <w:rPr>
          <w:sz w:val="16"/>
        </w:rPr>
      </w:pPr>
      <w:r>
        <w:rPr>
          <w:sz w:val="16"/>
        </w:rPr>
        <w:t>2.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parentheses</w:t>
      </w:r>
      <w:r>
        <w:rPr>
          <w:spacing w:val="-2"/>
          <w:sz w:val="16"/>
        </w:rPr>
        <w:t> </w:t>
      </w:r>
      <w:r>
        <w:rPr>
          <w:sz w:val="16"/>
        </w:rPr>
        <w:t>denotes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robust</w:t>
      </w:r>
      <w:r>
        <w:rPr>
          <w:spacing w:val="-6"/>
          <w:sz w:val="16"/>
        </w:rPr>
        <w:t> </w:t>
      </w:r>
      <w:r>
        <w:rPr>
          <w:sz w:val="16"/>
        </w:rPr>
        <w:t>standard</w:t>
      </w:r>
      <w:r>
        <w:rPr>
          <w:spacing w:val="-2"/>
          <w:sz w:val="16"/>
        </w:rPr>
        <w:t> </w:t>
      </w:r>
      <w:r>
        <w:rPr>
          <w:sz w:val="16"/>
        </w:rPr>
        <w:t>errors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estimates</w:t>
      </w:r>
    </w:p>
    <w:p>
      <w:pPr>
        <w:spacing w:line="229" w:lineRule="exact" w:before="0"/>
        <w:ind w:left="120" w:right="0" w:firstLine="0"/>
        <w:jc w:val="left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4"/>
          <w:sz w:val="20"/>
        </w:rPr>
        <w:t> </w:t>
      </w:r>
      <w:r>
        <w:rPr>
          <w:sz w:val="20"/>
        </w:rPr>
        <w:t>Researcher’s</w:t>
      </w:r>
      <w:r>
        <w:rPr>
          <w:spacing w:val="-1"/>
          <w:sz w:val="20"/>
        </w:rPr>
        <w:t> </w:t>
      </w:r>
      <w:r>
        <w:rPr>
          <w:sz w:val="20"/>
        </w:rPr>
        <w:t>Computation</w:t>
      </w:r>
      <w:r>
        <w:rPr>
          <w:spacing w:val="-1"/>
          <w:sz w:val="20"/>
        </w:rPr>
        <w:t> </w:t>
      </w:r>
      <w:r>
        <w:rPr>
          <w:sz w:val="20"/>
        </w:rPr>
        <w:t>using</w:t>
      </w:r>
      <w:r>
        <w:rPr>
          <w:spacing w:val="-3"/>
          <w:sz w:val="20"/>
        </w:rPr>
        <w:t> </w:t>
      </w:r>
      <w:r>
        <w:rPr>
          <w:sz w:val="20"/>
        </w:rPr>
        <w:t>Stata</w:t>
      </w:r>
      <w:r>
        <w:rPr>
          <w:spacing w:val="-1"/>
          <w:sz w:val="20"/>
        </w:rPr>
        <w:t> </w:t>
      </w:r>
      <w:r>
        <w:rPr>
          <w:sz w:val="20"/>
        </w:rPr>
        <w:t>13</w:t>
      </w:r>
    </w:p>
    <w:p>
      <w:pPr>
        <w:spacing w:after="0" w:line="229" w:lineRule="exact"/>
        <w:jc w:val="left"/>
        <w:rPr>
          <w:sz w:val="20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7"/>
        <w:jc w:val="both"/>
      </w:pPr>
      <w:r>
        <w:rPr/>
        <w:t>With rising income disparity, the likelihood of being ill also rise significantly by 41% for those</w:t>
      </w:r>
      <w:r>
        <w:rPr>
          <w:spacing w:val="1"/>
        </w:rPr>
        <w:t> </w:t>
      </w:r>
      <w:r>
        <w:rPr/>
        <w:t>households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hunger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1%</w:t>
      </w:r>
      <w:r>
        <w:rPr>
          <w:spacing w:val="-6"/>
        </w:rPr>
        <w:t> </w:t>
      </w:r>
      <w:r>
        <w:rPr/>
        <w:t>level.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reason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result</w:t>
      </w:r>
      <w:r>
        <w:rPr>
          <w:spacing w:val="-7"/>
        </w:rPr>
        <w:t> </w:t>
      </w:r>
      <w:r>
        <w:rPr/>
        <w:t>may</w:t>
      </w:r>
      <w:r>
        <w:rPr>
          <w:spacing w:val="-10"/>
        </w:rPr>
        <w:t> </w:t>
      </w:r>
      <w:r>
        <w:rPr/>
        <w:t>be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widening</w:t>
      </w:r>
      <w:r>
        <w:rPr>
          <w:spacing w:val="-10"/>
        </w:rPr>
        <w:t> </w:t>
      </w:r>
      <w:r>
        <w:rPr/>
        <w:t>inequality</w:t>
      </w:r>
      <w:r>
        <w:rPr>
          <w:spacing w:val="-57"/>
        </w:rPr>
        <w:t> </w:t>
      </w:r>
      <w:r>
        <w:rPr/>
        <w:t>in income drags-down the ability of household’s incomes and creates hunger. Both hunger and</w:t>
      </w:r>
      <w:r>
        <w:rPr>
          <w:spacing w:val="1"/>
        </w:rPr>
        <w:t> </w:t>
      </w:r>
      <w:r>
        <w:rPr/>
        <w:t>mal-nutrition are the underlying causes of weakness, exhaustion, and many chronic health issues,</w:t>
      </w:r>
      <w:r>
        <w:rPr>
          <w:spacing w:val="-57"/>
        </w:rPr>
        <w:t> </w:t>
      </w:r>
      <w:r>
        <w:rPr/>
        <w:t>such</w:t>
      </w:r>
      <w:r>
        <w:rPr>
          <w:spacing w:val="-1"/>
        </w:rPr>
        <w:t> </w:t>
      </w:r>
      <w:r>
        <w:rPr/>
        <w:t>as, diabetes, ulcer,</w:t>
      </w:r>
      <w:r>
        <w:rPr>
          <w:spacing w:val="1"/>
        </w:rPr>
        <w:t> </w:t>
      </w:r>
      <w:r>
        <w:rPr/>
        <w:t>and cancers (Eckstein</w:t>
      </w:r>
      <w:r>
        <w:rPr>
          <w:spacing w:val="2"/>
        </w:rPr>
        <w:t>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2018:9).</w:t>
      </w:r>
    </w:p>
    <w:p>
      <w:pPr>
        <w:pStyle w:val="BodyText"/>
        <w:spacing w:line="360" w:lineRule="auto" w:before="115"/>
        <w:ind w:left="120" w:right="117"/>
        <w:jc w:val="both"/>
      </w:pPr>
      <w:r>
        <w:rPr/>
        <w:t>However, the effect of carbohydrate, such as, rice, flour (yam, maize or cassava) was found to</w:t>
      </w:r>
      <w:r>
        <w:rPr>
          <w:spacing w:val="1"/>
        </w:rPr>
        <w:t> </w:t>
      </w:r>
      <w:r>
        <w:rPr>
          <w:spacing w:val="-1"/>
        </w:rPr>
        <w:t>significantly</w:t>
      </w:r>
      <w:r>
        <w:rPr>
          <w:spacing w:val="-15"/>
        </w:rPr>
        <w:t> </w:t>
      </w:r>
      <w:r>
        <w:rPr/>
        <w:t>reduce</w:t>
      </w:r>
      <w:r>
        <w:rPr>
          <w:spacing w:val="-11"/>
        </w:rPr>
        <w:t> </w:t>
      </w:r>
      <w:r>
        <w:rPr/>
        <w:t>illness.</w:t>
      </w:r>
      <w:r>
        <w:rPr>
          <w:spacing w:val="-10"/>
        </w:rPr>
        <w:t> </w:t>
      </w:r>
      <w:r>
        <w:rPr/>
        <w:t>But,</w:t>
      </w:r>
      <w:r>
        <w:rPr>
          <w:spacing w:val="-10"/>
        </w:rPr>
        <w:t> </w:t>
      </w:r>
      <w:r>
        <w:rPr/>
        <w:t>consumption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garri</w:t>
      </w:r>
      <w:r>
        <w:rPr>
          <w:spacing w:val="-10"/>
        </w:rPr>
        <w:t> </w:t>
      </w:r>
      <w:r>
        <w:rPr/>
        <w:t>was</w:t>
      </w:r>
      <w:r>
        <w:rPr>
          <w:spacing w:val="-7"/>
        </w:rPr>
        <w:t> </w:t>
      </w:r>
      <w:r>
        <w:rPr/>
        <w:t>found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10%</w:t>
      </w:r>
      <w:r>
        <w:rPr>
          <w:spacing w:val="-11"/>
        </w:rPr>
        <w:t> </w:t>
      </w:r>
      <w:r>
        <w:rPr/>
        <w:t>level.</w:t>
      </w:r>
      <w:r>
        <w:rPr>
          <w:spacing w:val="-57"/>
        </w:rPr>
        <w:t> </w:t>
      </w:r>
      <w:r>
        <w:rPr/>
        <w:t>Basic proteins (beans and meat/fish) were inversely related with ill-health issues. These suggest</w:t>
      </w:r>
      <w:r>
        <w:rPr>
          <w:spacing w:val="1"/>
        </w:rPr>
        <w:t> </w:t>
      </w:r>
      <w:r>
        <w:rPr/>
        <w:t>that availability of these food in a household level is important for well-being. This is not</w:t>
      </w:r>
      <w:r>
        <w:rPr>
          <w:spacing w:val="1"/>
        </w:rPr>
        <w:t> </w:t>
      </w:r>
      <w:r>
        <w:rPr/>
        <w:t>farfetched</w:t>
      </w:r>
      <w:r>
        <w:rPr>
          <w:spacing w:val="-2"/>
        </w:rPr>
        <w:t> </w:t>
      </w:r>
      <w:r>
        <w:rPr/>
        <w:t>since</w:t>
      </w:r>
      <w:r>
        <w:rPr>
          <w:spacing w:val="-1"/>
        </w:rPr>
        <w:t> </w:t>
      </w:r>
      <w:r>
        <w:rPr/>
        <w:t>foods</w:t>
      </w:r>
      <w:r>
        <w:rPr>
          <w:spacing w:val="-1"/>
        </w:rPr>
        <w:t> </w:t>
      </w:r>
      <w:r>
        <w:rPr/>
        <w:t>rich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protein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vital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improved</w:t>
      </w:r>
      <w:r>
        <w:rPr>
          <w:spacing w:val="-2"/>
        </w:rPr>
        <w:t> </w:t>
      </w:r>
      <w:r>
        <w:rPr/>
        <w:t>health.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deficiencies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lead</w:t>
      </w:r>
      <w:r>
        <w:rPr>
          <w:spacing w:val="-58"/>
        </w:rPr>
        <w:t> </w:t>
      </w:r>
      <w:r>
        <w:rPr/>
        <w:t>to a variety of health problems, such as, digestion problems, skill disorders, stunted or defective</w:t>
      </w:r>
      <w:r>
        <w:rPr>
          <w:spacing w:val="1"/>
        </w:rPr>
        <w:t> </w:t>
      </w:r>
      <w:r>
        <w:rPr/>
        <w:t>bone</w:t>
      </w:r>
      <w:r>
        <w:rPr>
          <w:spacing w:val="-2"/>
        </w:rPr>
        <w:t> </w:t>
      </w:r>
      <w:r>
        <w:rPr/>
        <w:t>growth and dementia – loss of memory</w:t>
      </w:r>
      <w:r>
        <w:rPr>
          <w:spacing w:val="-5"/>
        </w:rPr>
        <w:t> </w:t>
      </w:r>
      <w:r>
        <w:rPr/>
        <w:t>(WHO, 2017c).</w:t>
      </w:r>
    </w:p>
    <w:p>
      <w:pPr>
        <w:pStyle w:val="BodyText"/>
        <w:spacing w:line="360" w:lineRule="auto" w:before="184"/>
        <w:ind w:left="120" w:right="114"/>
        <w:jc w:val="both"/>
      </w:pPr>
      <w:r>
        <w:rPr/>
        <w:t>The results in Table 5.13 further shown that, in the presence of widening income disparity among</w:t>
      </w:r>
      <w:r>
        <w:rPr>
          <w:spacing w:val="-58"/>
        </w:rPr>
        <w:t> </w:t>
      </w:r>
      <w:r>
        <w:rPr/>
        <w:t>households,</w:t>
      </w:r>
      <w:r>
        <w:rPr>
          <w:spacing w:val="-9"/>
        </w:rPr>
        <w:t> </w:t>
      </w:r>
      <w:r>
        <w:rPr/>
        <w:t>absence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basic</w:t>
      </w:r>
      <w:r>
        <w:rPr>
          <w:spacing w:val="-8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household’s</w:t>
      </w:r>
      <w:r>
        <w:rPr>
          <w:spacing w:val="-8"/>
        </w:rPr>
        <w:t> </w:t>
      </w:r>
      <w:r>
        <w:rPr/>
        <w:t>head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positive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ill-</w:t>
      </w:r>
      <w:r>
        <w:rPr>
          <w:spacing w:val="-58"/>
        </w:rPr>
        <w:t> </w:t>
      </w:r>
      <w:r>
        <w:rPr/>
        <w:t>health issues. The study further obtains the odd of illness increase by 0.942 and 0.017 times for</w:t>
      </w:r>
      <w:r>
        <w:rPr>
          <w:spacing w:val="1"/>
        </w:rPr>
        <w:t> </w:t>
      </w:r>
      <w:r>
        <w:rPr/>
        <w:t>those household’s head with no basic and primary education, respectively. While those with</w:t>
      </w:r>
      <w:r>
        <w:rPr>
          <w:spacing w:val="1"/>
        </w:rPr>
        <w:t> </w:t>
      </w:r>
      <w:r>
        <w:rPr/>
        <w:t>secondary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tertiary</w:t>
      </w:r>
      <w:r>
        <w:rPr>
          <w:spacing w:val="-13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negatively</w:t>
      </w:r>
      <w:r>
        <w:rPr>
          <w:spacing w:val="-13"/>
        </w:rPr>
        <w:t> </w:t>
      </w:r>
      <w:r>
        <w:rPr/>
        <w:t>related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illness.</w:t>
      </w:r>
      <w:r>
        <w:rPr>
          <w:spacing w:val="-7"/>
        </w:rPr>
        <w:t> </w:t>
      </w:r>
      <w:r>
        <w:rPr/>
        <w:t>These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indications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income</w:t>
      </w:r>
      <w:r>
        <w:rPr>
          <w:spacing w:val="-1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is rising, there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effects of</w:t>
      </w:r>
      <w:r>
        <w:rPr>
          <w:spacing w:val="1"/>
        </w:rPr>
        <w:t> </w:t>
      </w:r>
      <w:r>
        <w:rPr/>
        <w:t>illiteracy</w:t>
      </w:r>
      <w:r>
        <w:rPr>
          <w:spacing w:val="-5"/>
        </w:rPr>
        <w:t> </w:t>
      </w:r>
      <w:r>
        <w:rPr/>
        <w:t>on ill-health.</w:t>
      </w:r>
    </w:p>
    <w:p>
      <w:pPr>
        <w:pStyle w:val="BodyText"/>
        <w:spacing w:line="360" w:lineRule="auto" w:before="185"/>
        <w:ind w:left="120" w:right="115"/>
        <w:jc w:val="both"/>
      </w:pPr>
      <w:r>
        <w:rPr/>
        <w:t>River/spring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main sources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drinking</w:t>
      </w:r>
      <w:r>
        <w:rPr>
          <w:spacing w:val="-6"/>
        </w:rPr>
        <w:t> </w:t>
      </w:r>
      <w:r>
        <w:rPr/>
        <w:t>water, and</w:t>
      </w:r>
      <w:r>
        <w:rPr>
          <w:spacing w:val="-3"/>
        </w:rPr>
        <w:t> </w:t>
      </w:r>
      <w:r>
        <w:rPr/>
        <w:t>lack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toilet</w:t>
      </w:r>
      <w:r>
        <w:rPr>
          <w:spacing w:val="-4"/>
        </w:rPr>
        <w:t> </w:t>
      </w:r>
      <w:r>
        <w:rPr/>
        <w:t>facility,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pit/latrine</w:t>
      </w:r>
      <w:r>
        <w:rPr>
          <w:spacing w:val="-58"/>
        </w:rPr>
        <w:t> </w:t>
      </w:r>
      <w:r>
        <w:rPr/>
        <w:t>were all positive and significant to increase illness. Whereas, access to electricity, borehole, pipe-</w:t>
      </w:r>
      <w:r>
        <w:rPr>
          <w:spacing w:val="-58"/>
        </w:rPr>
        <w:t> </w:t>
      </w:r>
      <w:r>
        <w:rPr/>
        <w:t>borne water, water or modern toilet, and seeking appropriate healthcare services were negatively</w:t>
      </w:r>
      <w:r>
        <w:rPr>
          <w:spacing w:val="1"/>
        </w:rPr>
        <w:t> </w:t>
      </w:r>
      <w:r>
        <w:rPr/>
        <w:t>and significantly associated with health issues. For example, the likelihood of ill-health issues</w:t>
      </w:r>
      <w:r>
        <w:rPr>
          <w:spacing w:val="1"/>
        </w:rPr>
        <w:t> </w:t>
      </w:r>
      <w:r>
        <w:rPr/>
        <w:t>arising was 7.2%, 83%, 35%, and 70% for households with river or spring as the main sources of</w:t>
      </w:r>
      <w:r>
        <w:rPr>
          <w:spacing w:val="-57"/>
        </w:rPr>
        <w:t> </w:t>
      </w:r>
      <w:r>
        <w:rPr>
          <w:spacing w:val="-1"/>
        </w:rPr>
        <w:t>drinking</w:t>
      </w:r>
      <w:r>
        <w:rPr>
          <w:spacing w:val="-15"/>
        </w:rPr>
        <w:t> </w:t>
      </w:r>
      <w:r>
        <w:rPr>
          <w:spacing w:val="-1"/>
        </w:rPr>
        <w:t>water,</w:t>
      </w:r>
      <w:r>
        <w:rPr>
          <w:spacing w:val="-13"/>
        </w:rPr>
        <w:t> </w:t>
      </w:r>
      <w:r>
        <w:rPr/>
        <w:t>lack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toilet</w:t>
      </w:r>
      <w:r>
        <w:rPr>
          <w:spacing w:val="-12"/>
        </w:rPr>
        <w:t> </w:t>
      </w:r>
      <w:r>
        <w:rPr/>
        <w:t>facility,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use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pit/latrine,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self-medication,</w:t>
      </w:r>
      <w:r>
        <w:rPr>
          <w:spacing w:val="-12"/>
        </w:rPr>
        <w:t> </w:t>
      </w:r>
      <w:r>
        <w:rPr/>
        <w:t>respectively.</w:t>
      </w:r>
      <w:r>
        <w:rPr>
          <w:spacing w:val="-11"/>
        </w:rPr>
        <w:t> </w:t>
      </w:r>
      <w:r>
        <w:rPr/>
        <w:t>These</w:t>
      </w:r>
      <w:r>
        <w:rPr>
          <w:spacing w:val="-57"/>
        </w:rPr>
        <w:t> </w:t>
      </w:r>
      <w:r>
        <w:rPr/>
        <w:t>supports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neo-material</w:t>
      </w:r>
      <w:r>
        <w:rPr>
          <w:spacing w:val="-3"/>
        </w:rPr>
        <w:t> </w:t>
      </w:r>
      <w:r>
        <w:rPr/>
        <w:t>argument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some</w:t>
      </w:r>
      <w:r>
        <w:rPr>
          <w:spacing w:val="-4"/>
        </w:rPr>
        <w:t> </w:t>
      </w:r>
      <w:r>
        <w:rPr/>
        <w:t>studies</w:t>
      </w:r>
      <w:r>
        <w:rPr>
          <w:spacing w:val="-4"/>
        </w:rPr>
        <w:t> </w:t>
      </w:r>
      <w:r>
        <w:rPr/>
        <w:t>(Lundberg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</w:r>
      <w:r>
        <w:rPr>
          <w:i/>
          <w:spacing w:val="-3"/>
        </w:rPr>
        <w:t> </w:t>
      </w:r>
      <w:r>
        <w:rPr/>
        <w:t>2010;</w:t>
      </w:r>
      <w:r>
        <w:rPr>
          <w:spacing w:val="-3"/>
        </w:rPr>
        <w:t> </w:t>
      </w:r>
      <w:r>
        <w:rPr/>
        <w:t>Hill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</w:r>
      <w:r>
        <w:rPr>
          <w:i/>
          <w:spacing w:val="-3"/>
        </w:rPr>
        <w:t> </w:t>
      </w:r>
      <w:r>
        <w:rPr/>
        <w:t>2019),</w:t>
      </w:r>
      <w:r>
        <w:rPr>
          <w:spacing w:val="-3"/>
        </w:rPr>
        <w:t> </w:t>
      </w:r>
      <w:r>
        <w:rPr/>
        <w:t>that</w:t>
      </w:r>
      <w:r>
        <w:rPr>
          <w:spacing w:val="-58"/>
        </w:rPr>
        <w:t> </w:t>
      </w:r>
      <w:r>
        <w:rPr/>
        <w:t>every</w:t>
      </w:r>
      <w:r>
        <w:rPr>
          <w:spacing w:val="-6"/>
        </w:rPr>
        <w:t> </w:t>
      </w:r>
      <w:r>
        <w:rPr/>
        <w:t>household needs certain and indispensable</w:t>
      </w:r>
      <w:r>
        <w:rPr>
          <w:spacing w:val="1"/>
        </w:rPr>
        <w:t> </w:t>
      </w:r>
      <w:r>
        <w:rPr/>
        <w:t>goods for healthy</w:t>
      </w:r>
      <w:r>
        <w:rPr>
          <w:spacing w:val="-5"/>
        </w:rPr>
        <w:t> </w:t>
      </w:r>
      <w:r>
        <w:rPr/>
        <w:t>lives.</w:t>
      </w:r>
    </w:p>
    <w:p>
      <w:pPr>
        <w:pStyle w:val="BodyText"/>
        <w:spacing w:line="360" w:lineRule="auto" w:before="186"/>
        <w:ind w:left="120" w:right="116"/>
        <w:jc w:val="both"/>
      </w:pPr>
      <w:r>
        <w:rPr/>
        <w:t>It was also found that alcoholic consumption and accessing non-orthodox healthcare providers</w:t>
      </w:r>
      <w:r>
        <w:rPr>
          <w:spacing w:val="1"/>
        </w:rPr>
        <w:t> </w:t>
      </w:r>
      <w:r>
        <w:rPr/>
        <w:t>(traditionalist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chemist)</w:t>
      </w:r>
      <w:r>
        <w:rPr>
          <w:spacing w:val="-2"/>
        </w:rPr>
        <w:t> </w:t>
      </w:r>
      <w:r>
        <w:rPr/>
        <w:t>reduces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possibility</w:t>
      </w:r>
      <w:r>
        <w:rPr>
          <w:spacing w:val="-11"/>
        </w:rPr>
        <w:t> </w:t>
      </w:r>
      <w:r>
        <w:rPr/>
        <w:t>of</w:t>
      </w:r>
      <w:r>
        <w:rPr>
          <w:spacing w:val="-1"/>
        </w:rPr>
        <w:t> </w:t>
      </w:r>
      <w:r>
        <w:rPr/>
        <w:t>ill-health.</w:t>
      </w:r>
      <w:r>
        <w:rPr>
          <w:spacing w:val="-4"/>
        </w:rPr>
        <w:t> </w:t>
      </w:r>
      <w:r>
        <w:rPr/>
        <w:t>Nevertheless,</w:t>
      </w:r>
      <w:r>
        <w:rPr>
          <w:spacing w:val="-4"/>
        </w:rPr>
        <w:t> </w:t>
      </w:r>
      <w:r>
        <w:rPr/>
        <w:t>they</w:t>
      </w:r>
      <w:r>
        <w:rPr>
          <w:spacing w:val="-9"/>
        </w:rPr>
        <w:t> </w:t>
      </w:r>
      <w:r>
        <w:rPr/>
        <w:t>were</w:t>
      </w:r>
      <w:r>
        <w:rPr>
          <w:spacing w:val="-6"/>
        </w:rPr>
        <w:t> </w:t>
      </w:r>
      <w:r>
        <w:rPr/>
        <w:t>found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7"/>
        </w:rPr>
        <w:t> </w:t>
      </w:r>
      <w:r>
        <w:rPr>
          <w:spacing w:val="-1"/>
        </w:rPr>
        <w:t>insignificant.</w:t>
      </w:r>
      <w:r>
        <w:rPr>
          <w:spacing w:val="-12"/>
        </w:rPr>
        <w:t> </w:t>
      </w:r>
      <w:r>
        <w:rPr/>
        <w:t>One</w:t>
      </w:r>
      <w:r>
        <w:rPr>
          <w:spacing w:val="-14"/>
        </w:rPr>
        <w:t> </w:t>
      </w:r>
      <w:r>
        <w:rPr/>
        <w:t>explanation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partly</w:t>
      </w:r>
      <w:r>
        <w:rPr>
          <w:spacing w:val="-20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rising</w:t>
      </w:r>
      <w:r>
        <w:rPr>
          <w:spacing w:val="-13"/>
        </w:rPr>
        <w:t> </w:t>
      </w:r>
      <w:r>
        <w:rPr/>
        <w:t>income</w:t>
      </w:r>
      <w:r>
        <w:rPr>
          <w:spacing w:val="-13"/>
        </w:rPr>
        <w:t> </w:t>
      </w:r>
      <w:r>
        <w:rPr/>
        <w:t>disparity</w:t>
      </w:r>
      <w:r>
        <w:rPr>
          <w:spacing w:val="-17"/>
        </w:rPr>
        <w:t> </w:t>
      </w:r>
      <w:r>
        <w:rPr/>
        <w:t>that</w:t>
      </w:r>
      <w:r>
        <w:rPr>
          <w:spacing w:val="-11"/>
        </w:rPr>
        <w:t> </w:t>
      </w:r>
      <w:r>
        <w:rPr/>
        <w:t>cause</w:t>
      </w:r>
      <w:r>
        <w:rPr>
          <w:spacing w:val="-13"/>
        </w:rPr>
        <w:t> </w:t>
      </w:r>
      <w:r>
        <w:rPr/>
        <w:t>frustration,</w:t>
      </w:r>
      <w:r>
        <w:rPr>
          <w:spacing w:val="-57"/>
        </w:rPr>
        <w:t> </w:t>
      </w:r>
      <w:r>
        <w:rPr/>
        <w:t>depression,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chronic</w:t>
      </w:r>
      <w:r>
        <w:rPr>
          <w:spacing w:val="-4"/>
        </w:rPr>
        <w:t> </w:t>
      </w:r>
      <w:r>
        <w:rPr/>
        <w:t>stress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turn,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consumption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excess</w:t>
      </w:r>
      <w:r>
        <w:rPr>
          <w:spacing w:val="-3"/>
        </w:rPr>
        <w:t> </w:t>
      </w:r>
      <w:r>
        <w:rPr/>
        <w:t>alcohol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smoking.</w:t>
      </w:r>
      <w:r>
        <w:rPr>
          <w:spacing w:val="-4"/>
        </w:rPr>
        <w:t> </w:t>
      </w:r>
      <w:r>
        <w:rPr/>
        <w:t>These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6"/>
        <w:jc w:val="both"/>
      </w:pPr>
      <w:r>
        <w:rPr/>
        <w:t>are</w:t>
      </w:r>
      <w:r>
        <w:rPr>
          <w:spacing w:val="-8"/>
        </w:rPr>
        <w:t> </w:t>
      </w:r>
      <w:r>
        <w:rPr/>
        <w:t>main</w:t>
      </w:r>
      <w:r>
        <w:rPr>
          <w:spacing w:val="-6"/>
        </w:rPr>
        <w:t> </w:t>
      </w:r>
      <w:r>
        <w:rPr/>
        <w:t>determinant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heart</w:t>
      </w:r>
      <w:r>
        <w:rPr>
          <w:spacing w:val="-7"/>
        </w:rPr>
        <w:t> </w:t>
      </w:r>
      <w:r>
        <w:rPr/>
        <w:t>diseases,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lung</w:t>
      </w:r>
      <w:r>
        <w:rPr>
          <w:spacing w:val="-7"/>
        </w:rPr>
        <w:t> </w:t>
      </w:r>
      <w:r>
        <w:rPr/>
        <w:t>cancers</w:t>
      </w:r>
      <w:r>
        <w:rPr>
          <w:spacing w:val="-7"/>
        </w:rPr>
        <w:t> </w:t>
      </w:r>
      <w:r>
        <w:rPr/>
        <w:t>(WHO,</w:t>
      </w:r>
      <w:r>
        <w:rPr>
          <w:spacing w:val="-6"/>
        </w:rPr>
        <w:t> </w:t>
      </w:r>
      <w:r>
        <w:rPr/>
        <w:t>2017c).</w:t>
      </w:r>
      <w:r>
        <w:rPr>
          <w:spacing w:val="-6"/>
        </w:rPr>
        <w:t> </w:t>
      </w:r>
      <w:r>
        <w:rPr/>
        <w:t>Whereas</w:t>
      </w:r>
      <w:r>
        <w:rPr>
          <w:spacing w:val="-3"/>
        </w:rPr>
        <w:t> </w:t>
      </w:r>
      <w:r>
        <w:rPr/>
        <w:t>rising</w:t>
      </w:r>
      <w:r>
        <w:rPr>
          <w:spacing w:val="-9"/>
        </w:rPr>
        <w:t> </w:t>
      </w:r>
      <w:r>
        <w:rPr/>
        <w:t>supply</w:t>
      </w:r>
      <w:r>
        <w:rPr>
          <w:spacing w:val="-13"/>
        </w:rPr>
        <w:t> </w:t>
      </w:r>
      <w:r>
        <w:rPr/>
        <w:t>of</w:t>
      </w:r>
      <w:r>
        <w:rPr>
          <w:spacing w:val="-57"/>
        </w:rPr>
        <w:t> </w:t>
      </w:r>
      <w:r>
        <w:rPr/>
        <w:t>modern traditional medicines in recent years probably reduces illness. However, lack of adequate</w:t>
      </w:r>
      <w:r>
        <w:rPr>
          <w:spacing w:val="-57"/>
        </w:rPr>
        <w:t> </w:t>
      </w:r>
      <w:r>
        <w:rPr/>
        <w:t>regulation and standardization of traditional-care practices have great health consequences on</w:t>
      </w:r>
      <w:r>
        <w:rPr>
          <w:spacing w:val="1"/>
        </w:rPr>
        <w:t> </w:t>
      </w:r>
      <w:r>
        <w:rPr/>
        <w:t>households.</w:t>
      </w:r>
    </w:p>
    <w:p>
      <w:pPr>
        <w:pStyle w:val="BodyText"/>
        <w:spacing w:line="360" w:lineRule="auto" w:before="92"/>
        <w:ind w:left="120" w:right="114"/>
        <w:jc w:val="both"/>
      </w:pPr>
      <w:r>
        <w:rPr/>
        <w:t>The Table 5.13 further indicates that the various sources of income except pensions and dividend</w:t>
      </w:r>
      <w:r>
        <w:rPr>
          <w:spacing w:val="-57"/>
        </w:rPr>
        <w:t> </w:t>
      </w:r>
      <w:r>
        <w:rPr>
          <w:spacing w:val="-1"/>
        </w:rPr>
        <w:t>significantly</w:t>
      </w:r>
      <w:r>
        <w:rPr>
          <w:spacing w:val="-17"/>
        </w:rPr>
        <w:t> </w:t>
      </w:r>
      <w:r>
        <w:rPr>
          <w:spacing w:val="-1"/>
        </w:rPr>
        <w:t>reduce</w:t>
      </w:r>
      <w:r>
        <w:rPr>
          <w:spacing w:val="-13"/>
        </w:rPr>
        <w:t> </w:t>
      </w:r>
      <w:r>
        <w:rPr/>
        <w:t>ill-health</w:t>
      </w:r>
      <w:r>
        <w:rPr>
          <w:spacing w:val="-12"/>
        </w:rPr>
        <w:t> </w:t>
      </w:r>
      <w:r>
        <w:rPr/>
        <w:t>issues.</w:t>
      </w:r>
      <w:r>
        <w:rPr>
          <w:spacing w:val="-10"/>
        </w:rPr>
        <w:t> </w:t>
      </w:r>
      <w:r>
        <w:rPr>
          <w:sz w:val="22"/>
        </w:rPr>
        <w:t>This</w:t>
      </w:r>
      <w:r>
        <w:rPr>
          <w:spacing w:val="-9"/>
          <w:sz w:val="22"/>
        </w:rPr>
        <w:t> </w:t>
      </w:r>
      <w:r>
        <w:rPr/>
        <w:t>result</w:t>
      </w:r>
      <w:r>
        <w:rPr>
          <w:spacing w:val="-11"/>
        </w:rPr>
        <w:t> </w:t>
      </w:r>
      <w:r>
        <w:rPr>
          <w:sz w:val="22"/>
        </w:rPr>
        <w:t>suggests</w:t>
      </w:r>
      <w:r>
        <w:rPr>
          <w:spacing w:val="-6"/>
          <w:sz w:val="2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current</w:t>
      </w:r>
      <w:r>
        <w:rPr>
          <w:spacing w:val="-12"/>
        </w:rPr>
        <w:t> </w:t>
      </w:r>
      <w:r>
        <w:rPr/>
        <w:t>pension</w:t>
      </w:r>
      <w:r>
        <w:rPr>
          <w:spacing w:val="-11"/>
        </w:rPr>
        <w:t> </w:t>
      </w:r>
      <w:r>
        <w:rPr/>
        <w:t>reforms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is not providing a decent income to present ageing cohorts. Perhaps the fear and stress associated</w:t>
      </w:r>
      <w:r>
        <w:rPr>
          <w:spacing w:val="-57"/>
        </w:rPr>
        <w:t> </w:t>
      </w:r>
      <w:r>
        <w:rPr/>
        <w:t>with pension process might result to high blood pressure, heart failure and stroke. Also, part of</w:t>
      </w:r>
      <w:r>
        <w:rPr>
          <w:spacing w:val="1"/>
        </w:rPr>
        <w:t> </w:t>
      </w:r>
      <w:r>
        <w:rPr/>
        <w:t>income that is related to high income class is dominant in dividend. Result further show that for</w:t>
      </w:r>
      <w:r>
        <w:rPr>
          <w:spacing w:val="1"/>
        </w:rPr>
        <w:t> </w:t>
      </w:r>
      <w:r>
        <w:rPr/>
        <w:t>increase in wages and salaries, business, enterprises and trade of households’ heads related with</w:t>
      </w:r>
      <w:r>
        <w:rPr>
          <w:spacing w:val="1"/>
        </w:rPr>
        <w:t> </w:t>
      </w:r>
      <w:r>
        <w:rPr/>
        <w:t>illness</w:t>
      </w:r>
      <w:r>
        <w:rPr>
          <w:spacing w:val="-1"/>
        </w:rPr>
        <w:t> </w:t>
      </w:r>
      <w:r>
        <w:rPr/>
        <w:t>reduction.</w:t>
      </w:r>
    </w:p>
    <w:p>
      <w:pPr>
        <w:pStyle w:val="BodyText"/>
        <w:spacing w:line="360" w:lineRule="auto" w:before="160"/>
        <w:ind w:left="120" w:right="118"/>
        <w:jc w:val="both"/>
      </w:pPr>
      <w:r>
        <w:rPr/>
        <w:t>Another important finding is that the odd ratio of illness increases by 11% from rising income</w:t>
      </w:r>
      <w:r>
        <w:rPr>
          <w:spacing w:val="1"/>
        </w:rPr>
        <w:t> </w:t>
      </w:r>
      <w:r>
        <w:rPr/>
        <w:t>inequality at the 1% significance level. The result show that the effect of income inequality on</w:t>
      </w:r>
      <w:r>
        <w:rPr>
          <w:spacing w:val="1"/>
        </w:rPr>
        <w:t> </w:t>
      </w:r>
      <w:r>
        <w:rPr/>
        <w:t>health outcomes is positive and significant statistically. Widening income disparities are said to</w:t>
      </w:r>
      <w:r>
        <w:rPr>
          <w:spacing w:val="1"/>
        </w:rPr>
        <w:t> </w:t>
      </w:r>
      <w:r>
        <w:rPr/>
        <w:t>have a range of detrimental effects. As such, it can hinder improved health outcomes, through</w:t>
      </w:r>
      <w:r>
        <w:rPr>
          <w:spacing w:val="1"/>
        </w:rPr>
        <w:t> </w:t>
      </w:r>
      <w:r>
        <w:rPr/>
        <w:t>frustration,</w:t>
      </w:r>
      <w:r>
        <w:rPr>
          <w:spacing w:val="-10"/>
        </w:rPr>
        <w:t> </w:t>
      </w:r>
      <w:r>
        <w:rPr/>
        <w:t>depression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chronic</w:t>
      </w:r>
      <w:r>
        <w:rPr>
          <w:spacing w:val="-10"/>
        </w:rPr>
        <w:t> </w:t>
      </w:r>
      <w:r>
        <w:rPr/>
        <w:t>stress.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consistent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income</w:t>
      </w:r>
      <w:r>
        <w:rPr>
          <w:spacing w:val="-9"/>
        </w:rPr>
        <w:t> </w:t>
      </w:r>
      <w:r>
        <w:rPr/>
        <w:t>inequality-health</w:t>
      </w:r>
      <w:r>
        <w:rPr>
          <w:spacing w:val="-58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that rising</w:t>
      </w:r>
      <w:r>
        <w:rPr>
          <w:spacing w:val="-3"/>
        </w:rPr>
        <w:t> </w:t>
      </w:r>
      <w:r>
        <w:rPr/>
        <w:t>income inequality</w:t>
      </w:r>
      <w:r>
        <w:rPr>
          <w:spacing w:val="-5"/>
        </w:rPr>
        <w:t> </w:t>
      </w:r>
      <w:r>
        <w:rPr/>
        <w:t>is detrimental to chronic illness</w:t>
      </w:r>
    </w:p>
    <w:p>
      <w:pPr>
        <w:pStyle w:val="BodyText"/>
        <w:spacing w:line="360" w:lineRule="auto" w:before="186"/>
        <w:ind w:left="120" w:right="118"/>
        <w:jc w:val="both"/>
      </w:pPr>
      <w:r>
        <w:rPr/>
        <w:t>The overall probability-value of the model is highly significant with lowest value of 0.0000, and</w:t>
      </w:r>
      <w:r>
        <w:rPr>
          <w:spacing w:val="1"/>
        </w:rPr>
        <w:t> </w:t>
      </w:r>
      <w:r>
        <w:rPr/>
        <w:t>high LR chi-square of 6,470. In spite of this, these findings may be explained by the fact that the</w:t>
      </w:r>
      <w:r>
        <w:rPr>
          <w:spacing w:val="1"/>
        </w:rPr>
        <w:t> </w:t>
      </w:r>
      <w:r>
        <w:rPr/>
        <w:t>POLS model estimators assume that all poor and non-poor households are homogenous across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161"/>
        <w:ind w:left="120"/>
        <w:jc w:val="both"/>
      </w:pPr>
      <w:r>
        <w:rPr/>
        <w:t>The</w:t>
      </w:r>
      <w:r>
        <w:rPr>
          <w:spacing w:val="6"/>
        </w:rPr>
        <w:t> </w:t>
      </w:r>
      <w:r>
        <w:rPr/>
        <w:t>fixed</w:t>
      </w:r>
      <w:r>
        <w:rPr>
          <w:spacing w:val="8"/>
        </w:rPr>
        <w:t> </w:t>
      </w:r>
      <w:r>
        <w:rPr/>
        <w:t>effect</w:t>
      </w:r>
      <w:r>
        <w:rPr>
          <w:spacing w:val="8"/>
        </w:rPr>
        <w:t> </w:t>
      </w:r>
      <w:r>
        <w:rPr/>
        <w:t>model</w:t>
      </w:r>
      <w:r>
        <w:rPr>
          <w:spacing w:val="8"/>
        </w:rPr>
        <w:t> </w:t>
      </w:r>
      <w:r>
        <w:rPr/>
        <w:t>overcomes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limitation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estimation</w:t>
      </w:r>
      <w:r>
        <w:rPr>
          <w:spacing w:val="9"/>
        </w:rPr>
        <w:t> </w:t>
      </w:r>
      <w:r>
        <w:rPr/>
        <w:t>output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presented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Table</w:t>
      </w:r>
    </w:p>
    <w:p>
      <w:pPr>
        <w:pStyle w:val="BodyText"/>
        <w:spacing w:line="360" w:lineRule="auto" w:before="136"/>
        <w:ind w:left="120" w:right="112"/>
        <w:jc w:val="both"/>
      </w:pPr>
      <w:r>
        <w:rPr>
          <w:spacing w:val="-1"/>
        </w:rPr>
        <w:t>5.14.</w:t>
      </w:r>
      <w:r>
        <w:rPr>
          <w:spacing w:val="-15"/>
        </w:rPr>
        <w:t> </w:t>
      </w:r>
      <w:r>
        <w:rPr>
          <w:spacing w:val="-1"/>
        </w:rPr>
        <w:t>Similar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  <w:sz w:val="22"/>
        </w:rPr>
        <w:t>POLS</w:t>
      </w:r>
      <w:r>
        <w:rPr>
          <w:spacing w:val="-11"/>
          <w:sz w:val="22"/>
        </w:rPr>
        <w:t> </w:t>
      </w:r>
      <w:r>
        <w:rPr/>
        <w:t>regression</w:t>
      </w:r>
      <w:r>
        <w:rPr>
          <w:spacing w:val="-14"/>
        </w:rPr>
        <w:t> </w:t>
      </w:r>
      <w:r>
        <w:rPr/>
        <w:t>result,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>
          <w:sz w:val="23"/>
        </w:rPr>
        <w:t>results</w:t>
      </w:r>
      <w:r>
        <w:rPr>
          <w:spacing w:val="-14"/>
          <w:sz w:val="23"/>
        </w:rPr>
        <w:t> </w:t>
      </w:r>
      <w:r>
        <w:rPr>
          <w:sz w:val="23"/>
        </w:rPr>
        <w:t>conform</w:t>
      </w:r>
      <w:r>
        <w:rPr>
          <w:spacing w:val="-10"/>
          <w:sz w:val="23"/>
        </w:rPr>
        <w:t> </w:t>
      </w:r>
      <w:r>
        <w:rPr/>
        <w:t>to</w:t>
      </w:r>
      <w:r>
        <w:rPr>
          <w:spacing w:val="-14"/>
        </w:rPr>
        <w:t> </w:t>
      </w:r>
      <w:r>
        <w:rPr>
          <w:i/>
          <w:sz w:val="23"/>
        </w:rPr>
        <w:t>apriori</w:t>
      </w:r>
      <w:r>
        <w:rPr>
          <w:sz w:val="23"/>
        </w:rPr>
        <w:t>,</w:t>
      </w:r>
      <w:r>
        <w:rPr>
          <w:spacing w:val="-12"/>
          <w:sz w:val="23"/>
        </w:rPr>
        <w:t> </w:t>
      </w:r>
      <w:r>
        <w:rPr/>
        <w:t>except</w:t>
      </w:r>
      <w:r>
        <w:rPr>
          <w:spacing w:val="-14"/>
        </w:rPr>
        <w:t> </w:t>
      </w:r>
      <w:r>
        <w:rPr/>
        <w:t>primary</w:t>
      </w:r>
      <w:r>
        <w:rPr>
          <w:spacing w:val="-19"/>
        </w:rPr>
        <w:t> </w:t>
      </w:r>
      <w:r>
        <w:rPr/>
        <w:t>education,</w:t>
      </w:r>
      <w:r>
        <w:rPr>
          <w:spacing w:val="-58"/>
        </w:rPr>
        <w:t> </w:t>
      </w:r>
      <w:r>
        <w:rPr/>
        <w:t>river/spring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main</w:t>
      </w:r>
      <w:r>
        <w:rPr>
          <w:spacing w:val="-4"/>
        </w:rPr>
        <w:t> </w:t>
      </w:r>
      <w:r>
        <w:rPr/>
        <w:t>source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drinking</w:t>
      </w:r>
      <w:r>
        <w:rPr>
          <w:spacing w:val="-6"/>
        </w:rPr>
        <w:t> </w:t>
      </w:r>
      <w:r>
        <w:rPr/>
        <w:t>water,</w:t>
      </w:r>
      <w:r>
        <w:rPr>
          <w:spacing w:val="-1"/>
        </w:rPr>
        <w:t> </w:t>
      </w:r>
      <w:r>
        <w:rPr/>
        <w:t>pensions,</w:t>
      </w:r>
      <w:r>
        <w:rPr>
          <w:spacing w:val="-4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dividends.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</w:t>
      </w:r>
      <w:r>
        <w:rPr>
          <w:spacing w:val="-3"/>
        </w:rPr>
        <w:t> </w:t>
      </w:r>
      <w:r>
        <w:rPr/>
        <w:t>also</w:t>
      </w:r>
      <w:r>
        <w:rPr>
          <w:spacing w:val="-58"/>
        </w:rPr>
        <w:t> </w:t>
      </w:r>
      <w:r>
        <w:rPr/>
        <w:t>shows a positive and significant effect of higher family size on illness. In another words, in the</w:t>
      </w:r>
      <w:r>
        <w:rPr>
          <w:spacing w:val="1"/>
        </w:rPr>
        <w:t> </w:t>
      </w:r>
      <w:r>
        <w:rPr/>
        <w:t>presence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rising</w:t>
      </w:r>
      <w:r>
        <w:rPr>
          <w:spacing w:val="-12"/>
        </w:rPr>
        <w:t> </w:t>
      </w:r>
      <w:r>
        <w:rPr/>
        <w:t>income</w:t>
      </w:r>
      <w:r>
        <w:rPr>
          <w:spacing w:val="-11"/>
        </w:rPr>
        <w:t> </w:t>
      </w:r>
      <w:r>
        <w:rPr/>
        <w:t>disparity,</w:t>
      </w:r>
      <w:r>
        <w:rPr>
          <w:spacing w:val="-10"/>
        </w:rPr>
        <w:t> </w:t>
      </w:r>
      <w:r>
        <w:rPr/>
        <w:t>any</w:t>
      </w:r>
      <w:r>
        <w:rPr>
          <w:spacing w:val="-16"/>
        </w:rPr>
        <w:t> </w:t>
      </w:r>
      <w:r>
        <w:rPr/>
        <w:t>addition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family</w:t>
      </w:r>
      <w:r>
        <w:rPr>
          <w:spacing w:val="-17"/>
        </w:rPr>
        <w:t> </w:t>
      </w:r>
      <w:r>
        <w:rPr/>
        <w:t>size</w:t>
      </w:r>
      <w:r>
        <w:rPr>
          <w:spacing w:val="-13"/>
        </w:rPr>
        <w:t> </w:t>
      </w:r>
      <w:r>
        <w:rPr/>
        <w:t>would</w:t>
      </w:r>
      <w:r>
        <w:rPr>
          <w:spacing w:val="-11"/>
        </w:rPr>
        <w:t> </w:t>
      </w:r>
      <w:r>
        <w:rPr/>
        <w:t>worsen</w:t>
      </w:r>
      <w:r>
        <w:rPr>
          <w:spacing w:val="-12"/>
        </w:rPr>
        <w:t> </w:t>
      </w:r>
      <w:r>
        <w:rPr/>
        <w:t>illness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0.39%.</w:t>
      </w:r>
      <w:r>
        <w:rPr>
          <w:spacing w:val="-57"/>
        </w:rPr>
        <w:t> </w:t>
      </w:r>
      <w:r>
        <w:rPr/>
        <w:t>This</w:t>
      </w:r>
      <w:r>
        <w:rPr>
          <w:spacing w:val="-13"/>
        </w:rPr>
        <w:t> </w:t>
      </w:r>
      <w:r>
        <w:rPr/>
        <w:t>finding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alike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what</w:t>
      </w:r>
      <w:r>
        <w:rPr>
          <w:spacing w:val="-13"/>
        </w:rPr>
        <w:t> </w:t>
      </w:r>
      <w:r>
        <w:rPr/>
        <w:t>was</w:t>
      </w:r>
      <w:r>
        <w:rPr>
          <w:spacing w:val="-11"/>
        </w:rPr>
        <w:t> </w:t>
      </w:r>
      <w:r>
        <w:rPr/>
        <w:t>obtained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POL</w:t>
      </w:r>
      <w:r>
        <w:rPr>
          <w:spacing w:val="-13"/>
        </w:rPr>
        <w:t> </w:t>
      </w:r>
      <w:r>
        <w:rPr/>
        <w:t>regression</w:t>
      </w:r>
      <w:r>
        <w:rPr>
          <w:spacing w:val="-13"/>
        </w:rPr>
        <w:t> </w:t>
      </w:r>
      <w:r>
        <w:rPr/>
        <w:t>model.</w:t>
      </w:r>
      <w:r>
        <w:rPr>
          <w:spacing w:val="-11"/>
        </w:rPr>
        <w:t> </w:t>
      </w:r>
      <w:r>
        <w:rPr/>
        <w:t>It</w:t>
      </w:r>
      <w:r>
        <w:rPr>
          <w:spacing w:val="-12"/>
        </w:rPr>
        <w:t> </w:t>
      </w:r>
      <w:r>
        <w:rPr/>
        <w:t>suggests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presence</w:t>
      </w:r>
      <w:r>
        <w:rPr>
          <w:spacing w:val="-57"/>
        </w:rPr>
        <w:t> </w:t>
      </w:r>
      <w:r>
        <w:rPr/>
        <w:t>of widening income disparity, any new addition to family size have high likelihood to worsen ill-</w:t>
      </w:r>
      <w:r>
        <w:rPr>
          <w:spacing w:val="-57"/>
        </w:rPr>
        <w:t> </w:t>
      </w:r>
      <w:r>
        <w:rPr/>
        <w:t>health.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Heading4"/>
        <w:spacing w:before="77" w:after="3"/>
        <w:ind w:left="107" w:right="108"/>
        <w:jc w:val="center"/>
      </w:pPr>
      <w:r>
        <w:rPr/>
        <w:t>Table</w:t>
      </w:r>
      <w:r>
        <w:rPr>
          <w:spacing w:val="-1"/>
        </w:rPr>
        <w:t> </w:t>
      </w:r>
      <w:r>
        <w:rPr/>
        <w:t>5.14</w:t>
      </w:r>
      <w:r>
        <w:rPr>
          <w:spacing w:val="-1"/>
        </w:rPr>
        <w:t> </w:t>
      </w:r>
      <w:r>
        <w:rPr/>
        <w:t>FIXED EFFECT</w:t>
      </w:r>
      <w:r>
        <w:rPr>
          <w:spacing w:val="-1"/>
        </w:rPr>
        <w:t> </w:t>
      </w:r>
      <w:r>
        <w:rPr/>
        <w:t>ESTIMATION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1"/>
        <w:gridCol w:w="2161"/>
        <w:gridCol w:w="1352"/>
        <w:gridCol w:w="1529"/>
      </w:tblGrid>
      <w:tr>
        <w:trPr>
          <w:trHeight w:val="230" w:hRule="atLeast"/>
        </w:trPr>
        <w:tc>
          <w:tcPr>
            <w:tcW w:w="9183" w:type="dxa"/>
            <w:gridSpan w:val="4"/>
          </w:tcPr>
          <w:p>
            <w:pPr>
              <w:pStyle w:val="TableParagraph"/>
              <w:spacing w:line="210" w:lineRule="exact"/>
              <w:ind w:left="2506" w:right="2505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Dependent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Variable: Ill-Health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in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past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four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weeks</w:t>
            </w:r>
          </w:p>
        </w:tc>
      </w:tr>
      <w:tr>
        <w:trPr>
          <w:trHeight w:val="230" w:hRule="atLeast"/>
        </w:trPr>
        <w:tc>
          <w:tcPr>
            <w:tcW w:w="4141" w:type="dxa"/>
          </w:tcPr>
          <w:p>
            <w:pPr>
              <w:pStyle w:val="TableParagraph"/>
              <w:spacing w:line="210" w:lineRule="exact"/>
              <w:ind w:left="1402" w:right="139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VARIABLES</w:t>
            </w:r>
          </w:p>
        </w:tc>
        <w:tc>
          <w:tcPr>
            <w:tcW w:w="2161" w:type="dxa"/>
          </w:tcPr>
          <w:p>
            <w:pPr>
              <w:pStyle w:val="TableParagraph"/>
              <w:spacing w:line="210" w:lineRule="exact"/>
              <w:ind w:left="148" w:right="144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Coefficient</w:t>
            </w:r>
          </w:p>
        </w:tc>
        <w:tc>
          <w:tcPr>
            <w:tcW w:w="1352" w:type="dxa"/>
          </w:tcPr>
          <w:p>
            <w:pPr>
              <w:pStyle w:val="TableParagraph"/>
              <w:spacing w:line="210" w:lineRule="exact"/>
              <w:ind w:left="118" w:right="115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Odd Ratios</w:t>
            </w:r>
          </w:p>
        </w:tc>
        <w:tc>
          <w:tcPr>
            <w:tcW w:w="1529" w:type="dxa"/>
          </w:tcPr>
          <w:p>
            <w:pPr>
              <w:pStyle w:val="TableParagraph"/>
              <w:spacing w:line="210" w:lineRule="exact"/>
              <w:ind w:left="152" w:right="152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Wald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Test</w:t>
            </w:r>
            <w:r>
              <w:rPr>
                <w:rFonts w:ascii="Times New Roman"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(z)</w:t>
            </w:r>
          </w:p>
        </w:tc>
      </w:tr>
      <w:tr>
        <w:trPr>
          <w:trHeight w:val="205" w:hRule="atLeast"/>
        </w:trPr>
        <w:tc>
          <w:tcPr>
            <w:tcW w:w="4141" w:type="dxa"/>
            <w:tcBorders>
              <w:bottom w:val="nil"/>
            </w:tcBorders>
          </w:tcPr>
          <w:p>
            <w:pPr>
              <w:pStyle w:val="TableParagraph"/>
              <w:spacing w:line="185" w:lineRule="exact"/>
              <w:ind w:left="107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HOUSEHOLD</w:t>
            </w:r>
            <w:r>
              <w:rPr>
                <w:rFonts w:ascii="Times New Roman"/>
                <w:b/>
                <w:i/>
                <w:spacing w:val="-1"/>
                <w:sz w:val="18"/>
              </w:rPr>
              <w:t> </w:t>
            </w:r>
            <w:r>
              <w:rPr>
                <w:rFonts w:ascii="Times New Roman"/>
                <w:b/>
                <w:i/>
                <w:sz w:val="18"/>
              </w:rPr>
              <w:t>CHARACTERISTICS</w:t>
            </w:r>
          </w:p>
        </w:tc>
        <w:tc>
          <w:tcPr>
            <w:tcW w:w="2161" w:type="dxa"/>
            <w:vMerge w:val="restart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0.0039**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(0.0012)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0.0459***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(0.0037)</w:t>
            </w:r>
          </w:p>
          <w:p>
            <w:pPr>
              <w:pStyle w:val="TableParagraph"/>
              <w:spacing w:line="229" w:lineRule="exact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-0.0078*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(0.0041)</w:t>
            </w:r>
          </w:p>
          <w:p>
            <w:pPr>
              <w:pStyle w:val="TableParagraph"/>
              <w:spacing w:before="1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-0.0469***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(0.0036)</w:t>
            </w:r>
          </w:p>
          <w:p>
            <w:pPr>
              <w:pStyle w:val="TableParagraph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-0.1829***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(0.0033)</w:t>
            </w:r>
          </w:p>
          <w:p>
            <w:pPr>
              <w:pStyle w:val="TableParagraph"/>
              <w:spacing w:line="228" w:lineRule="exact" w:before="1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-0.0149***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(0.0039)</w:t>
            </w:r>
          </w:p>
          <w:p>
            <w:pPr>
              <w:pStyle w:val="TableParagraph"/>
              <w:spacing w:line="228" w:lineRule="exact"/>
              <w:ind w:left="150" w:right="1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-0.0001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(0.0012)</w:t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0.1445***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(0.0034)</w:t>
            </w:r>
          </w:p>
          <w:p>
            <w:pPr>
              <w:pStyle w:val="TableParagraph"/>
              <w:spacing w:line="228" w:lineRule="exact"/>
              <w:ind w:left="148" w:right="1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0.0002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(0.0011)</w:t>
            </w:r>
          </w:p>
          <w:p>
            <w:pPr>
              <w:pStyle w:val="TableParagraph"/>
              <w:spacing w:before="6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-0.0259***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(0.0033)</w:t>
            </w:r>
          </w:p>
          <w:p>
            <w:pPr>
              <w:pStyle w:val="TableParagraph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-0.0914***</w:t>
            </w:r>
            <w:r>
              <w:rPr>
                <w:rFonts w:ascii="Times New Roman"/>
                <w:b/>
                <w:spacing w:val="-6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(0.0054)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-0.0606***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(0.0047)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-0.0085***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(0.0023)</w:t>
            </w:r>
          </w:p>
          <w:p>
            <w:pPr>
              <w:pStyle w:val="TableParagraph"/>
              <w:spacing w:line="228" w:lineRule="exact"/>
              <w:ind w:left="148" w:right="1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0.0038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(0.0020)</w:t>
            </w: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28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0.0287***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(0.0051)</w:t>
            </w:r>
          </w:p>
          <w:p>
            <w:pPr>
              <w:pStyle w:val="TableParagraph"/>
              <w:spacing w:line="229" w:lineRule="exact"/>
              <w:ind w:left="25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-0.0295***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(0.0011)</w:t>
            </w:r>
          </w:p>
          <w:p>
            <w:pPr>
              <w:pStyle w:val="TableParagraph"/>
              <w:spacing w:before="1"/>
              <w:ind w:left="25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-0.0041***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(0.0010)</w:t>
            </w:r>
          </w:p>
          <w:p>
            <w:pPr>
              <w:pStyle w:val="TableParagraph"/>
              <w:ind w:left="28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0.1406***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(0.0036)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0.0277***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(0.0034)</w:t>
            </w:r>
          </w:p>
          <w:p>
            <w:pPr>
              <w:pStyle w:val="TableParagraph"/>
              <w:spacing w:line="227" w:lineRule="exact" w:before="1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-0.0282***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(0.0033)</w:t>
            </w:r>
          </w:p>
          <w:p>
            <w:pPr>
              <w:pStyle w:val="TableParagraph"/>
              <w:spacing w:line="227" w:lineRule="exact"/>
              <w:ind w:left="150" w:right="1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-0.0005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(0.0004)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50" w:right="1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-0.0003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(0.0001)</w:t>
            </w:r>
          </w:p>
          <w:p>
            <w:pPr>
              <w:pStyle w:val="TableParagraph"/>
              <w:spacing w:before="5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0.0364***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(0.0047)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-0.0187***</w:t>
            </w:r>
            <w:r>
              <w:rPr>
                <w:rFonts w:ascii="Times New Roman"/>
                <w:b/>
                <w:spacing w:val="-6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(0.0025)</w:t>
            </w:r>
          </w:p>
          <w:p>
            <w:pPr>
              <w:pStyle w:val="TableParagraph"/>
              <w:spacing w:line="214" w:lineRule="exact"/>
              <w:ind w:left="150" w:right="1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-0.0004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(0.0013)</w:t>
            </w:r>
          </w:p>
        </w:tc>
        <w:tc>
          <w:tcPr>
            <w:tcW w:w="1352" w:type="dxa"/>
            <w:vMerge w:val="restart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1.0039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1.0469</w:t>
            </w:r>
          </w:p>
          <w:p>
            <w:pPr>
              <w:pStyle w:val="TableParagraph"/>
              <w:spacing w:line="229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0.9922</w:t>
            </w:r>
          </w:p>
          <w:p>
            <w:pPr>
              <w:pStyle w:val="TableParagraph"/>
              <w:spacing w:before="1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0.9542</w:t>
            </w:r>
          </w:p>
          <w:p>
            <w:pPr>
              <w:pStyle w:val="TableParagraph"/>
              <w:spacing w:line="228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0.8329</w:t>
            </w:r>
          </w:p>
          <w:p>
            <w:pPr>
              <w:pStyle w:val="TableParagraph"/>
              <w:spacing w:line="228" w:lineRule="exact"/>
              <w:ind w:left="3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0.9852</w:t>
            </w:r>
          </w:p>
          <w:p>
            <w:pPr>
              <w:pStyle w:val="TableParagraph"/>
              <w:spacing w:before="1"/>
              <w:ind w:left="3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0.9999</w:t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1.1555</w:t>
            </w:r>
          </w:p>
          <w:p>
            <w:pPr>
              <w:pStyle w:val="TableParagraph"/>
              <w:spacing w:line="228" w:lineRule="exact"/>
              <w:ind w:left="3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1.0002</w:t>
            </w:r>
          </w:p>
          <w:p>
            <w:pPr>
              <w:pStyle w:val="TableParagraph"/>
              <w:spacing w:before="6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0.9744</w:t>
            </w:r>
          </w:p>
          <w:p>
            <w:pPr>
              <w:pStyle w:val="TableParagraph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0.9127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0.9412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0.9915</w:t>
            </w:r>
          </w:p>
          <w:p>
            <w:pPr>
              <w:pStyle w:val="TableParagraph"/>
              <w:spacing w:line="228" w:lineRule="exact"/>
              <w:ind w:left="3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1.0038</w:t>
            </w: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1.0291</w:t>
            </w:r>
          </w:p>
          <w:p>
            <w:pPr>
              <w:pStyle w:val="TableParagraph"/>
              <w:spacing w:line="229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0.9709</w:t>
            </w:r>
          </w:p>
          <w:p>
            <w:pPr>
              <w:pStyle w:val="TableParagraph"/>
              <w:spacing w:before="1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0.9959</w:t>
            </w:r>
          </w:p>
          <w:p>
            <w:pPr>
              <w:pStyle w:val="TableParagraph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1.1510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1.0281</w:t>
            </w:r>
          </w:p>
          <w:p>
            <w:pPr>
              <w:pStyle w:val="TableParagraph"/>
              <w:spacing w:line="227" w:lineRule="exact" w:before="1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0.9722</w:t>
            </w:r>
          </w:p>
          <w:p>
            <w:pPr>
              <w:pStyle w:val="TableParagraph"/>
              <w:spacing w:line="227" w:lineRule="exact"/>
              <w:ind w:left="3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0.9995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0.9997</w:t>
            </w:r>
          </w:p>
          <w:p>
            <w:pPr>
              <w:pStyle w:val="TableParagraph"/>
              <w:spacing w:before="5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1.0371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0.9815</w:t>
            </w:r>
          </w:p>
          <w:p>
            <w:pPr>
              <w:pStyle w:val="TableParagraph"/>
              <w:spacing w:line="214" w:lineRule="exact"/>
              <w:ind w:left="3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0.9996</w:t>
            </w:r>
          </w:p>
        </w:tc>
        <w:tc>
          <w:tcPr>
            <w:tcW w:w="1529" w:type="dxa"/>
            <w:vMerge w:val="restart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3.14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12.50</w:t>
            </w:r>
          </w:p>
          <w:p>
            <w:pPr>
              <w:pStyle w:val="TableParagraph"/>
              <w:spacing w:line="229" w:lineRule="exact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-1.89</w:t>
            </w:r>
          </w:p>
          <w:p>
            <w:pPr>
              <w:pStyle w:val="TableParagraph"/>
              <w:spacing w:before="1"/>
              <w:ind w:left="482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-13.21</w:t>
            </w:r>
          </w:p>
          <w:p>
            <w:pPr>
              <w:pStyle w:val="TableParagraph"/>
              <w:ind w:left="482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-55.51</w:t>
            </w:r>
          </w:p>
          <w:p>
            <w:pPr>
              <w:pStyle w:val="TableParagraph"/>
              <w:spacing w:line="228" w:lineRule="exact" w:before="1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-3.81</w:t>
            </w:r>
          </w:p>
          <w:p>
            <w:pPr>
              <w:pStyle w:val="TableParagraph"/>
              <w:spacing w:line="228" w:lineRule="exact"/>
              <w:ind w:left="480" w:right="4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-1.45</w:t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43.14</w:t>
            </w:r>
          </w:p>
          <w:p>
            <w:pPr>
              <w:pStyle w:val="TableParagraph"/>
              <w:spacing w:line="228" w:lineRule="exact"/>
              <w:ind w:left="480" w:right="4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0.16</w:t>
            </w:r>
          </w:p>
          <w:p>
            <w:pPr>
              <w:pStyle w:val="TableParagraph"/>
              <w:spacing w:before="6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-7.81</w:t>
            </w:r>
          </w:p>
          <w:p>
            <w:pPr>
              <w:pStyle w:val="TableParagraph"/>
              <w:ind w:left="482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-16.82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82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-12.94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-3.76</w:t>
            </w:r>
          </w:p>
          <w:p>
            <w:pPr>
              <w:pStyle w:val="TableParagraph"/>
              <w:spacing w:line="228" w:lineRule="exact"/>
              <w:ind w:left="480" w:right="4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1.91</w:t>
            </w: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5.64</w:t>
            </w:r>
          </w:p>
          <w:p>
            <w:pPr>
              <w:pStyle w:val="TableParagraph"/>
              <w:spacing w:line="229" w:lineRule="exact"/>
              <w:ind w:left="482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-27.70</w:t>
            </w:r>
          </w:p>
          <w:p>
            <w:pPr>
              <w:pStyle w:val="TableParagraph"/>
              <w:spacing w:before="1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-3.99</w:t>
            </w:r>
          </w:p>
          <w:p>
            <w:pPr>
              <w:pStyle w:val="TableParagraph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38.85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8.16</w:t>
            </w:r>
          </w:p>
          <w:p>
            <w:pPr>
              <w:pStyle w:val="TableParagraph"/>
              <w:spacing w:line="227" w:lineRule="exact" w:before="1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-8.65</w:t>
            </w:r>
          </w:p>
          <w:p>
            <w:pPr>
              <w:pStyle w:val="TableParagraph"/>
              <w:spacing w:line="227" w:lineRule="exact"/>
              <w:ind w:left="480" w:right="4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-1.23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80" w:right="4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-0.21</w:t>
            </w:r>
          </w:p>
          <w:p>
            <w:pPr>
              <w:pStyle w:val="TableParagraph"/>
              <w:spacing w:before="5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7.74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-7.38</w:t>
            </w:r>
          </w:p>
          <w:p>
            <w:pPr>
              <w:pStyle w:val="TableParagraph"/>
              <w:spacing w:line="214" w:lineRule="exact"/>
              <w:ind w:left="480" w:right="4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-0.34</w:t>
            </w: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Family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Size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Food,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Diet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and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Calories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Hunger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Food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Gari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Rice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Yam,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Cassava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Maize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Flour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Beans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Meat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Fish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Highest</w:t>
            </w:r>
            <w:r>
              <w:rPr>
                <w:rFonts w:ascii="Times New Roman"/>
                <w:b/>
                <w:i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Education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Primary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Education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Secondary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Education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Tertiary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Material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Mosquito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Possession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Access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to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Electricity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Drinkable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Water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Access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Pipe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Borne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Water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Borehole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Well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Water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River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Spring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Toilet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and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Sanitation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Water 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Modern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Toilet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Pit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Latrine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Unhealthy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Lifestyle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Alcoholic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Consumption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Self-Medication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illness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Health-Seeking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Behaviour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Seeking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Healthcare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4141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Others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8" w:hRule="atLeast"/>
        </w:trPr>
        <w:tc>
          <w:tcPr>
            <w:tcW w:w="4141" w:type="dxa"/>
          </w:tcPr>
          <w:p>
            <w:pPr>
              <w:pStyle w:val="TableParagraph"/>
              <w:spacing w:line="215" w:lineRule="exact"/>
              <w:ind w:left="107"/>
              <w:jc w:val="left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HOUSEHOLDS’</w:t>
            </w:r>
            <w:r>
              <w:rPr>
                <w:rFonts w:ascii="Times New Roman" w:hAnsi="Times New Roman"/>
                <w:b/>
                <w:spacing w:val="-7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TOTAL</w:t>
            </w:r>
            <w:r>
              <w:rPr>
                <w:rFonts w:ascii="Times New Roman" w:hAnsi="Times New Roman"/>
                <w:b/>
                <w:spacing w:val="-6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INCOME</w:t>
            </w:r>
          </w:p>
          <w:p>
            <w:pPr>
              <w:pStyle w:val="TableParagraph"/>
              <w:ind w:left="107" w:right="1666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Wages and Salaries Incomes</w:t>
            </w:r>
            <w:r>
              <w:rPr>
                <w:rFonts w:ascii="Times New Roman"/>
                <w:spacing w:val="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Business</w:t>
            </w:r>
            <w:r>
              <w:rPr>
                <w:rFonts w:ascii="Times New Roman"/>
                <w:spacing w:val="-6"/>
                <w:sz w:val="19"/>
              </w:rPr>
              <w:t> </w:t>
            </w:r>
            <w:r>
              <w:rPr>
                <w:rFonts w:ascii="Times New Roman"/>
                <w:sz w:val="19"/>
              </w:rPr>
              <w:t>Enterprises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or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Trades</w:t>
            </w:r>
            <w:r>
              <w:rPr>
                <w:rFonts w:ascii="Times New Roman"/>
                <w:spacing w:val="-4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Farming or Livestock Incomes</w:t>
            </w:r>
            <w:r>
              <w:rPr>
                <w:rFonts w:ascii="Times New Roman"/>
                <w:spacing w:val="-4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Remittances</w:t>
            </w:r>
          </w:p>
          <w:p>
            <w:pPr>
              <w:pStyle w:val="TableParagraph"/>
              <w:spacing w:before="1"/>
              <w:ind w:left="107" w:right="1717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1"/>
                <w:sz w:val="19"/>
              </w:rPr>
              <w:t>Monetary </w:t>
            </w:r>
            <w:r>
              <w:rPr>
                <w:rFonts w:ascii="Times New Roman"/>
                <w:sz w:val="19"/>
              </w:rPr>
              <w:t>Transfer/Assistance</w:t>
            </w:r>
            <w:r>
              <w:rPr>
                <w:rFonts w:ascii="Times New Roman"/>
                <w:spacing w:val="-4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Pensions</w:t>
            </w:r>
            <w:r>
              <w:rPr>
                <w:rFonts w:ascii="Times New Roman"/>
                <w:spacing w:val="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and</w:t>
            </w:r>
            <w:r>
              <w:rPr>
                <w:rFonts w:ascii="Times New Roman"/>
                <w:spacing w:val="47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Grants</w:t>
            </w:r>
            <w:r>
              <w:rPr>
                <w:rFonts w:ascii="Times New Roman"/>
                <w:spacing w:val="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Dividend</w:t>
            </w:r>
            <w:r>
              <w:rPr>
                <w:rFonts w:ascii="Times New Roman"/>
                <w:spacing w:val="-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from</w:t>
            </w:r>
            <w:r>
              <w:rPr>
                <w:rFonts w:ascii="Times New Roman"/>
                <w:spacing w:val="-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Investment</w:t>
            </w:r>
          </w:p>
          <w:p>
            <w:pPr>
              <w:pStyle w:val="TableParagraph"/>
              <w:spacing w:line="203" w:lineRule="exact"/>
              <w:ind w:left="107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Income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from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Properties</w:t>
            </w:r>
            <w:r>
              <w:rPr>
                <w:rFonts w:ascii="Times New Roman"/>
                <w:spacing w:val="-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Owned</w:t>
            </w:r>
          </w:p>
        </w:tc>
        <w:tc>
          <w:tcPr>
            <w:tcW w:w="216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149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-0.0124***</w:t>
            </w:r>
            <w:r>
              <w:rPr>
                <w:rFonts w:ascii="Times New Roman"/>
                <w:b/>
                <w:spacing w:val="-5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(0.0009)</w:t>
            </w:r>
          </w:p>
          <w:p>
            <w:pPr>
              <w:pStyle w:val="TableParagraph"/>
              <w:ind w:left="149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-0.0024**</w:t>
            </w:r>
            <w:r>
              <w:rPr>
                <w:rFonts w:ascii="Times New Roman"/>
                <w:b/>
                <w:spacing w:val="-5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(0.0007)</w:t>
            </w:r>
          </w:p>
          <w:p>
            <w:pPr>
              <w:pStyle w:val="TableParagraph"/>
              <w:spacing w:line="217" w:lineRule="exact"/>
              <w:ind w:left="149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-0.0415***</w:t>
            </w:r>
            <w:r>
              <w:rPr>
                <w:rFonts w:ascii="Times New Roman"/>
                <w:b/>
                <w:spacing w:val="-5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(0.0039)</w:t>
            </w:r>
          </w:p>
          <w:p>
            <w:pPr>
              <w:pStyle w:val="TableParagraph"/>
              <w:spacing w:line="217" w:lineRule="exact"/>
              <w:ind w:left="152" w:right="14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-0.0031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(0.0021)</w:t>
            </w:r>
          </w:p>
          <w:p>
            <w:pPr>
              <w:pStyle w:val="TableParagraph"/>
              <w:spacing w:line="217" w:lineRule="exact" w:before="4"/>
              <w:ind w:left="149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-0.0208***</w:t>
            </w:r>
            <w:r>
              <w:rPr>
                <w:rFonts w:ascii="Times New Roman"/>
                <w:b/>
                <w:spacing w:val="-5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(0.0045)</w:t>
            </w:r>
          </w:p>
          <w:p>
            <w:pPr>
              <w:pStyle w:val="TableParagraph"/>
              <w:spacing w:line="217" w:lineRule="exact"/>
              <w:ind w:left="152" w:right="14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0.0011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(0.0041)</w:t>
            </w:r>
          </w:p>
          <w:p>
            <w:pPr>
              <w:pStyle w:val="TableParagraph"/>
              <w:spacing w:before="3"/>
              <w:ind w:left="150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0.0142*</w:t>
            </w:r>
            <w:r>
              <w:rPr>
                <w:rFonts w:ascii="Times New Roman"/>
                <w:b/>
                <w:spacing w:val="-11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(0.0078)</w:t>
            </w:r>
          </w:p>
          <w:p>
            <w:pPr>
              <w:pStyle w:val="TableParagraph"/>
              <w:spacing w:line="200" w:lineRule="exact"/>
              <w:ind w:left="152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-0.0014*</w:t>
            </w:r>
            <w:r>
              <w:rPr>
                <w:rFonts w:ascii="Times New Roman"/>
                <w:b/>
                <w:spacing w:val="-10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(0.0009)</w:t>
            </w:r>
          </w:p>
        </w:tc>
        <w:tc>
          <w:tcPr>
            <w:tcW w:w="1352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1"/>
              <w:jc w:val="lef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0.9877</w:t>
            </w:r>
          </w:p>
          <w:p>
            <w:pPr>
              <w:pStyle w:val="TableParagraph"/>
              <w:ind w:left="411"/>
              <w:jc w:val="lef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0.9976</w:t>
            </w:r>
          </w:p>
          <w:p>
            <w:pPr>
              <w:pStyle w:val="TableParagraph"/>
              <w:spacing w:line="217" w:lineRule="exact"/>
              <w:ind w:left="411"/>
              <w:jc w:val="lef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0.9593</w:t>
            </w:r>
          </w:p>
          <w:p>
            <w:pPr>
              <w:pStyle w:val="TableParagraph"/>
              <w:spacing w:line="217" w:lineRule="exact"/>
              <w:ind w:left="411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0.9969</w:t>
            </w:r>
          </w:p>
          <w:p>
            <w:pPr>
              <w:pStyle w:val="TableParagraph"/>
              <w:spacing w:line="217" w:lineRule="exact" w:before="4"/>
              <w:ind w:left="411"/>
              <w:jc w:val="lef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0.9794</w:t>
            </w:r>
          </w:p>
          <w:p>
            <w:pPr>
              <w:pStyle w:val="TableParagraph"/>
              <w:spacing w:line="217" w:lineRule="exact"/>
              <w:ind w:left="411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1.0011</w:t>
            </w:r>
          </w:p>
          <w:p>
            <w:pPr>
              <w:pStyle w:val="TableParagraph"/>
              <w:spacing w:before="3"/>
              <w:ind w:left="411"/>
              <w:jc w:val="lef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1.0143</w:t>
            </w:r>
          </w:p>
          <w:p>
            <w:pPr>
              <w:pStyle w:val="TableParagraph"/>
              <w:spacing w:line="200" w:lineRule="exact"/>
              <w:ind w:left="411"/>
              <w:jc w:val="lef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0.9986</w:t>
            </w:r>
          </w:p>
        </w:tc>
        <w:tc>
          <w:tcPr>
            <w:tcW w:w="152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154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-13.25</w:t>
            </w:r>
          </w:p>
          <w:p>
            <w:pPr>
              <w:pStyle w:val="TableParagraph"/>
              <w:ind w:left="154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-3.33</w:t>
            </w:r>
          </w:p>
          <w:p>
            <w:pPr>
              <w:pStyle w:val="TableParagraph"/>
              <w:spacing w:line="217" w:lineRule="exact"/>
              <w:ind w:left="154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-10.53</w:t>
            </w:r>
          </w:p>
          <w:p>
            <w:pPr>
              <w:pStyle w:val="TableParagraph"/>
              <w:spacing w:line="217" w:lineRule="exact"/>
              <w:ind w:left="154" w:right="15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-1.48</w:t>
            </w:r>
          </w:p>
          <w:p>
            <w:pPr>
              <w:pStyle w:val="TableParagraph"/>
              <w:spacing w:line="217" w:lineRule="exact" w:before="4"/>
              <w:ind w:left="154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-4.60</w:t>
            </w:r>
          </w:p>
          <w:p>
            <w:pPr>
              <w:pStyle w:val="TableParagraph"/>
              <w:spacing w:line="217" w:lineRule="exact"/>
              <w:ind w:left="154" w:right="15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0.27</w:t>
            </w:r>
          </w:p>
          <w:p>
            <w:pPr>
              <w:pStyle w:val="TableParagraph"/>
              <w:spacing w:before="3"/>
              <w:ind w:left="154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1.83</w:t>
            </w:r>
          </w:p>
          <w:p>
            <w:pPr>
              <w:pStyle w:val="TableParagraph"/>
              <w:spacing w:line="200" w:lineRule="exact"/>
              <w:ind w:left="154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-1.68</w:t>
            </w:r>
          </w:p>
        </w:tc>
      </w:tr>
      <w:tr>
        <w:trPr>
          <w:trHeight w:val="458" w:hRule="atLeast"/>
        </w:trPr>
        <w:tc>
          <w:tcPr>
            <w:tcW w:w="4141" w:type="dxa"/>
          </w:tcPr>
          <w:p>
            <w:pPr>
              <w:pStyle w:val="TableParagraph"/>
              <w:spacing w:line="203" w:lineRule="exact"/>
              <w:ind w:left="107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INCOME</w:t>
            </w:r>
            <w:r>
              <w:rPr>
                <w:rFonts w:ascii="Times New Roman"/>
                <w:b/>
                <w:spacing w:val="-2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INEQUALITY</w:t>
            </w:r>
          </w:p>
          <w:p>
            <w:pPr>
              <w:pStyle w:val="TableParagraph"/>
              <w:spacing w:line="226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Gini-Coefficient</w:t>
            </w:r>
          </w:p>
        </w:tc>
        <w:tc>
          <w:tcPr>
            <w:tcW w:w="216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0.0144***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(0.0032)</w:t>
            </w:r>
          </w:p>
        </w:tc>
        <w:tc>
          <w:tcPr>
            <w:tcW w:w="1352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17" w:right="11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1.0145</w:t>
            </w:r>
          </w:p>
        </w:tc>
        <w:tc>
          <w:tcPr>
            <w:tcW w:w="152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52" w:right="15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4.43</w:t>
            </w:r>
          </w:p>
        </w:tc>
      </w:tr>
      <w:tr>
        <w:trPr>
          <w:trHeight w:val="221" w:hRule="atLeast"/>
        </w:trPr>
        <w:tc>
          <w:tcPr>
            <w:tcW w:w="4141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jc w:val="lef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Constant</w:t>
            </w:r>
            <w:r>
              <w:rPr>
                <w:rFonts w:ascii="Times New Roman" w:hAnsi="Times New Roman"/>
                <w:spacing w:val="-4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(α)</w:t>
            </w:r>
          </w:p>
        </w:tc>
        <w:tc>
          <w:tcPr>
            <w:tcW w:w="2161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49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0.4601***</w:t>
            </w:r>
            <w:r>
              <w:rPr>
                <w:rFonts w:ascii="Times New Roman"/>
                <w:b/>
                <w:spacing w:val="-4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(0.0159)</w:t>
            </w:r>
          </w:p>
        </w:tc>
        <w:tc>
          <w:tcPr>
            <w:tcW w:w="1352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19" w:right="115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1.5842</w:t>
            </w:r>
          </w:p>
        </w:tc>
        <w:tc>
          <w:tcPr>
            <w:tcW w:w="1529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52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28.88</w:t>
            </w: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Pseudo</w:t>
            </w:r>
            <w:r>
              <w:rPr>
                <w:rFonts w:ascii="Times New Roman"/>
                <w:spacing w:val="-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R</w:t>
            </w:r>
            <w:r>
              <w:rPr>
                <w:rFonts w:ascii="Times New Roman"/>
                <w:sz w:val="19"/>
                <w:vertAlign w:val="superscript"/>
              </w:rPr>
              <w:t>2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52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0.1040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F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(34,</w:t>
            </w:r>
            <w:r>
              <w:rPr>
                <w:rFonts w:ascii="Times New Roman"/>
                <w:spacing w:val="-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71,339)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52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232.65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jc w:val="lef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Prob</w:t>
            </w:r>
            <w:r>
              <w:rPr>
                <w:rFonts w:ascii="Times New Roman" w:hAnsi="Times New Roman"/>
                <w:spacing w:val="-1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˃F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52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0.0000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Number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groups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52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37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4141" w:type="dxa"/>
            <w:tcBorders>
              <w:top w:val="nil"/>
            </w:tcBorders>
          </w:tcPr>
          <w:p>
            <w:pPr>
              <w:pStyle w:val="TableParagraph"/>
              <w:spacing w:line="197" w:lineRule="exact"/>
              <w:ind w:left="107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Observations</w:t>
            </w:r>
          </w:p>
        </w:tc>
        <w:tc>
          <w:tcPr>
            <w:tcW w:w="2161" w:type="dxa"/>
            <w:tcBorders>
              <w:top w:val="nil"/>
            </w:tcBorders>
          </w:tcPr>
          <w:p>
            <w:pPr>
              <w:pStyle w:val="TableParagraph"/>
              <w:spacing w:line="197" w:lineRule="exact"/>
              <w:ind w:left="152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71,410</w:t>
            </w:r>
          </w:p>
        </w:tc>
        <w:tc>
          <w:tcPr>
            <w:tcW w:w="1352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before="0"/>
        <w:ind w:left="120" w:right="0" w:firstLine="0"/>
        <w:jc w:val="left"/>
        <w:rPr>
          <w:sz w:val="14"/>
        </w:rPr>
      </w:pPr>
      <w:r>
        <w:rPr>
          <w:sz w:val="14"/>
        </w:rPr>
        <w:t>NOTE:</w:t>
      </w:r>
      <w:r>
        <w:rPr>
          <w:spacing w:val="-4"/>
          <w:sz w:val="14"/>
        </w:rPr>
        <w:t> </w:t>
      </w:r>
      <w:r>
        <w:rPr>
          <w:sz w:val="14"/>
        </w:rPr>
        <w:t>1.</w:t>
      </w:r>
      <w:r>
        <w:rPr>
          <w:spacing w:val="2"/>
          <w:sz w:val="14"/>
        </w:rPr>
        <w:t> </w:t>
      </w:r>
      <w:r>
        <w:rPr>
          <w:sz w:val="14"/>
        </w:rPr>
        <w:t>*Significant</w:t>
      </w:r>
      <w:r>
        <w:rPr>
          <w:spacing w:val="-2"/>
          <w:sz w:val="14"/>
        </w:rPr>
        <w:t> </w:t>
      </w:r>
      <w:r>
        <w:rPr>
          <w:sz w:val="14"/>
        </w:rPr>
        <w:t>at</w:t>
      </w:r>
      <w:r>
        <w:rPr>
          <w:spacing w:val="-1"/>
          <w:sz w:val="14"/>
        </w:rPr>
        <w:t> </w:t>
      </w:r>
      <w:r>
        <w:rPr>
          <w:sz w:val="14"/>
        </w:rPr>
        <w:t>10%,</w:t>
      </w:r>
      <w:r>
        <w:rPr>
          <w:spacing w:val="2"/>
          <w:sz w:val="14"/>
        </w:rPr>
        <w:t> </w:t>
      </w:r>
      <w:r>
        <w:rPr>
          <w:sz w:val="14"/>
        </w:rPr>
        <w:t>**</w:t>
      </w:r>
      <w:r>
        <w:rPr>
          <w:spacing w:val="-6"/>
          <w:sz w:val="14"/>
        </w:rPr>
        <w:t> </w:t>
      </w:r>
      <w:r>
        <w:rPr>
          <w:sz w:val="14"/>
        </w:rPr>
        <w:t>significant</w:t>
      </w:r>
      <w:r>
        <w:rPr>
          <w:spacing w:val="-1"/>
          <w:sz w:val="14"/>
        </w:rPr>
        <w:t> </w:t>
      </w:r>
      <w:r>
        <w:rPr>
          <w:sz w:val="14"/>
        </w:rPr>
        <w:t>at</w:t>
      </w:r>
      <w:r>
        <w:rPr>
          <w:spacing w:val="-2"/>
          <w:sz w:val="14"/>
        </w:rPr>
        <w:t> </w:t>
      </w:r>
      <w:r>
        <w:rPr>
          <w:sz w:val="14"/>
        </w:rPr>
        <w:t>5%</w:t>
      </w:r>
      <w:r>
        <w:rPr>
          <w:spacing w:val="-2"/>
          <w:sz w:val="14"/>
        </w:rPr>
        <w:t> </w:t>
      </w:r>
      <w:r>
        <w:rPr>
          <w:sz w:val="14"/>
        </w:rPr>
        <w:t>and</w:t>
      </w:r>
      <w:r>
        <w:rPr>
          <w:spacing w:val="1"/>
          <w:sz w:val="14"/>
        </w:rPr>
        <w:t> </w:t>
      </w:r>
      <w:r>
        <w:rPr>
          <w:sz w:val="14"/>
        </w:rPr>
        <w:t>***</w:t>
      </w:r>
      <w:r>
        <w:rPr>
          <w:spacing w:val="-3"/>
          <w:sz w:val="14"/>
        </w:rPr>
        <w:t> </w:t>
      </w:r>
      <w:r>
        <w:rPr>
          <w:sz w:val="14"/>
        </w:rPr>
        <w:t>significant</w:t>
      </w:r>
      <w:r>
        <w:rPr>
          <w:spacing w:val="-2"/>
          <w:sz w:val="14"/>
        </w:rPr>
        <w:t> </w:t>
      </w:r>
      <w:r>
        <w:rPr>
          <w:sz w:val="14"/>
        </w:rPr>
        <w:t>at</w:t>
      </w:r>
      <w:r>
        <w:rPr>
          <w:spacing w:val="-2"/>
          <w:sz w:val="14"/>
        </w:rPr>
        <w:t> </w:t>
      </w:r>
      <w:r>
        <w:rPr>
          <w:sz w:val="14"/>
        </w:rPr>
        <w:t>1%</w:t>
      </w:r>
    </w:p>
    <w:p>
      <w:pPr>
        <w:spacing w:line="159" w:lineRule="exact" w:before="0"/>
        <w:ind w:left="120" w:right="0" w:firstLine="0"/>
        <w:jc w:val="left"/>
        <w:rPr>
          <w:sz w:val="14"/>
        </w:rPr>
      </w:pPr>
      <w:r>
        <w:rPr>
          <w:sz w:val="14"/>
        </w:rPr>
        <w:t>2.</w:t>
      </w:r>
      <w:r>
        <w:rPr>
          <w:spacing w:val="-2"/>
          <w:sz w:val="14"/>
        </w:rPr>
        <w:t> </w:t>
      </w:r>
      <w:r>
        <w:rPr>
          <w:sz w:val="14"/>
        </w:rPr>
        <w:t>The</w:t>
      </w:r>
      <w:r>
        <w:rPr>
          <w:spacing w:val="-3"/>
          <w:sz w:val="14"/>
        </w:rPr>
        <w:t> </w:t>
      </w:r>
      <w:r>
        <w:rPr>
          <w:sz w:val="14"/>
        </w:rPr>
        <w:t>parentheses</w:t>
      </w:r>
      <w:r>
        <w:rPr>
          <w:spacing w:val="-3"/>
          <w:sz w:val="14"/>
        </w:rPr>
        <w:t> </w:t>
      </w:r>
      <w:r>
        <w:rPr>
          <w:sz w:val="14"/>
        </w:rPr>
        <w:t>denotes</w:t>
      </w:r>
      <w:r>
        <w:rPr>
          <w:spacing w:val="-2"/>
          <w:sz w:val="14"/>
        </w:rPr>
        <w:t> </w:t>
      </w:r>
      <w:r>
        <w:rPr>
          <w:sz w:val="14"/>
        </w:rPr>
        <w:t>the</w:t>
      </w:r>
      <w:r>
        <w:rPr>
          <w:spacing w:val="-2"/>
          <w:sz w:val="14"/>
        </w:rPr>
        <w:t> </w:t>
      </w:r>
      <w:r>
        <w:rPr>
          <w:sz w:val="14"/>
        </w:rPr>
        <w:t>robust</w:t>
      </w:r>
      <w:r>
        <w:rPr>
          <w:spacing w:val="-4"/>
          <w:sz w:val="14"/>
        </w:rPr>
        <w:t> </w:t>
      </w:r>
      <w:r>
        <w:rPr>
          <w:sz w:val="14"/>
        </w:rPr>
        <w:t>standard</w:t>
      </w:r>
      <w:r>
        <w:rPr>
          <w:spacing w:val="-4"/>
          <w:sz w:val="14"/>
        </w:rPr>
        <w:t> </w:t>
      </w:r>
      <w:r>
        <w:rPr>
          <w:sz w:val="14"/>
        </w:rPr>
        <w:t>errors for</w:t>
      </w:r>
      <w:r>
        <w:rPr>
          <w:spacing w:val="-4"/>
          <w:sz w:val="14"/>
        </w:rPr>
        <w:t> </w:t>
      </w:r>
      <w:r>
        <w:rPr>
          <w:sz w:val="14"/>
        </w:rPr>
        <w:t>the</w:t>
      </w:r>
      <w:r>
        <w:rPr>
          <w:spacing w:val="-2"/>
          <w:sz w:val="14"/>
        </w:rPr>
        <w:t> </w:t>
      </w:r>
      <w:r>
        <w:rPr>
          <w:sz w:val="14"/>
        </w:rPr>
        <w:t>estimates</w:t>
      </w:r>
    </w:p>
    <w:p>
      <w:pPr>
        <w:spacing w:line="228" w:lineRule="exact" w:before="0"/>
        <w:ind w:left="120" w:right="0" w:firstLine="0"/>
        <w:jc w:val="left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2"/>
          <w:sz w:val="20"/>
        </w:rPr>
        <w:t> </w:t>
      </w:r>
      <w:r>
        <w:rPr>
          <w:sz w:val="20"/>
        </w:rPr>
        <w:t>Researcher’s</w:t>
      </w:r>
      <w:r>
        <w:rPr>
          <w:spacing w:val="-1"/>
          <w:sz w:val="20"/>
        </w:rPr>
        <w:t> </w:t>
      </w:r>
      <w:r>
        <w:rPr>
          <w:sz w:val="20"/>
        </w:rPr>
        <w:t>Computation</w:t>
      </w:r>
      <w:r>
        <w:rPr>
          <w:spacing w:val="-3"/>
          <w:sz w:val="20"/>
        </w:rPr>
        <w:t> </w:t>
      </w:r>
      <w:r>
        <w:rPr>
          <w:sz w:val="20"/>
        </w:rPr>
        <w:t>using</w:t>
      </w:r>
      <w:r>
        <w:rPr>
          <w:spacing w:val="-3"/>
          <w:sz w:val="20"/>
        </w:rPr>
        <w:t> </w:t>
      </w:r>
      <w:r>
        <w:rPr>
          <w:sz w:val="20"/>
        </w:rPr>
        <w:t>Stata</w:t>
      </w:r>
      <w:r>
        <w:rPr>
          <w:spacing w:val="-2"/>
          <w:sz w:val="20"/>
        </w:rPr>
        <w:t> </w:t>
      </w:r>
      <w:r>
        <w:rPr>
          <w:sz w:val="20"/>
        </w:rPr>
        <w:t>13</w:t>
      </w:r>
    </w:p>
    <w:p>
      <w:pPr>
        <w:spacing w:after="0" w:line="228" w:lineRule="exact"/>
        <w:jc w:val="left"/>
        <w:rPr>
          <w:sz w:val="20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5"/>
        <w:jc w:val="both"/>
      </w:pPr>
      <w:r>
        <w:rPr/>
        <w:t>Another important finding is that as hunger and malnutrition intensifies, the likelihood of people</w:t>
      </w:r>
      <w:r>
        <w:rPr>
          <w:spacing w:val="1"/>
        </w:rPr>
        <w:t> </w:t>
      </w:r>
      <w:r>
        <w:rPr/>
        <w:t>to experience health issues rise significantly. This is not farfetched as it is consistent with POL</w:t>
      </w:r>
      <w:r>
        <w:rPr>
          <w:spacing w:val="1"/>
        </w:rPr>
        <w:t> </w:t>
      </w:r>
      <w:r>
        <w:rPr/>
        <w:t>model.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terms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nutritional</w:t>
      </w:r>
      <w:r>
        <w:rPr>
          <w:spacing w:val="-5"/>
        </w:rPr>
        <w:t> </w:t>
      </w:r>
      <w:r>
        <w:rPr/>
        <w:t>intake,</w:t>
      </w:r>
      <w:r>
        <w:rPr>
          <w:spacing w:val="-4"/>
        </w:rPr>
        <w:t> </w:t>
      </w:r>
      <w:r>
        <w:rPr/>
        <w:t>carbohydrate</w:t>
      </w:r>
      <w:r>
        <w:rPr>
          <w:spacing w:val="-3"/>
        </w:rPr>
        <w:t> </w:t>
      </w:r>
      <w:r>
        <w:rPr/>
        <w:t>foods,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as,</w:t>
      </w:r>
      <w:r>
        <w:rPr>
          <w:spacing w:val="-5"/>
        </w:rPr>
        <w:t> </w:t>
      </w:r>
      <w:r>
        <w:rPr/>
        <w:t>rice,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flour</w:t>
      </w:r>
      <w:r>
        <w:rPr>
          <w:spacing w:val="-5"/>
        </w:rPr>
        <w:t> </w:t>
      </w:r>
      <w:r>
        <w:rPr/>
        <w:t>(yam,</w:t>
      </w:r>
      <w:r>
        <w:rPr>
          <w:spacing w:val="-4"/>
        </w:rPr>
        <w:t> </w:t>
      </w:r>
      <w:r>
        <w:rPr/>
        <w:t>cassava</w:t>
      </w:r>
      <w:r>
        <w:rPr>
          <w:spacing w:val="-5"/>
        </w:rPr>
        <w:t> </w:t>
      </w:r>
      <w:r>
        <w:rPr/>
        <w:t>or</w:t>
      </w:r>
      <w:r>
        <w:rPr>
          <w:spacing w:val="-58"/>
        </w:rPr>
        <w:t> </w:t>
      </w:r>
      <w:r>
        <w:rPr/>
        <w:t>maize)</w:t>
      </w:r>
      <w:r>
        <w:rPr>
          <w:spacing w:val="-7"/>
        </w:rPr>
        <w:t> </w:t>
      </w:r>
      <w:r>
        <w:rPr/>
        <w:t>significantly</w:t>
      </w:r>
      <w:r>
        <w:rPr>
          <w:spacing w:val="-9"/>
        </w:rPr>
        <w:t> </w:t>
      </w:r>
      <w:r>
        <w:rPr/>
        <w:t>reduce</w:t>
      </w:r>
      <w:r>
        <w:rPr>
          <w:spacing w:val="-4"/>
        </w:rPr>
        <w:t> </w:t>
      </w:r>
      <w:r>
        <w:rPr/>
        <w:t>illness.</w:t>
      </w:r>
      <w:r>
        <w:rPr>
          <w:spacing w:val="-4"/>
        </w:rPr>
        <w:t> </w:t>
      </w:r>
      <w:r>
        <w:rPr/>
        <w:t>Nevertheless,</w:t>
      </w:r>
      <w:r>
        <w:rPr>
          <w:spacing w:val="-3"/>
        </w:rPr>
        <w:t> </w:t>
      </w:r>
      <w:r>
        <w:rPr/>
        <w:t>contrary</w:t>
      </w:r>
      <w:r>
        <w:rPr>
          <w:spacing w:val="-11"/>
        </w:rPr>
        <w:t> </w:t>
      </w:r>
      <w:r>
        <w:rPr/>
        <w:t>to</w:t>
      </w:r>
      <w:r>
        <w:rPr>
          <w:spacing w:val="-4"/>
        </w:rPr>
        <w:t> </w:t>
      </w:r>
      <w:r>
        <w:rPr/>
        <w:t>POL</w:t>
      </w:r>
      <w:r>
        <w:rPr>
          <w:spacing w:val="-6"/>
        </w:rPr>
        <w:t> </w:t>
      </w:r>
      <w:r>
        <w:rPr/>
        <w:t>result,</w:t>
      </w:r>
      <w:r>
        <w:rPr>
          <w:spacing w:val="-6"/>
        </w:rPr>
        <w:t> </w:t>
      </w:r>
      <w:r>
        <w:rPr/>
        <w:t>basic</w:t>
      </w:r>
      <w:r>
        <w:rPr>
          <w:spacing w:val="-6"/>
        </w:rPr>
        <w:t> </w:t>
      </w:r>
      <w:r>
        <w:rPr/>
        <w:t>protein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beans</w:t>
      </w:r>
      <w:r>
        <w:rPr>
          <w:spacing w:val="-57"/>
        </w:rPr>
        <w:t> </w:t>
      </w:r>
      <w:r>
        <w:rPr/>
        <w:t>in FE model associated with decline in illness. This is not surprising, as nutritional value from</w:t>
      </w:r>
      <w:r>
        <w:rPr>
          <w:spacing w:val="1"/>
        </w:rPr>
        <w:t> </w:t>
      </w:r>
      <w:r>
        <w:rPr/>
        <w:t>beans is connected with body growth, supply of blood, and vitamins. Probably, the main nutrient</w:t>
      </w:r>
      <w:r>
        <w:rPr>
          <w:spacing w:val="1"/>
        </w:rPr>
        <w:t> </w:t>
      </w:r>
      <w:r>
        <w:rPr>
          <w:spacing w:val="-1"/>
        </w:rPr>
        <w:t>gains</w:t>
      </w:r>
      <w:r>
        <w:rPr>
          <w:spacing w:val="-9"/>
        </w:rPr>
        <w:t> </w:t>
      </w:r>
      <w:r>
        <w:rPr>
          <w:spacing w:val="-1"/>
        </w:rPr>
        <w:t>from</w:t>
      </w:r>
      <w:r>
        <w:rPr>
          <w:spacing w:val="-10"/>
        </w:rPr>
        <w:t> </w:t>
      </w:r>
      <w:r>
        <w:rPr>
          <w:spacing w:val="-1"/>
        </w:rPr>
        <w:t>beans</w:t>
      </w:r>
      <w:r>
        <w:rPr>
          <w:spacing w:val="-10"/>
        </w:rPr>
        <w:t> </w:t>
      </w:r>
      <w:r>
        <w:rPr/>
        <w:t>may</w:t>
      </w:r>
      <w:r>
        <w:rPr>
          <w:spacing w:val="-14"/>
        </w:rPr>
        <w:t> </w:t>
      </w:r>
      <w:r>
        <w:rPr/>
        <w:t>reduce</w:t>
      </w:r>
      <w:r>
        <w:rPr>
          <w:spacing w:val="-11"/>
        </w:rPr>
        <w:t> </w:t>
      </w:r>
      <w:r>
        <w:rPr/>
        <w:t>ill-health.</w:t>
      </w:r>
      <w:r>
        <w:rPr>
          <w:spacing w:val="-10"/>
        </w:rPr>
        <w:t> </w:t>
      </w:r>
      <w:r>
        <w:rPr/>
        <w:t>Though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nutritional</w:t>
      </w:r>
      <w:r>
        <w:rPr>
          <w:spacing w:val="-10"/>
        </w:rPr>
        <w:t> </w:t>
      </w:r>
      <w:r>
        <w:rPr/>
        <w:t>value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meat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fish</w:t>
      </w:r>
      <w:r>
        <w:rPr>
          <w:spacing w:val="-10"/>
        </w:rPr>
        <w:t> </w:t>
      </w:r>
      <w:r>
        <w:rPr/>
        <w:t>contradict</w:t>
      </w:r>
      <w:r>
        <w:rPr>
          <w:spacing w:val="-57"/>
        </w:rPr>
        <w:t> </w:t>
      </w:r>
      <w:r>
        <w:rPr/>
        <w:t>the expect sign, the coefficient is negative but statistically non-significant. The main conclusion</w:t>
      </w:r>
      <w:r>
        <w:rPr>
          <w:spacing w:val="1"/>
        </w:rPr>
        <w:t> </w:t>
      </w:r>
      <w:r>
        <w:rPr/>
        <w:t>that can be drawn from this result is that there is an indication that eating much of meat have a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to worsen</w:t>
      </w:r>
      <w:r>
        <w:rPr>
          <w:spacing w:val="1"/>
        </w:rPr>
        <w:t> </w:t>
      </w:r>
      <w:r>
        <w:rPr/>
        <w:t>the health of people above</w:t>
      </w:r>
      <w:r>
        <w:rPr>
          <w:spacing w:val="-1"/>
        </w:rPr>
        <w:t> </w:t>
      </w:r>
      <w:r>
        <w:rPr/>
        <w:t>the age</w:t>
      </w:r>
      <w:r>
        <w:rPr>
          <w:spacing w:val="-2"/>
        </w:rPr>
        <w:t> </w:t>
      </w:r>
      <w:r>
        <w:rPr/>
        <w:t>45</w:t>
      </w:r>
      <w:r>
        <w:rPr>
          <w:spacing w:val="4"/>
        </w:rPr>
        <w:t> </w:t>
      </w:r>
      <w:r>
        <w:rPr/>
        <w:t>years.</w:t>
      </w:r>
    </w:p>
    <w:p>
      <w:pPr>
        <w:pStyle w:val="BodyText"/>
        <w:spacing w:line="360" w:lineRule="auto" w:before="186"/>
        <w:ind w:left="120" w:right="118"/>
        <w:jc w:val="both"/>
      </w:pPr>
      <w:r>
        <w:rPr>
          <w:spacing w:val="-1"/>
        </w:rPr>
        <w:t>Turning</w:t>
      </w:r>
      <w:r>
        <w:rPr>
          <w:spacing w:val="-17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effect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education,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estimate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no</w:t>
      </w:r>
      <w:r>
        <w:rPr>
          <w:spacing w:val="-14"/>
        </w:rPr>
        <w:t> </w:t>
      </w:r>
      <w:r>
        <w:rPr/>
        <w:t>basic</w:t>
      </w:r>
      <w:r>
        <w:rPr>
          <w:spacing w:val="-16"/>
        </w:rPr>
        <w:t> </w:t>
      </w:r>
      <w:r>
        <w:rPr/>
        <w:t>education</w:t>
      </w:r>
      <w:r>
        <w:rPr>
          <w:spacing w:val="-14"/>
        </w:rPr>
        <w:t> </w:t>
      </w:r>
      <w:r>
        <w:rPr/>
        <w:t>shows</w:t>
      </w:r>
      <w:r>
        <w:rPr>
          <w:spacing w:val="-15"/>
        </w:rPr>
        <w:t> </w:t>
      </w:r>
      <w:r>
        <w:rPr/>
        <w:t>positive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coefficient.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mean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household</w:t>
      </w:r>
      <w:r>
        <w:rPr>
          <w:spacing w:val="-6"/>
        </w:rPr>
        <w:t> </w:t>
      </w:r>
      <w:r>
        <w:rPr/>
        <w:t>without</w:t>
      </w:r>
      <w:r>
        <w:rPr>
          <w:spacing w:val="-6"/>
        </w:rPr>
        <w:t> </w:t>
      </w:r>
      <w:r>
        <w:rPr/>
        <w:t>basic</w:t>
      </w:r>
      <w:r>
        <w:rPr>
          <w:spacing w:val="-6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may</w:t>
      </w:r>
      <w:r>
        <w:rPr>
          <w:spacing w:val="-11"/>
        </w:rPr>
        <w:t> </w:t>
      </w:r>
      <w:r>
        <w:rPr/>
        <w:t>experience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health</w:t>
      </w:r>
      <w:r>
        <w:rPr>
          <w:spacing w:val="-5"/>
        </w:rPr>
        <w:t> </w:t>
      </w:r>
      <w:r>
        <w:rPr/>
        <w:t>issues.</w:t>
      </w:r>
      <w:r>
        <w:rPr>
          <w:spacing w:val="-58"/>
        </w:rPr>
        <w:t> </w:t>
      </w:r>
      <w:r>
        <w:rPr/>
        <w:t>This is consistent with POL regression, however, unlike POL model, primary education indicates</w:t>
      </w:r>
      <w:r>
        <w:rPr>
          <w:spacing w:val="-57"/>
        </w:rPr>
        <w:t> </w:t>
      </w:r>
      <w:r>
        <w:rPr>
          <w:spacing w:val="-1"/>
        </w:rPr>
        <w:t>positive</w:t>
      </w:r>
      <w:r>
        <w:rPr>
          <w:spacing w:val="-12"/>
        </w:rPr>
        <w:t> </w:t>
      </w:r>
      <w:r>
        <w:rPr>
          <w:spacing w:val="-1"/>
        </w:rPr>
        <w:t>but</w:t>
      </w:r>
      <w:r>
        <w:rPr>
          <w:spacing w:val="-11"/>
        </w:rPr>
        <w:t> </w:t>
      </w:r>
      <w:r>
        <w:rPr>
          <w:spacing w:val="-1"/>
        </w:rPr>
        <w:t>statistically</w:t>
      </w:r>
      <w:r>
        <w:rPr>
          <w:spacing w:val="-19"/>
        </w:rPr>
        <w:t> </w:t>
      </w:r>
      <w:r>
        <w:rPr/>
        <w:t>non-significant.</w:t>
      </w:r>
      <w:r>
        <w:rPr>
          <w:spacing w:val="-9"/>
        </w:rPr>
        <w:t> </w:t>
      </w:r>
      <w:r>
        <w:rPr/>
        <w:t>It</w:t>
      </w:r>
      <w:r>
        <w:rPr>
          <w:spacing w:val="-10"/>
        </w:rPr>
        <w:t> </w:t>
      </w:r>
      <w:r>
        <w:rPr/>
        <w:t>probably</w:t>
      </w:r>
      <w:r>
        <w:rPr>
          <w:spacing w:val="-14"/>
        </w:rPr>
        <w:t> </w:t>
      </w:r>
      <w:r>
        <w:rPr/>
        <w:t>implies</w:t>
      </w:r>
      <w:r>
        <w:rPr>
          <w:spacing w:val="-11"/>
        </w:rPr>
        <w:t> </w:t>
      </w:r>
      <w:r>
        <w:rPr/>
        <w:t>that;</w:t>
      </w:r>
      <w:r>
        <w:rPr>
          <w:spacing w:val="-11"/>
        </w:rPr>
        <w:t> </w:t>
      </w:r>
      <w:r>
        <w:rPr/>
        <w:t>primary</w:t>
      </w:r>
      <w:r>
        <w:rPr>
          <w:spacing w:val="-16"/>
        </w:rPr>
        <w:t> </w:t>
      </w:r>
      <w:r>
        <w:rPr/>
        <w:t>educational</w:t>
      </w:r>
      <w:r>
        <w:rPr>
          <w:spacing w:val="-10"/>
        </w:rPr>
        <w:t> </w:t>
      </w:r>
      <w:r>
        <w:rPr/>
        <w:t>qualification</w:t>
      </w:r>
      <w:r>
        <w:rPr>
          <w:spacing w:val="-58"/>
        </w:rPr>
        <w:t> </w:t>
      </w:r>
      <w:r>
        <w:rPr/>
        <w:t>is not enough to reduce illness. In opposite direction, both secondary and tertiary education were</w:t>
      </w:r>
      <w:r>
        <w:rPr>
          <w:spacing w:val="1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and significant.</w:t>
      </w:r>
      <w:r>
        <w:rPr>
          <w:spacing w:val="-1"/>
        </w:rPr>
        <w:t> </w:t>
      </w:r>
      <w:r>
        <w:rPr/>
        <w:t>This is</w:t>
      </w:r>
      <w:r>
        <w:rPr>
          <w:spacing w:val="-1"/>
        </w:rPr>
        <w:t> </w:t>
      </w:r>
      <w:r>
        <w:rPr/>
        <w:t>an indication</w:t>
      </w:r>
      <w:r>
        <w:rPr>
          <w:spacing w:val="-1"/>
        </w:rPr>
        <w:t> </w:t>
      </w:r>
      <w:r>
        <w:rPr/>
        <w:t>that quality</w:t>
      </w:r>
      <w:r>
        <w:rPr>
          <w:spacing w:val="-5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is</w:t>
      </w:r>
      <w:r>
        <w:rPr>
          <w:spacing w:val="4"/>
        </w:rPr>
        <w:t> </w:t>
      </w:r>
      <w:r>
        <w:rPr/>
        <w:t>paramount</w:t>
      </w:r>
      <w:r>
        <w:rPr>
          <w:spacing w:val="-1"/>
        </w:rPr>
        <w:t> </w:t>
      </w:r>
      <w:r>
        <w:rPr/>
        <w:t>to health.</w:t>
      </w:r>
    </w:p>
    <w:p>
      <w:pPr>
        <w:pStyle w:val="BodyText"/>
        <w:spacing w:line="360" w:lineRule="auto" w:before="183"/>
        <w:ind w:left="120" w:right="115"/>
        <w:jc w:val="both"/>
      </w:pP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line</w:t>
      </w:r>
      <w:r>
        <w:rPr>
          <w:spacing w:val="-13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/>
        <w:t>neo-material</w:t>
      </w:r>
      <w:r>
        <w:rPr>
          <w:spacing w:val="-7"/>
        </w:rPr>
        <w:t> </w:t>
      </w:r>
      <w:r>
        <w:rPr/>
        <w:t>theory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POL</w:t>
      </w:r>
      <w:r>
        <w:rPr>
          <w:spacing w:val="-13"/>
        </w:rPr>
        <w:t> </w:t>
      </w:r>
      <w:r>
        <w:rPr/>
        <w:t>regression,</w:t>
      </w:r>
      <w:r>
        <w:rPr>
          <w:spacing w:val="-12"/>
        </w:rPr>
        <w:t> </w:t>
      </w:r>
      <w:r>
        <w:rPr/>
        <w:t>mosquito-net</w:t>
      </w:r>
      <w:r>
        <w:rPr>
          <w:spacing w:val="-12"/>
        </w:rPr>
        <w:t> </w:t>
      </w:r>
      <w:r>
        <w:rPr/>
        <w:t>possession,</w:t>
      </w:r>
      <w:r>
        <w:rPr>
          <w:spacing w:val="-12"/>
        </w:rPr>
        <w:t> </w:t>
      </w:r>
      <w:r>
        <w:rPr/>
        <w:t>dwelling</w:t>
      </w:r>
      <w:r>
        <w:rPr>
          <w:spacing w:val="-12"/>
        </w:rPr>
        <w:t> </w:t>
      </w:r>
      <w:r>
        <w:rPr/>
        <w:t>connected</w:t>
      </w:r>
      <w:r>
        <w:rPr>
          <w:spacing w:val="-58"/>
        </w:rPr>
        <w:t> </w:t>
      </w:r>
      <w:r>
        <w:rPr/>
        <w:t>to electricity, pipe-borne water, and water toilet reduce illness significantly. This result show that</w:t>
      </w:r>
      <w:r>
        <w:rPr>
          <w:spacing w:val="-57"/>
        </w:rPr>
        <w:t> </w:t>
      </w:r>
      <w:r>
        <w:rPr/>
        <w:t>access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quantity</w:t>
      </w:r>
      <w:r>
        <w:rPr>
          <w:spacing w:val="-14"/>
        </w:rPr>
        <w:t> </w:t>
      </w:r>
      <w:r>
        <w:rPr/>
        <w:t>health-producing</w:t>
      </w:r>
      <w:r>
        <w:rPr>
          <w:spacing w:val="-8"/>
        </w:rPr>
        <w:t> </w:t>
      </w:r>
      <w:r>
        <w:rPr/>
        <w:t>goods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services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reduce</w:t>
      </w:r>
      <w:r>
        <w:rPr>
          <w:spacing w:val="-7"/>
        </w:rPr>
        <w:t> </w:t>
      </w:r>
      <w:r>
        <w:rPr/>
        <w:t>ill-health.</w:t>
      </w:r>
      <w:r>
        <w:rPr>
          <w:spacing w:val="-9"/>
        </w:rPr>
        <w:t> </w:t>
      </w:r>
      <w:r>
        <w:rPr/>
        <w:t>Whereas,</w:t>
      </w:r>
      <w:r>
        <w:rPr>
          <w:spacing w:val="-58"/>
        </w:rPr>
        <w:t> </w:t>
      </w:r>
      <w:r>
        <w:rPr/>
        <w:t>no</w:t>
      </w:r>
      <w:r>
        <w:rPr>
          <w:spacing w:val="-6"/>
        </w:rPr>
        <w:t> </w:t>
      </w:r>
      <w:r>
        <w:rPr/>
        <w:t>availability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these</w:t>
      </w:r>
      <w:r>
        <w:rPr>
          <w:spacing w:val="-3"/>
        </w:rPr>
        <w:t> </w:t>
      </w:r>
      <w:r>
        <w:rPr/>
        <w:t>goods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worsen</w:t>
      </w:r>
      <w:r>
        <w:rPr>
          <w:spacing w:val="-4"/>
        </w:rPr>
        <w:t> </w:t>
      </w:r>
      <w:r>
        <w:rPr/>
        <w:t>illness.</w:t>
      </w:r>
      <w:r>
        <w:rPr>
          <w:spacing w:val="-5"/>
        </w:rPr>
        <w:t> </w:t>
      </w:r>
      <w:r>
        <w:rPr/>
        <w:t>Similarly,</w:t>
      </w:r>
      <w:r>
        <w:rPr>
          <w:spacing w:val="-4"/>
        </w:rPr>
        <w:t> </w:t>
      </w:r>
      <w:r>
        <w:rPr/>
        <w:t>seeking</w:t>
      </w:r>
      <w:r>
        <w:rPr>
          <w:spacing w:val="-5"/>
        </w:rPr>
        <w:t> </w:t>
      </w:r>
      <w:r>
        <w:rPr/>
        <w:t>appropriate</w:t>
      </w:r>
      <w:r>
        <w:rPr>
          <w:spacing w:val="-7"/>
        </w:rPr>
        <w:t> </w:t>
      </w:r>
      <w:r>
        <w:rPr/>
        <w:t>medical-</w:t>
      </w:r>
      <w:r>
        <w:rPr>
          <w:spacing w:val="-57"/>
        </w:rPr>
        <w:t> </w:t>
      </w:r>
      <w:r>
        <w:rPr/>
        <w:t>care services was negatively and statistically related to ill-health, meaning access to healthcare</w:t>
      </w:r>
      <w:r>
        <w:rPr>
          <w:spacing w:val="1"/>
        </w:rPr>
        <w:t> </w:t>
      </w:r>
      <w:r>
        <w:rPr/>
        <w:t>improves health status. In opposition, self-medication during illness increase the chance of poor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outcomes.</w:t>
      </w:r>
    </w:p>
    <w:p>
      <w:pPr>
        <w:pStyle w:val="BodyText"/>
        <w:spacing w:line="360" w:lineRule="auto" w:before="185"/>
        <w:ind w:left="120" w:right="116"/>
        <w:jc w:val="both"/>
      </w:pPr>
      <w:r>
        <w:rPr/>
        <w:t>Like POL results, all the income sources had the expected negative signs excluding pension and</w:t>
      </w:r>
      <w:r>
        <w:rPr>
          <w:spacing w:val="1"/>
        </w:rPr>
        <w:t> </w:t>
      </w:r>
      <w:r>
        <w:rPr/>
        <w:t>dividend from investment which turned out to be positive. Wages and salaries, business and trade</w:t>
      </w:r>
      <w:r>
        <w:rPr>
          <w:spacing w:val="-57"/>
        </w:rPr>
        <w:t> </w:t>
      </w:r>
      <w:r>
        <w:rPr/>
        <w:t>income, farming and monetary transfer were found to reduce illness significantly. However,</w:t>
      </w:r>
      <w:r>
        <w:rPr>
          <w:spacing w:val="1"/>
        </w:rPr>
        <w:t> </w:t>
      </w:r>
      <w:r>
        <w:rPr/>
        <w:t>pension, and dividend from investment worsen illness. Dividend was significant and negative at</w:t>
      </w:r>
      <w:r>
        <w:rPr>
          <w:spacing w:val="1"/>
        </w:rPr>
        <w:t> </w:t>
      </w:r>
      <w:r>
        <w:rPr/>
        <w:t>10% significance level and this may be explained by the fact that it is a sort of transitory income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firm losses may</w:t>
      </w:r>
      <w:r>
        <w:rPr>
          <w:spacing w:val="-5"/>
        </w:rPr>
        <w:t> </w:t>
      </w:r>
      <w:r>
        <w:rPr/>
        <w:t>not result to dividend payout.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3"/>
        <w:jc w:val="both"/>
      </w:pPr>
      <w:r>
        <w:rPr/>
        <w:t>The effect of Gini coefficient on illness is positive and statistically significant at 1% level. The</w:t>
      </w:r>
      <w:r>
        <w:rPr>
          <w:spacing w:val="1"/>
        </w:rPr>
        <w:t> </w:t>
      </w:r>
      <w:r>
        <w:rPr/>
        <w:t>estimation</w:t>
      </w:r>
      <w:r>
        <w:rPr>
          <w:spacing w:val="-8"/>
        </w:rPr>
        <w:t> </w:t>
      </w:r>
      <w:r>
        <w:rPr/>
        <w:t>results</w:t>
      </w:r>
      <w:r>
        <w:rPr>
          <w:spacing w:val="-8"/>
        </w:rPr>
        <w:t> </w:t>
      </w:r>
      <w:r>
        <w:rPr/>
        <w:t>show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income</w:t>
      </w:r>
      <w:r>
        <w:rPr>
          <w:spacing w:val="-9"/>
        </w:rPr>
        <w:t> </w:t>
      </w:r>
      <w:r>
        <w:rPr/>
        <w:t>disparity</w:t>
      </w:r>
      <w:r>
        <w:rPr>
          <w:spacing w:val="-13"/>
        </w:rPr>
        <w:t> </w:t>
      </w:r>
      <w:r>
        <w:rPr/>
        <w:t>is</w:t>
      </w:r>
      <w:r>
        <w:rPr>
          <w:spacing w:val="-6"/>
        </w:rPr>
        <w:t> </w:t>
      </w:r>
      <w:r>
        <w:rPr/>
        <w:t>widening,</w:t>
      </w:r>
      <w:r>
        <w:rPr>
          <w:spacing w:val="-5"/>
        </w:rPr>
        <w:t> </w:t>
      </w:r>
      <w:r>
        <w:rPr/>
        <w:t>chronic</w:t>
      </w:r>
      <w:r>
        <w:rPr>
          <w:spacing w:val="-10"/>
        </w:rPr>
        <w:t> </w:t>
      </w:r>
      <w:r>
        <w:rPr/>
        <w:t>illness</w:t>
      </w:r>
      <w:r>
        <w:rPr>
          <w:spacing w:val="-6"/>
        </w:rPr>
        <w:t> </w:t>
      </w:r>
      <w:r>
        <w:rPr/>
        <w:t>rises.</w:t>
      </w:r>
      <w:r>
        <w:rPr>
          <w:spacing w:val="-6"/>
        </w:rPr>
        <w:t> </w:t>
      </w:r>
      <w:r>
        <w:rPr/>
        <w:t>Specifically,</w:t>
      </w:r>
      <w:r>
        <w:rPr>
          <w:spacing w:val="-9"/>
        </w:rPr>
        <w:t> </w:t>
      </w:r>
      <w:r>
        <w:rPr/>
        <w:t>for</w:t>
      </w:r>
      <w:r>
        <w:rPr>
          <w:spacing w:val="-57"/>
        </w:rPr>
        <w:t> </w:t>
      </w:r>
      <w:r>
        <w:rPr/>
        <w:t>every 1% rise in income inequality among households, the likelihood of ill-health increases by</w:t>
      </w:r>
      <w:r>
        <w:rPr>
          <w:spacing w:val="1"/>
        </w:rPr>
        <w:t> </w:t>
      </w:r>
      <w:r>
        <w:rPr/>
        <w:t>1.45%. Again, this result is in consistent with POLS model and Wilkinson’s income inequality-</w:t>
      </w:r>
      <w:r>
        <w:rPr>
          <w:spacing w:val="1"/>
        </w:rPr>
        <w:t> </w:t>
      </w:r>
      <w:r>
        <w:rPr/>
        <w:t>health</w:t>
      </w:r>
      <w:r>
        <w:rPr>
          <w:spacing w:val="-5"/>
        </w:rPr>
        <w:t> </w:t>
      </w:r>
      <w:r>
        <w:rPr/>
        <w:t>hypothesis.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suggest</w:t>
      </w:r>
      <w:r>
        <w:rPr>
          <w:spacing w:val="-2"/>
        </w:rPr>
        <w:t> </w:t>
      </w:r>
      <w:r>
        <w:rPr/>
        <w:t>that</w:t>
      </w:r>
      <w:r>
        <w:rPr>
          <w:spacing w:val="-5"/>
        </w:rPr>
        <w:t> </w:t>
      </w:r>
      <w:r>
        <w:rPr/>
        <w:t>widening</w:t>
      </w:r>
      <w:r>
        <w:rPr>
          <w:spacing w:val="-5"/>
        </w:rPr>
        <w:t> </w:t>
      </w:r>
      <w:r>
        <w:rPr/>
        <w:t>income</w:t>
      </w:r>
      <w:r>
        <w:rPr>
          <w:spacing w:val="-6"/>
        </w:rPr>
        <w:t> </w:t>
      </w:r>
      <w:r>
        <w:rPr/>
        <w:t>inequality</w:t>
      </w:r>
      <w:r>
        <w:rPr>
          <w:spacing w:val="-10"/>
        </w:rPr>
        <w:t> </w:t>
      </w:r>
      <w:r>
        <w:rPr/>
        <w:t>is</w:t>
      </w:r>
      <w:r>
        <w:rPr>
          <w:spacing w:val="-5"/>
        </w:rPr>
        <w:t> </w:t>
      </w:r>
      <w:r>
        <w:rPr/>
        <w:t>detrimental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outcomes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also performed satisfactorily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indicated by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diagnostic tests,</w:t>
      </w:r>
      <w:r>
        <w:rPr>
          <w:spacing w:val="-1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p-value</w:t>
      </w:r>
      <w:r>
        <w:rPr>
          <w:spacing w:val="-1"/>
        </w:rPr>
        <w:t> </w:t>
      </w:r>
      <w:r>
        <w:rPr/>
        <w:t>is as low as 0.0000 with high F-statistics of 232.65.</w:t>
      </w:r>
    </w:p>
    <w:p>
      <w:pPr>
        <w:pStyle w:val="BodyText"/>
        <w:spacing w:line="360" w:lineRule="auto" w:before="184"/>
        <w:ind w:left="120" w:right="116"/>
        <w:jc w:val="both"/>
      </w:pPr>
      <w:r>
        <w:rPr/>
        <w:t>The</w:t>
      </w:r>
      <w:r>
        <w:rPr>
          <w:spacing w:val="-5"/>
        </w:rPr>
        <w:t> </w:t>
      </w:r>
      <w:r>
        <w:rPr/>
        <w:t>third</w:t>
      </w:r>
      <w:r>
        <w:rPr>
          <w:spacing w:val="-5"/>
        </w:rPr>
        <w:t> </w:t>
      </w:r>
      <w:r>
        <w:rPr/>
        <w:t>model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Random</w:t>
      </w:r>
      <w:r>
        <w:rPr>
          <w:spacing w:val="-3"/>
        </w:rPr>
        <w:t> </w:t>
      </w:r>
      <w:r>
        <w:rPr/>
        <w:t>Effect</w:t>
      </w:r>
      <w:r>
        <w:rPr>
          <w:spacing w:val="-2"/>
        </w:rPr>
        <w:t> </w:t>
      </w:r>
      <w:r>
        <w:rPr/>
        <w:t>(RE)</w:t>
      </w:r>
      <w:r>
        <w:rPr>
          <w:spacing w:val="-3"/>
        </w:rPr>
        <w:t> </w:t>
      </w:r>
      <w:r>
        <w:rPr/>
        <w:t>estimation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 Table</w:t>
      </w:r>
      <w:r>
        <w:rPr>
          <w:spacing w:val="-3"/>
        </w:rPr>
        <w:t> </w:t>
      </w:r>
      <w:r>
        <w:rPr/>
        <w:t>5.14.</w:t>
      </w:r>
      <w:r>
        <w:rPr>
          <w:spacing w:val="-58"/>
        </w:rPr>
        <w:t> </w:t>
      </w:r>
      <w:r>
        <w:rPr/>
        <w:t>Like POLS and FE models, findings also show that the coefficient of family size is positive and</w:t>
      </w:r>
      <w:r>
        <w:rPr>
          <w:spacing w:val="1"/>
        </w:rPr>
        <w:t> </w:t>
      </w:r>
      <w:r>
        <w:rPr/>
        <w:t>significant. That is, for every addition to the households’ size, illness increases by 0.4%. This</w:t>
      </w:r>
      <w:r>
        <w:rPr>
          <w:spacing w:val="1"/>
        </w:rPr>
        <w:t> </w:t>
      </w:r>
      <w:r>
        <w:rPr/>
        <w:t>means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lesser</w:t>
      </w:r>
      <w:r>
        <w:rPr>
          <w:spacing w:val="-4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cater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family</w:t>
      </w:r>
      <w:r>
        <w:rPr>
          <w:spacing w:val="-10"/>
        </w:rPr>
        <w:t> </w:t>
      </w:r>
      <w:r>
        <w:rPr/>
        <w:t>members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individuals</w:t>
      </w:r>
      <w:r>
        <w:rPr>
          <w:spacing w:val="-57"/>
        </w:rPr>
        <w:t> </w:t>
      </w:r>
      <w:r>
        <w:rPr/>
        <w:t>in the households rise. This is not surprising because, rising household size implies higher needs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constrained</w:t>
      </w:r>
      <w:r>
        <w:rPr>
          <w:spacing w:val="-11"/>
        </w:rPr>
        <w:t> </w:t>
      </w:r>
      <w:r>
        <w:rPr>
          <w:spacing w:val="-1"/>
        </w:rPr>
        <w:t>budget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/>
        <w:t>income</w:t>
      </w:r>
      <w:r>
        <w:rPr>
          <w:spacing w:val="-11"/>
        </w:rPr>
        <w:t> </w:t>
      </w:r>
      <w:r>
        <w:rPr/>
        <w:t>disparity</w:t>
      </w:r>
      <w:r>
        <w:rPr>
          <w:spacing w:val="-17"/>
        </w:rPr>
        <w:t> </w:t>
      </w:r>
      <w:r>
        <w:rPr/>
        <w:t>is</w:t>
      </w:r>
      <w:r>
        <w:rPr>
          <w:spacing w:val="-9"/>
        </w:rPr>
        <w:t> </w:t>
      </w:r>
      <w:r>
        <w:rPr/>
        <w:t>increasing.</w:t>
      </w:r>
      <w:r>
        <w:rPr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/>
        <w:t>tends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worsen</w:t>
      </w:r>
      <w:r>
        <w:rPr>
          <w:spacing w:val="-10"/>
        </w:rPr>
        <w:t> </w:t>
      </w:r>
      <w:r>
        <w:rPr/>
        <w:t>welfare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reduces</w:t>
      </w:r>
      <w:r>
        <w:rPr>
          <w:spacing w:val="-57"/>
        </w:rPr>
        <w:t> </w:t>
      </w:r>
      <w:r>
        <w:rPr/>
        <w:t>ability to obtain health-promoting goods and services. This concurs to the hypothesis by Becker</w:t>
      </w:r>
      <w:r>
        <w:rPr>
          <w:spacing w:val="1"/>
        </w:rPr>
        <w:t> </w:t>
      </w:r>
      <w:r>
        <w:rPr/>
        <w:t>and Lewis (1973) that households with lower family size are more likely to have better health</w:t>
      </w:r>
      <w:r>
        <w:rPr>
          <w:spacing w:val="1"/>
        </w:rPr>
        <w:t> </w:t>
      </w:r>
      <w:r>
        <w:rPr/>
        <w:t>outcomes.</w:t>
      </w:r>
    </w:p>
    <w:p>
      <w:pPr>
        <w:pStyle w:val="BodyText"/>
        <w:spacing w:line="360" w:lineRule="auto" w:before="185"/>
        <w:ind w:left="120" w:right="111"/>
        <w:jc w:val="both"/>
      </w:pPr>
      <w:r>
        <w:rPr/>
        <w:t>The result also shows that hunger and lack of adequate nutritional intake have a higher likelihood</w:t>
      </w:r>
      <w:r>
        <w:rPr>
          <w:spacing w:val="-57"/>
        </w:rPr>
        <w:t> </w:t>
      </w:r>
      <w:r>
        <w:rPr/>
        <w:t>causing poorer health outcomes. For instance, an increase in hunger by 1% increases ill-health by</w:t>
      </w:r>
      <w:r>
        <w:rPr>
          <w:spacing w:val="-57"/>
        </w:rPr>
        <w:t> </w:t>
      </w:r>
      <w:r>
        <w:rPr/>
        <w:t>47%. This is an indication that, hunger causes nutritional deficiency; a situation where body does</w:t>
      </w:r>
      <w:r>
        <w:rPr>
          <w:spacing w:val="-57"/>
        </w:rPr>
        <w:t> </w:t>
      </w:r>
      <w:r>
        <w:rPr/>
        <w:t>not adequately absorb or derive requisite nutrients from food consumed. Hunger also leads to</w:t>
      </w:r>
      <w:r>
        <w:rPr>
          <w:spacing w:val="1"/>
        </w:rPr>
        <w:t> </w:t>
      </w:r>
      <w:r>
        <w:rPr>
          <w:spacing w:val="-1"/>
        </w:rPr>
        <w:t>variety</w:t>
      </w:r>
      <w:r>
        <w:rPr>
          <w:spacing w:val="-22"/>
        </w:rPr>
        <w:t> </w:t>
      </w:r>
      <w:r>
        <w:rPr/>
        <w:t>of</w:t>
      </w:r>
      <w:r>
        <w:rPr>
          <w:spacing w:val="-16"/>
        </w:rPr>
        <w:t> </w:t>
      </w:r>
      <w:r>
        <w:rPr/>
        <w:t>health</w:t>
      </w:r>
      <w:r>
        <w:rPr>
          <w:spacing w:val="-15"/>
        </w:rPr>
        <w:t> </w:t>
      </w:r>
      <w:r>
        <w:rPr/>
        <w:t>issues,</w:t>
      </w:r>
      <w:r>
        <w:rPr>
          <w:spacing w:val="-15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skin</w:t>
      </w:r>
      <w:r>
        <w:rPr>
          <w:spacing w:val="-14"/>
        </w:rPr>
        <w:t> </w:t>
      </w:r>
      <w:r>
        <w:rPr/>
        <w:t>disorders,</w:t>
      </w:r>
      <w:r>
        <w:rPr>
          <w:spacing w:val="-15"/>
        </w:rPr>
        <w:t> </w:t>
      </w:r>
      <w:r>
        <w:rPr/>
        <w:t>stunted</w:t>
      </w:r>
      <w:r>
        <w:rPr>
          <w:spacing w:val="-14"/>
        </w:rPr>
        <w:t> </w:t>
      </w:r>
      <w:r>
        <w:rPr/>
        <w:t>bone</w:t>
      </w:r>
      <w:r>
        <w:rPr>
          <w:spacing w:val="-16"/>
        </w:rPr>
        <w:t> </w:t>
      </w:r>
      <w:r>
        <w:rPr/>
        <w:t>growth,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dementia</w:t>
      </w:r>
      <w:r>
        <w:rPr>
          <w:spacing w:val="-12"/>
        </w:rPr>
        <w:t> </w:t>
      </w:r>
      <w:r>
        <w:rPr/>
        <w:t>–loss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memory</w:t>
      </w:r>
      <w:r>
        <w:rPr>
          <w:spacing w:val="-57"/>
        </w:rPr>
        <w:t> </w:t>
      </w:r>
      <w:r>
        <w:rPr>
          <w:spacing w:val="-1"/>
        </w:rPr>
        <w:t>(WHO,</w:t>
      </w:r>
      <w:r>
        <w:rPr>
          <w:spacing w:val="-12"/>
        </w:rPr>
        <w:t> </w:t>
      </w:r>
      <w:r>
        <w:rPr>
          <w:spacing w:val="-1"/>
        </w:rPr>
        <w:t>2018a).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study</w:t>
      </w:r>
      <w:r>
        <w:rPr>
          <w:spacing w:val="-14"/>
        </w:rPr>
        <w:t> </w:t>
      </w:r>
      <w:r>
        <w:rPr/>
        <w:t>present</w:t>
      </w:r>
      <w:r>
        <w:rPr>
          <w:spacing w:val="-12"/>
        </w:rPr>
        <w:t> </w:t>
      </w:r>
      <w:r>
        <w:rPr/>
        <w:t>evidence</w:t>
      </w:r>
      <w:r>
        <w:rPr>
          <w:spacing w:val="-13"/>
        </w:rPr>
        <w:t> </w:t>
      </w:r>
      <w:r>
        <w:rPr/>
        <w:t>showing</w:t>
      </w:r>
      <w:r>
        <w:rPr>
          <w:spacing w:val="-15"/>
        </w:rPr>
        <w:t> </w:t>
      </w:r>
      <w:r>
        <w:rPr/>
        <w:t>that</w:t>
      </w:r>
      <w:r>
        <w:rPr>
          <w:spacing w:val="-12"/>
        </w:rPr>
        <w:t> </w:t>
      </w:r>
      <w:r>
        <w:rPr/>
        <w:t>consumption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food</w:t>
      </w:r>
      <w:r>
        <w:rPr>
          <w:spacing w:val="-13"/>
        </w:rPr>
        <w:t> </w:t>
      </w:r>
      <w:r>
        <w:rPr/>
        <w:t>rich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carbohydrate</w:t>
      </w:r>
      <w:r>
        <w:rPr>
          <w:spacing w:val="-57"/>
        </w:rPr>
        <w:t> </w:t>
      </w:r>
      <w:r>
        <w:rPr/>
        <w:t>and</w:t>
      </w:r>
      <w:r>
        <w:rPr>
          <w:spacing w:val="-11"/>
        </w:rPr>
        <w:t> </w:t>
      </w:r>
      <w:r>
        <w:rPr/>
        <w:t>proteins</w:t>
      </w:r>
      <w:r>
        <w:rPr>
          <w:spacing w:val="-10"/>
        </w:rPr>
        <w:t> </w:t>
      </w:r>
      <w:r>
        <w:rPr/>
        <w:t>are</w:t>
      </w:r>
      <w:r>
        <w:rPr>
          <w:spacing w:val="-13"/>
        </w:rPr>
        <w:t> </w:t>
      </w:r>
      <w:r>
        <w:rPr/>
        <w:t>important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health</w:t>
      </w:r>
      <w:r>
        <w:rPr>
          <w:spacing w:val="-9"/>
        </w:rPr>
        <w:t> </w:t>
      </w:r>
      <w:r>
        <w:rPr/>
        <w:t>status.</w:t>
      </w:r>
      <w:r>
        <w:rPr>
          <w:spacing w:val="-11"/>
        </w:rPr>
        <w:t> </w:t>
      </w:r>
      <w:r>
        <w:rPr/>
        <w:t>These</w:t>
      </w:r>
      <w:r>
        <w:rPr>
          <w:spacing w:val="-8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consistent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>
          <w:sz w:val="23"/>
        </w:rPr>
        <w:t>Rozer</w:t>
      </w:r>
      <w:r>
        <w:rPr>
          <w:spacing w:val="-10"/>
          <w:sz w:val="23"/>
        </w:rPr>
        <w:t> </w:t>
      </w:r>
      <w:r>
        <w:rPr>
          <w:sz w:val="23"/>
        </w:rPr>
        <w:t>and</w:t>
      </w:r>
      <w:r>
        <w:rPr>
          <w:spacing w:val="-11"/>
          <w:sz w:val="23"/>
        </w:rPr>
        <w:t> </w:t>
      </w:r>
      <w:r>
        <w:rPr>
          <w:sz w:val="23"/>
        </w:rPr>
        <w:t>Kraaykamp</w:t>
      </w:r>
      <w:r>
        <w:rPr>
          <w:spacing w:val="-55"/>
          <w:sz w:val="23"/>
        </w:rPr>
        <w:t> </w:t>
      </w:r>
      <w:r>
        <w:rPr/>
        <w:t>(2012), Wright </w:t>
      </w:r>
      <w:r>
        <w:rPr>
          <w:i/>
        </w:rPr>
        <w:t>et al. </w:t>
      </w:r>
      <w:r>
        <w:rPr/>
        <w:t>(2017) who find that healthy diet helps to fight against type II diabetes and</w:t>
      </w:r>
      <w:r>
        <w:rPr>
          <w:spacing w:val="1"/>
        </w:rPr>
        <w:t> </w:t>
      </w:r>
      <w:r>
        <w:rPr/>
        <w:t>cancer. Also, Food Research and Action (2018) note that healthy diets provide requisite energy</w:t>
      </w:r>
      <w:r>
        <w:rPr>
          <w:spacing w:val="1"/>
        </w:rPr>
        <w:t> </w:t>
      </w:r>
      <w:r>
        <w:rPr/>
        <w:t>and protein that reduce</w:t>
      </w:r>
      <w:r>
        <w:rPr>
          <w:spacing w:val="-1"/>
        </w:rPr>
        <w:t> </w:t>
      </w:r>
      <w:r>
        <w:rPr/>
        <w:t>vulnerability</w:t>
      </w:r>
      <w:r>
        <w:rPr>
          <w:spacing w:val="-5"/>
        </w:rPr>
        <w:t> </w:t>
      </w:r>
      <w:r>
        <w:rPr/>
        <w:t>to chronic</w:t>
      </w:r>
      <w:r>
        <w:rPr>
          <w:spacing w:val="-2"/>
        </w:rPr>
        <w:t> </w:t>
      </w:r>
      <w:r>
        <w:rPr/>
        <w:t>ailments.</w:t>
      </w:r>
    </w:p>
    <w:p>
      <w:pPr>
        <w:pStyle w:val="BodyText"/>
        <w:spacing w:line="360" w:lineRule="auto" w:before="186"/>
        <w:ind w:left="120" w:right="112"/>
        <w:jc w:val="both"/>
      </w:pPr>
      <w:r>
        <w:rPr/>
        <w:t>The estimate of households that possess treated mosquito-net experience healthy outcomes with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likelihood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6%.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result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line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findings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Nuwamanya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</w:t>
      </w:r>
      <w:r>
        <w:rPr>
          <w:i/>
          <w:spacing w:val="-10"/>
        </w:rPr>
        <w:t> </w:t>
      </w:r>
      <w:r>
        <w:rPr/>
        <w:t>(2018)</w:t>
      </w:r>
      <w:r>
        <w:rPr>
          <w:spacing w:val="-12"/>
        </w:rPr>
        <w:t> </w:t>
      </w:r>
      <w:r>
        <w:rPr/>
        <w:t>who</w:t>
      </w:r>
      <w:r>
        <w:rPr>
          <w:spacing w:val="-11"/>
        </w:rPr>
        <w:t> </w:t>
      </w:r>
      <w:r>
        <w:rPr/>
        <w:t>found</w:t>
      </w:r>
      <w:r>
        <w:rPr>
          <w:spacing w:val="-58"/>
        </w:rPr>
        <w:t> </w:t>
      </w:r>
      <w:r>
        <w:rPr/>
        <w:t>that ownership and utilization of long-lasting treated nets significantly reduce the chances of</w:t>
      </w:r>
      <w:r>
        <w:rPr>
          <w:spacing w:val="1"/>
        </w:rPr>
        <w:t> </w:t>
      </w:r>
      <w:r>
        <w:rPr/>
        <w:t>malaria</w:t>
      </w:r>
      <w:r>
        <w:rPr>
          <w:spacing w:val="-3"/>
        </w:rPr>
        <w:t> </w:t>
      </w:r>
      <w:r>
        <w:rPr/>
        <w:t>infection in Mbarara</w:t>
      </w:r>
      <w:r>
        <w:rPr>
          <w:spacing w:val="2"/>
        </w:rPr>
        <w:t> </w:t>
      </w:r>
      <w:r>
        <w:rPr>
          <w:sz w:val="23"/>
        </w:rPr>
        <w:t>Municipality,</w:t>
      </w:r>
      <w:r>
        <w:rPr>
          <w:spacing w:val="4"/>
          <w:sz w:val="23"/>
        </w:rPr>
        <w:t> </w:t>
      </w:r>
      <w:r>
        <w:rPr/>
        <w:t>Uganda.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Heading4"/>
        <w:spacing w:before="77" w:after="3"/>
        <w:ind w:left="107" w:right="108"/>
        <w:jc w:val="center"/>
      </w:pPr>
      <w:r>
        <w:rPr/>
        <w:t>Table</w:t>
      </w:r>
      <w:r>
        <w:rPr>
          <w:spacing w:val="-2"/>
        </w:rPr>
        <w:t> </w:t>
      </w:r>
      <w:r>
        <w:rPr/>
        <w:t>5.15</w:t>
      </w:r>
      <w:r>
        <w:rPr>
          <w:spacing w:val="-1"/>
        </w:rPr>
        <w:t> </w:t>
      </w:r>
      <w:r>
        <w:rPr/>
        <w:t>RANDOM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ESTIMATION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1"/>
        <w:gridCol w:w="2161"/>
        <w:gridCol w:w="1352"/>
        <w:gridCol w:w="1529"/>
      </w:tblGrid>
      <w:tr>
        <w:trPr>
          <w:trHeight w:val="230" w:hRule="atLeast"/>
        </w:trPr>
        <w:tc>
          <w:tcPr>
            <w:tcW w:w="9183" w:type="dxa"/>
            <w:gridSpan w:val="4"/>
          </w:tcPr>
          <w:p>
            <w:pPr>
              <w:pStyle w:val="TableParagraph"/>
              <w:spacing w:line="210" w:lineRule="exact"/>
              <w:ind w:left="2506" w:right="2505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Dependent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Variable: Ill-Health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in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past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four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weeks</w:t>
            </w:r>
          </w:p>
        </w:tc>
      </w:tr>
      <w:tr>
        <w:trPr>
          <w:trHeight w:val="230" w:hRule="atLeast"/>
        </w:trPr>
        <w:tc>
          <w:tcPr>
            <w:tcW w:w="4141" w:type="dxa"/>
          </w:tcPr>
          <w:p>
            <w:pPr>
              <w:pStyle w:val="TableParagraph"/>
              <w:spacing w:line="210" w:lineRule="exact"/>
              <w:ind w:left="1402" w:right="139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VARIABLES</w:t>
            </w:r>
          </w:p>
        </w:tc>
        <w:tc>
          <w:tcPr>
            <w:tcW w:w="2161" w:type="dxa"/>
          </w:tcPr>
          <w:p>
            <w:pPr>
              <w:pStyle w:val="TableParagraph"/>
              <w:spacing w:line="210" w:lineRule="exact"/>
              <w:ind w:left="148" w:right="144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Coefficient</w:t>
            </w:r>
          </w:p>
        </w:tc>
        <w:tc>
          <w:tcPr>
            <w:tcW w:w="1352" w:type="dxa"/>
          </w:tcPr>
          <w:p>
            <w:pPr>
              <w:pStyle w:val="TableParagraph"/>
              <w:spacing w:line="210" w:lineRule="exact"/>
              <w:ind w:left="118" w:right="115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Odd Ratios</w:t>
            </w:r>
          </w:p>
        </w:tc>
        <w:tc>
          <w:tcPr>
            <w:tcW w:w="1529" w:type="dxa"/>
          </w:tcPr>
          <w:p>
            <w:pPr>
              <w:pStyle w:val="TableParagraph"/>
              <w:spacing w:line="210" w:lineRule="exact"/>
              <w:ind w:left="152" w:right="152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Wald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Test</w:t>
            </w:r>
            <w:r>
              <w:rPr>
                <w:rFonts w:ascii="Times New Roman"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(z)</w:t>
            </w:r>
          </w:p>
        </w:tc>
      </w:tr>
      <w:tr>
        <w:trPr>
          <w:trHeight w:val="205" w:hRule="atLeast"/>
        </w:trPr>
        <w:tc>
          <w:tcPr>
            <w:tcW w:w="4141" w:type="dxa"/>
            <w:tcBorders>
              <w:bottom w:val="nil"/>
            </w:tcBorders>
          </w:tcPr>
          <w:p>
            <w:pPr>
              <w:pStyle w:val="TableParagraph"/>
              <w:spacing w:line="185" w:lineRule="exact"/>
              <w:ind w:left="107"/>
              <w:jc w:val="lef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HOUSEHOLD</w:t>
            </w:r>
            <w:r>
              <w:rPr>
                <w:rFonts w:ascii="Times New Roman"/>
                <w:b/>
                <w:i/>
                <w:spacing w:val="-1"/>
                <w:sz w:val="18"/>
              </w:rPr>
              <w:t> </w:t>
            </w:r>
            <w:r>
              <w:rPr>
                <w:rFonts w:ascii="Times New Roman"/>
                <w:b/>
                <w:i/>
                <w:sz w:val="18"/>
              </w:rPr>
              <w:t>CHARACTERISTICS</w:t>
            </w:r>
          </w:p>
        </w:tc>
        <w:tc>
          <w:tcPr>
            <w:tcW w:w="2161" w:type="dxa"/>
            <w:vMerge w:val="restart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0.0040**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(0.0012)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0.0457***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(0.0037)</w:t>
            </w:r>
          </w:p>
          <w:p>
            <w:pPr>
              <w:pStyle w:val="TableParagraph"/>
              <w:spacing w:line="229" w:lineRule="exact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-0.0081**</w:t>
            </w:r>
            <w:r>
              <w:rPr>
                <w:rFonts w:ascii="Times New Roman"/>
                <w:b/>
                <w:spacing w:val="-6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(0.0041)</w:t>
            </w:r>
          </w:p>
          <w:p>
            <w:pPr>
              <w:pStyle w:val="TableParagraph"/>
              <w:spacing w:before="1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-0.0464***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(0.0035)</w:t>
            </w:r>
          </w:p>
          <w:p>
            <w:pPr>
              <w:pStyle w:val="TableParagraph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-0.1836***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(0.0033)</w:t>
            </w:r>
          </w:p>
          <w:p>
            <w:pPr>
              <w:pStyle w:val="TableParagraph"/>
              <w:spacing w:line="228" w:lineRule="exact" w:before="1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-0.0149***</w:t>
            </w:r>
            <w:r>
              <w:rPr>
                <w:rFonts w:ascii="Times New Roman"/>
                <w:b/>
                <w:spacing w:val="-6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(0.0039)</w:t>
            </w:r>
          </w:p>
          <w:p>
            <w:pPr>
              <w:pStyle w:val="TableParagraph"/>
              <w:spacing w:line="228" w:lineRule="exact"/>
              <w:ind w:left="150" w:right="1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-0.0001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(0.0001)</w:t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0.1456***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(0.0034)</w:t>
            </w:r>
          </w:p>
          <w:p>
            <w:pPr>
              <w:pStyle w:val="TableParagraph"/>
              <w:spacing w:line="228" w:lineRule="exact"/>
              <w:ind w:left="148" w:right="1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0.0005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(0.0012)</w:t>
            </w:r>
          </w:p>
          <w:p>
            <w:pPr>
              <w:pStyle w:val="TableParagraph"/>
              <w:spacing w:before="6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-0.0257***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(0.0033)</w:t>
            </w:r>
          </w:p>
          <w:p>
            <w:pPr>
              <w:pStyle w:val="TableParagraph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-0.0913***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(0.0054)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-0.0609***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(0.0047)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-0.0084***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(0.0023)</w:t>
            </w:r>
          </w:p>
          <w:p>
            <w:pPr>
              <w:pStyle w:val="TableParagraph"/>
              <w:spacing w:line="228" w:lineRule="exact"/>
              <w:ind w:left="148" w:right="1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0.0036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(0.0020)</w:t>
            </w: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28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0.0282***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(0.0051)</w:t>
            </w:r>
          </w:p>
          <w:p>
            <w:pPr>
              <w:pStyle w:val="TableParagraph"/>
              <w:spacing w:line="229" w:lineRule="exact"/>
              <w:ind w:left="25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-0.0299***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(0.0011)</w:t>
            </w:r>
          </w:p>
          <w:p>
            <w:pPr>
              <w:pStyle w:val="TableParagraph"/>
              <w:spacing w:before="1"/>
              <w:ind w:left="25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-0.0040***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(0.0010)</w:t>
            </w:r>
          </w:p>
          <w:p>
            <w:pPr>
              <w:pStyle w:val="TableParagraph"/>
              <w:ind w:left="28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0.1413***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(0.0036)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53" w:right="14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0.0275***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(0.0034)</w:t>
            </w:r>
          </w:p>
          <w:p>
            <w:pPr>
              <w:pStyle w:val="TableParagraph"/>
              <w:spacing w:line="227" w:lineRule="exact" w:before="1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-0.0284***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(0.0033)</w:t>
            </w:r>
          </w:p>
          <w:p>
            <w:pPr>
              <w:pStyle w:val="TableParagraph"/>
              <w:spacing w:line="227" w:lineRule="exact"/>
              <w:ind w:left="150" w:right="1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-0.0005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(0.0004)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50" w:right="1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-0.0003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(0.0001)</w:t>
            </w:r>
          </w:p>
          <w:p>
            <w:pPr>
              <w:pStyle w:val="TableParagraph"/>
              <w:spacing w:before="5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0.0372***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(0.0047)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ind w:left="148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-0.0188***</w:t>
            </w:r>
            <w:r>
              <w:rPr>
                <w:rFonts w:asci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(0.0025)</w:t>
            </w:r>
          </w:p>
          <w:p>
            <w:pPr>
              <w:pStyle w:val="TableParagraph"/>
              <w:spacing w:line="214" w:lineRule="exact"/>
              <w:ind w:left="150" w:right="1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-0.0004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(0.0013)</w:t>
            </w:r>
          </w:p>
        </w:tc>
        <w:tc>
          <w:tcPr>
            <w:tcW w:w="1352" w:type="dxa"/>
            <w:vMerge w:val="restart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1.0040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1.0468</w:t>
            </w:r>
          </w:p>
          <w:p>
            <w:pPr>
              <w:pStyle w:val="TableParagraph"/>
              <w:spacing w:line="229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0.9919</w:t>
            </w:r>
          </w:p>
          <w:p>
            <w:pPr>
              <w:pStyle w:val="TableParagraph"/>
              <w:spacing w:before="1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0.9547</w:t>
            </w:r>
          </w:p>
          <w:p>
            <w:pPr>
              <w:pStyle w:val="TableParagraph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0.8323</w:t>
            </w:r>
          </w:p>
          <w:p>
            <w:pPr>
              <w:pStyle w:val="TableParagraph"/>
              <w:spacing w:line="228" w:lineRule="exact" w:before="1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0.9852</w:t>
            </w:r>
          </w:p>
          <w:p>
            <w:pPr>
              <w:pStyle w:val="TableParagraph"/>
              <w:spacing w:line="228" w:lineRule="exact"/>
              <w:ind w:left="3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0.9999</w:t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1.1567</w:t>
            </w:r>
          </w:p>
          <w:p>
            <w:pPr>
              <w:pStyle w:val="TableParagraph"/>
              <w:spacing w:line="228" w:lineRule="exact"/>
              <w:ind w:left="3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1.0005</w:t>
            </w:r>
          </w:p>
          <w:p>
            <w:pPr>
              <w:pStyle w:val="TableParagraph"/>
              <w:spacing w:before="6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0.9746</w:t>
            </w:r>
          </w:p>
          <w:p>
            <w:pPr>
              <w:pStyle w:val="TableParagraph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0.9127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0.9409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0.9916</w:t>
            </w:r>
          </w:p>
          <w:p>
            <w:pPr>
              <w:pStyle w:val="TableParagraph"/>
              <w:spacing w:line="228" w:lineRule="exact"/>
              <w:ind w:left="3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1.0036</w:t>
            </w: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1.0286</w:t>
            </w:r>
          </w:p>
          <w:p>
            <w:pPr>
              <w:pStyle w:val="TableParagraph"/>
              <w:spacing w:line="229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0.9705</w:t>
            </w:r>
          </w:p>
          <w:p>
            <w:pPr>
              <w:pStyle w:val="TableParagraph"/>
              <w:spacing w:before="1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0.9960</w:t>
            </w:r>
          </w:p>
          <w:p>
            <w:pPr>
              <w:pStyle w:val="TableParagraph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1.1518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1.0279</w:t>
            </w:r>
          </w:p>
          <w:p>
            <w:pPr>
              <w:pStyle w:val="TableParagraph"/>
              <w:spacing w:line="227" w:lineRule="exact" w:before="1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0.9720</w:t>
            </w:r>
          </w:p>
          <w:p>
            <w:pPr>
              <w:pStyle w:val="TableParagraph"/>
              <w:spacing w:line="227" w:lineRule="exact"/>
              <w:ind w:left="3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0.9995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0.9997</w:t>
            </w:r>
          </w:p>
          <w:p>
            <w:pPr>
              <w:pStyle w:val="TableParagraph"/>
              <w:spacing w:before="5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1.0379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ind w:left="39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0.9814</w:t>
            </w:r>
          </w:p>
          <w:p>
            <w:pPr>
              <w:pStyle w:val="TableParagraph"/>
              <w:spacing w:line="214" w:lineRule="exact"/>
              <w:ind w:left="3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0.9996</w:t>
            </w:r>
          </w:p>
        </w:tc>
        <w:tc>
          <w:tcPr>
            <w:tcW w:w="1529" w:type="dxa"/>
            <w:vMerge w:val="restart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3.21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12.52</w:t>
            </w:r>
          </w:p>
          <w:p>
            <w:pPr>
              <w:pStyle w:val="TableParagraph"/>
              <w:spacing w:line="229" w:lineRule="exact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-1.97</w:t>
            </w:r>
          </w:p>
          <w:p>
            <w:pPr>
              <w:pStyle w:val="TableParagraph"/>
              <w:spacing w:before="1"/>
              <w:ind w:left="482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-13.11</w:t>
            </w:r>
          </w:p>
          <w:p>
            <w:pPr>
              <w:pStyle w:val="TableParagraph"/>
              <w:ind w:left="482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-55.72</w:t>
            </w:r>
          </w:p>
          <w:p>
            <w:pPr>
              <w:pStyle w:val="TableParagraph"/>
              <w:spacing w:line="228" w:lineRule="exact" w:before="1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-3.82</w:t>
            </w:r>
          </w:p>
          <w:p>
            <w:pPr>
              <w:pStyle w:val="TableParagraph"/>
              <w:spacing w:line="228" w:lineRule="exact"/>
              <w:ind w:left="480" w:right="4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-1.30</w:t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43.43</w:t>
            </w:r>
          </w:p>
          <w:p>
            <w:pPr>
              <w:pStyle w:val="TableParagraph"/>
              <w:spacing w:line="228" w:lineRule="exact"/>
              <w:ind w:left="480" w:right="4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0.42</w:t>
            </w:r>
          </w:p>
          <w:p>
            <w:pPr>
              <w:pStyle w:val="TableParagraph"/>
              <w:spacing w:before="6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-7.74</w:t>
            </w:r>
          </w:p>
          <w:p>
            <w:pPr>
              <w:pStyle w:val="TableParagraph"/>
              <w:ind w:left="482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-16.79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82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-13.00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-3.73</w:t>
            </w:r>
          </w:p>
          <w:p>
            <w:pPr>
              <w:pStyle w:val="TableParagraph"/>
              <w:spacing w:line="228" w:lineRule="exact"/>
              <w:ind w:left="480" w:right="4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1.82</w:t>
            </w:r>
          </w:p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5.56</w:t>
            </w:r>
          </w:p>
          <w:p>
            <w:pPr>
              <w:pStyle w:val="TableParagraph"/>
              <w:spacing w:line="229" w:lineRule="exact"/>
              <w:ind w:left="482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-28.24</w:t>
            </w:r>
          </w:p>
          <w:p>
            <w:pPr>
              <w:pStyle w:val="TableParagraph"/>
              <w:spacing w:before="1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-3.96</w:t>
            </w:r>
          </w:p>
          <w:p>
            <w:pPr>
              <w:pStyle w:val="TableParagraph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38.99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8.09</w:t>
            </w:r>
          </w:p>
          <w:p>
            <w:pPr>
              <w:pStyle w:val="TableParagraph"/>
              <w:spacing w:line="227" w:lineRule="exact" w:before="1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-8.73</w:t>
            </w:r>
          </w:p>
          <w:p>
            <w:pPr>
              <w:pStyle w:val="TableParagraph"/>
              <w:spacing w:line="227" w:lineRule="exact"/>
              <w:ind w:left="480" w:right="4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-1.03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80" w:right="4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-0.33</w:t>
            </w:r>
          </w:p>
          <w:p>
            <w:pPr>
              <w:pStyle w:val="TableParagraph"/>
              <w:spacing w:before="5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7.92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7" w:lineRule="exact"/>
              <w:ind w:left="480" w:right="4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-7.42</w:t>
            </w:r>
          </w:p>
          <w:p>
            <w:pPr>
              <w:pStyle w:val="TableParagraph"/>
              <w:spacing w:line="214" w:lineRule="exact"/>
              <w:ind w:left="480" w:right="4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-0.31</w:t>
            </w: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Family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Size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Food,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Diet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and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Calories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Hunger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Food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Gari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Rice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Yam,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Cassava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Maize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Flour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Beans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Meat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Fish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Highest</w:t>
            </w:r>
            <w:r>
              <w:rPr>
                <w:rFonts w:ascii="Times New Roman"/>
                <w:b/>
                <w:i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Education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Primary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Education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Secondary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Education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Tertiary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Material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Mosquito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Possession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Access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to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Electricity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Drinkable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Water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Access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Pipe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Borne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Water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Borehole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Well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Water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River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Spring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Toilet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and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Sanitation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Water 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Modern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Toilet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Pit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Latrine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Unhealthy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Lifestyle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Alcoholic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Consumption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Self-Medication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illness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Health-Seeking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Behaviour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Seeking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Healthcare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4141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Others</w:t>
            </w:r>
          </w:p>
        </w:tc>
        <w:tc>
          <w:tcPr>
            <w:tcW w:w="2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8" w:hRule="atLeast"/>
        </w:trPr>
        <w:tc>
          <w:tcPr>
            <w:tcW w:w="4141" w:type="dxa"/>
          </w:tcPr>
          <w:p>
            <w:pPr>
              <w:pStyle w:val="TableParagraph"/>
              <w:spacing w:line="215" w:lineRule="exact"/>
              <w:ind w:left="107"/>
              <w:jc w:val="left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HOUSEHOLDS’</w:t>
            </w:r>
            <w:r>
              <w:rPr>
                <w:rFonts w:ascii="Times New Roman" w:hAnsi="Times New Roman"/>
                <w:b/>
                <w:spacing w:val="-7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TOTAL</w:t>
            </w:r>
            <w:r>
              <w:rPr>
                <w:rFonts w:ascii="Times New Roman" w:hAnsi="Times New Roman"/>
                <w:b/>
                <w:spacing w:val="-6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INCOME</w:t>
            </w:r>
          </w:p>
          <w:p>
            <w:pPr>
              <w:pStyle w:val="TableParagraph"/>
              <w:ind w:left="107" w:right="1666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Wages and Salaries Incomes</w:t>
            </w:r>
            <w:r>
              <w:rPr>
                <w:rFonts w:ascii="Times New Roman"/>
                <w:spacing w:val="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Business</w:t>
            </w:r>
            <w:r>
              <w:rPr>
                <w:rFonts w:ascii="Times New Roman"/>
                <w:spacing w:val="-6"/>
                <w:sz w:val="19"/>
              </w:rPr>
              <w:t> </w:t>
            </w:r>
            <w:r>
              <w:rPr>
                <w:rFonts w:ascii="Times New Roman"/>
                <w:sz w:val="19"/>
              </w:rPr>
              <w:t>Enterprises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or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Trades</w:t>
            </w:r>
            <w:r>
              <w:rPr>
                <w:rFonts w:ascii="Times New Roman"/>
                <w:spacing w:val="-4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Farming or Livestock Incomes</w:t>
            </w:r>
            <w:r>
              <w:rPr>
                <w:rFonts w:ascii="Times New Roman"/>
                <w:spacing w:val="-4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Remittances</w:t>
            </w:r>
          </w:p>
          <w:p>
            <w:pPr>
              <w:pStyle w:val="TableParagraph"/>
              <w:spacing w:before="1"/>
              <w:ind w:left="107" w:right="1717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1"/>
                <w:sz w:val="19"/>
              </w:rPr>
              <w:t>Monetary </w:t>
            </w:r>
            <w:r>
              <w:rPr>
                <w:rFonts w:ascii="Times New Roman"/>
                <w:sz w:val="19"/>
              </w:rPr>
              <w:t>Transfer/Assistance</w:t>
            </w:r>
            <w:r>
              <w:rPr>
                <w:rFonts w:ascii="Times New Roman"/>
                <w:spacing w:val="-45"/>
                <w:sz w:val="19"/>
              </w:rPr>
              <w:t> </w:t>
            </w:r>
            <w:r>
              <w:rPr>
                <w:rFonts w:ascii="Times New Roman"/>
                <w:sz w:val="19"/>
              </w:rPr>
              <w:t>Pensions</w:t>
            </w:r>
            <w:r>
              <w:rPr>
                <w:rFonts w:ascii="Times New Roman"/>
                <w:spacing w:val="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and</w:t>
            </w:r>
            <w:r>
              <w:rPr>
                <w:rFonts w:ascii="Times New Roman"/>
                <w:spacing w:val="47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Grants</w:t>
            </w:r>
            <w:r>
              <w:rPr>
                <w:rFonts w:ascii="Times New Roman"/>
                <w:spacing w:val="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Dividend</w:t>
            </w:r>
            <w:r>
              <w:rPr>
                <w:rFonts w:ascii="Times New Roman"/>
                <w:spacing w:val="-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from</w:t>
            </w:r>
            <w:r>
              <w:rPr>
                <w:rFonts w:ascii="Times New Roman"/>
                <w:spacing w:val="-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Investment</w:t>
            </w:r>
          </w:p>
          <w:p>
            <w:pPr>
              <w:pStyle w:val="TableParagraph"/>
              <w:spacing w:line="203" w:lineRule="exact"/>
              <w:ind w:left="107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Income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from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Properties</w:t>
            </w:r>
            <w:r>
              <w:rPr>
                <w:rFonts w:ascii="Times New Roman"/>
                <w:spacing w:val="-3"/>
                <w:sz w:val="19"/>
              </w:rPr>
              <w:t> </w:t>
            </w:r>
            <w:r>
              <w:rPr>
                <w:rFonts w:ascii="Times New Roman"/>
                <w:sz w:val="19"/>
              </w:rPr>
              <w:t>Owned</w:t>
            </w:r>
          </w:p>
        </w:tc>
        <w:tc>
          <w:tcPr>
            <w:tcW w:w="216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149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-0.0124***</w:t>
            </w:r>
            <w:r>
              <w:rPr>
                <w:rFonts w:ascii="Times New Roman"/>
                <w:b/>
                <w:spacing w:val="-5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(0.0009)</w:t>
            </w:r>
          </w:p>
          <w:p>
            <w:pPr>
              <w:pStyle w:val="TableParagraph"/>
              <w:ind w:left="149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-0.0024**</w:t>
            </w:r>
            <w:r>
              <w:rPr>
                <w:rFonts w:ascii="Times New Roman"/>
                <w:b/>
                <w:spacing w:val="-5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(0.0007)</w:t>
            </w:r>
          </w:p>
          <w:p>
            <w:pPr>
              <w:pStyle w:val="TableParagraph"/>
              <w:spacing w:line="217" w:lineRule="exact"/>
              <w:ind w:left="149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-0.0425***</w:t>
            </w:r>
            <w:r>
              <w:rPr>
                <w:rFonts w:ascii="Times New Roman"/>
                <w:b/>
                <w:spacing w:val="-5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(0.0039)</w:t>
            </w:r>
          </w:p>
          <w:p>
            <w:pPr>
              <w:pStyle w:val="TableParagraph"/>
              <w:spacing w:line="217" w:lineRule="exact"/>
              <w:ind w:left="152" w:right="14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-0.0027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(0.0021)</w:t>
            </w:r>
          </w:p>
          <w:p>
            <w:pPr>
              <w:pStyle w:val="TableParagraph"/>
              <w:spacing w:line="217" w:lineRule="exact" w:before="4"/>
              <w:ind w:left="149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-0.0219***</w:t>
            </w:r>
            <w:r>
              <w:rPr>
                <w:rFonts w:ascii="Times New Roman"/>
                <w:b/>
                <w:spacing w:val="-5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(0.0045)</w:t>
            </w:r>
          </w:p>
          <w:p>
            <w:pPr>
              <w:pStyle w:val="TableParagraph"/>
              <w:spacing w:line="217" w:lineRule="exact"/>
              <w:ind w:left="152" w:right="14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0.0009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(0.0041)</w:t>
            </w:r>
          </w:p>
          <w:p>
            <w:pPr>
              <w:pStyle w:val="TableParagraph"/>
              <w:spacing w:before="3"/>
              <w:ind w:left="150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0.0142*</w:t>
            </w:r>
            <w:r>
              <w:rPr>
                <w:rFonts w:ascii="Times New Roman"/>
                <w:b/>
                <w:spacing w:val="-11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(0.0078)</w:t>
            </w:r>
          </w:p>
          <w:p>
            <w:pPr>
              <w:pStyle w:val="TableParagraph"/>
              <w:spacing w:line="200" w:lineRule="exact"/>
              <w:ind w:left="152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-0.0014*</w:t>
            </w:r>
            <w:r>
              <w:rPr>
                <w:rFonts w:ascii="Times New Roman"/>
                <w:b/>
                <w:spacing w:val="-10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(0.0009)</w:t>
            </w:r>
          </w:p>
        </w:tc>
        <w:tc>
          <w:tcPr>
            <w:tcW w:w="1352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411"/>
              <w:jc w:val="lef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0.9877</w:t>
            </w:r>
          </w:p>
          <w:p>
            <w:pPr>
              <w:pStyle w:val="TableParagraph"/>
              <w:ind w:left="411"/>
              <w:jc w:val="lef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0.9976</w:t>
            </w:r>
          </w:p>
          <w:p>
            <w:pPr>
              <w:pStyle w:val="TableParagraph"/>
              <w:spacing w:line="217" w:lineRule="exact"/>
              <w:ind w:left="411"/>
              <w:jc w:val="lef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0.9584</w:t>
            </w:r>
          </w:p>
          <w:p>
            <w:pPr>
              <w:pStyle w:val="TableParagraph"/>
              <w:spacing w:line="217" w:lineRule="exact"/>
              <w:ind w:left="411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0.9973</w:t>
            </w:r>
          </w:p>
          <w:p>
            <w:pPr>
              <w:pStyle w:val="TableParagraph"/>
              <w:spacing w:line="217" w:lineRule="exact" w:before="4"/>
              <w:ind w:left="411"/>
              <w:jc w:val="lef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0.9783</w:t>
            </w:r>
          </w:p>
          <w:p>
            <w:pPr>
              <w:pStyle w:val="TableParagraph"/>
              <w:spacing w:line="217" w:lineRule="exact"/>
              <w:ind w:left="411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1.0001</w:t>
            </w:r>
          </w:p>
          <w:p>
            <w:pPr>
              <w:pStyle w:val="TableParagraph"/>
              <w:spacing w:before="3"/>
              <w:ind w:left="411"/>
              <w:jc w:val="lef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1.0143</w:t>
            </w:r>
          </w:p>
          <w:p>
            <w:pPr>
              <w:pStyle w:val="TableParagraph"/>
              <w:spacing w:line="200" w:lineRule="exact"/>
              <w:ind w:left="411"/>
              <w:jc w:val="lef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0.9986</w:t>
            </w:r>
          </w:p>
        </w:tc>
        <w:tc>
          <w:tcPr>
            <w:tcW w:w="152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154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-13.25</w:t>
            </w:r>
          </w:p>
          <w:p>
            <w:pPr>
              <w:pStyle w:val="TableParagraph"/>
              <w:ind w:left="154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-3.34</w:t>
            </w:r>
          </w:p>
          <w:p>
            <w:pPr>
              <w:pStyle w:val="TableParagraph"/>
              <w:spacing w:line="217" w:lineRule="exact"/>
              <w:ind w:left="154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-10.78</w:t>
            </w:r>
          </w:p>
          <w:p>
            <w:pPr>
              <w:pStyle w:val="TableParagraph"/>
              <w:spacing w:line="217" w:lineRule="exact"/>
              <w:ind w:left="154" w:right="15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-1.29</w:t>
            </w:r>
          </w:p>
          <w:p>
            <w:pPr>
              <w:pStyle w:val="TableParagraph"/>
              <w:spacing w:line="217" w:lineRule="exact" w:before="4"/>
              <w:ind w:left="154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-4.86</w:t>
            </w:r>
          </w:p>
          <w:p>
            <w:pPr>
              <w:pStyle w:val="TableParagraph"/>
              <w:spacing w:line="217" w:lineRule="exact"/>
              <w:ind w:left="154" w:right="15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0.21</w:t>
            </w:r>
          </w:p>
          <w:p>
            <w:pPr>
              <w:pStyle w:val="TableParagraph"/>
              <w:spacing w:before="3"/>
              <w:ind w:left="154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1.83</w:t>
            </w:r>
          </w:p>
          <w:p>
            <w:pPr>
              <w:pStyle w:val="TableParagraph"/>
              <w:spacing w:line="200" w:lineRule="exact"/>
              <w:ind w:left="154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-1.64</w:t>
            </w:r>
          </w:p>
        </w:tc>
      </w:tr>
      <w:tr>
        <w:trPr>
          <w:trHeight w:val="458" w:hRule="atLeast"/>
        </w:trPr>
        <w:tc>
          <w:tcPr>
            <w:tcW w:w="4141" w:type="dxa"/>
          </w:tcPr>
          <w:p>
            <w:pPr>
              <w:pStyle w:val="TableParagraph"/>
              <w:spacing w:line="203" w:lineRule="exact"/>
              <w:ind w:left="107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INCOME</w:t>
            </w:r>
            <w:r>
              <w:rPr>
                <w:rFonts w:ascii="Times New Roman"/>
                <w:b/>
                <w:spacing w:val="-2"/>
                <w:sz w:val="18"/>
              </w:rPr>
              <w:t> </w:t>
            </w:r>
            <w:r>
              <w:rPr>
                <w:rFonts w:ascii="Times New Roman"/>
                <w:b/>
                <w:sz w:val="18"/>
              </w:rPr>
              <w:t>INEQUALITY</w:t>
            </w:r>
          </w:p>
          <w:p>
            <w:pPr>
              <w:pStyle w:val="TableParagraph"/>
              <w:spacing w:line="226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Gini-Coefficient</w:t>
            </w:r>
          </w:p>
        </w:tc>
        <w:tc>
          <w:tcPr>
            <w:tcW w:w="216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50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0.0136***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(0.0032)</w:t>
            </w:r>
          </w:p>
        </w:tc>
        <w:tc>
          <w:tcPr>
            <w:tcW w:w="1352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17" w:right="11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1.0137</w:t>
            </w:r>
          </w:p>
        </w:tc>
        <w:tc>
          <w:tcPr>
            <w:tcW w:w="152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52" w:right="15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4.18</w:t>
            </w:r>
          </w:p>
        </w:tc>
      </w:tr>
      <w:tr>
        <w:trPr>
          <w:trHeight w:val="221" w:hRule="atLeast"/>
        </w:trPr>
        <w:tc>
          <w:tcPr>
            <w:tcW w:w="4141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jc w:val="lef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Constant</w:t>
            </w:r>
            <w:r>
              <w:rPr>
                <w:rFonts w:ascii="Times New Roman" w:hAnsi="Times New Roman"/>
                <w:spacing w:val="-3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(α)</w:t>
            </w:r>
          </w:p>
        </w:tc>
        <w:tc>
          <w:tcPr>
            <w:tcW w:w="2161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47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0.4612***</w:t>
            </w:r>
            <w:r>
              <w:rPr>
                <w:rFonts w:ascii="Times New Roman"/>
                <w:b/>
                <w:spacing w:val="-6"/>
                <w:sz w:val="19"/>
              </w:rPr>
              <w:t> </w:t>
            </w:r>
            <w:r>
              <w:rPr>
                <w:rFonts w:ascii="Times New Roman"/>
                <w:b/>
                <w:sz w:val="19"/>
              </w:rPr>
              <w:t>(0.0160)</w:t>
            </w:r>
          </w:p>
        </w:tc>
        <w:tc>
          <w:tcPr>
            <w:tcW w:w="1352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19" w:right="115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1.5860</w:t>
            </w:r>
          </w:p>
        </w:tc>
        <w:tc>
          <w:tcPr>
            <w:tcW w:w="1529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52" w:right="15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28.80</w:t>
            </w: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Pseudo</w:t>
            </w:r>
            <w:r>
              <w:rPr>
                <w:rFonts w:ascii="Times New Roman"/>
                <w:spacing w:val="-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R</w:t>
            </w:r>
            <w:r>
              <w:rPr>
                <w:rFonts w:ascii="Times New Roman"/>
                <w:sz w:val="19"/>
                <w:vertAlign w:val="superscript"/>
              </w:rPr>
              <w:t>2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52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0.1041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Wald</w:t>
            </w:r>
            <w:r>
              <w:rPr>
                <w:rFonts w:ascii="Times New Roman"/>
                <w:spacing w:val="-1"/>
                <w:sz w:val="19"/>
              </w:rPr>
              <w:t> </w:t>
            </w:r>
            <w:r>
              <w:rPr>
                <w:rFonts w:ascii="Times New Roman"/>
                <w:sz w:val="19"/>
              </w:rPr>
              <w:t>chi</w:t>
            </w:r>
            <w:r>
              <w:rPr>
                <w:rFonts w:ascii="Times New Roman"/>
                <w:sz w:val="19"/>
                <w:vertAlign w:val="superscript"/>
              </w:rPr>
              <w:t>2</w:t>
            </w:r>
            <w:r>
              <w:rPr>
                <w:rFonts w:ascii="Times New Roman"/>
                <w:spacing w:val="-2"/>
                <w:sz w:val="19"/>
                <w:vertAlign w:val="baseline"/>
              </w:rPr>
              <w:t> </w:t>
            </w:r>
            <w:r>
              <w:rPr>
                <w:rFonts w:ascii="Times New Roman"/>
                <w:sz w:val="19"/>
                <w:vertAlign w:val="baseline"/>
              </w:rPr>
              <w:t>(34)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52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7,996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jc w:val="lef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Prob</w:t>
            </w:r>
            <w:r>
              <w:rPr>
                <w:rFonts w:ascii="Times New Roman" w:hAnsi="Times New Roman"/>
                <w:spacing w:val="-1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˃Chi</w:t>
            </w:r>
            <w:r>
              <w:rPr>
                <w:rFonts w:ascii="Times New Roman" w:hAnsi="Times New Roman"/>
                <w:sz w:val="19"/>
                <w:vertAlign w:val="superscript"/>
              </w:rPr>
              <w:t>2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52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0.0000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Number</w:t>
            </w:r>
            <w:r>
              <w:rPr>
                <w:rFonts w:ascii="Times New Roman"/>
                <w:spacing w:val="-4"/>
                <w:sz w:val="19"/>
              </w:rPr>
              <w:t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2"/>
                <w:sz w:val="19"/>
              </w:rPr>
              <w:t> </w:t>
            </w:r>
            <w:r>
              <w:rPr>
                <w:rFonts w:ascii="Times New Roman"/>
                <w:sz w:val="19"/>
              </w:rPr>
              <w:t>groups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52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37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4141" w:type="dxa"/>
            <w:tcBorders>
              <w:top w:val="nil"/>
            </w:tcBorders>
          </w:tcPr>
          <w:p>
            <w:pPr>
              <w:pStyle w:val="TableParagraph"/>
              <w:spacing w:line="197" w:lineRule="exact"/>
              <w:ind w:left="107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Observations</w:t>
            </w:r>
          </w:p>
        </w:tc>
        <w:tc>
          <w:tcPr>
            <w:tcW w:w="2161" w:type="dxa"/>
            <w:tcBorders>
              <w:top w:val="nil"/>
            </w:tcBorders>
          </w:tcPr>
          <w:p>
            <w:pPr>
              <w:pStyle w:val="TableParagraph"/>
              <w:spacing w:line="197" w:lineRule="exact"/>
              <w:ind w:left="152" w:right="144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71,410</w:t>
            </w:r>
          </w:p>
        </w:tc>
        <w:tc>
          <w:tcPr>
            <w:tcW w:w="1352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before="0"/>
        <w:ind w:left="120" w:right="0" w:firstLine="0"/>
        <w:jc w:val="left"/>
        <w:rPr>
          <w:sz w:val="14"/>
        </w:rPr>
      </w:pPr>
      <w:r>
        <w:rPr>
          <w:sz w:val="14"/>
        </w:rPr>
        <w:t>NOTE:</w:t>
      </w:r>
      <w:r>
        <w:rPr>
          <w:spacing w:val="-4"/>
          <w:sz w:val="14"/>
        </w:rPr>
        <w:t> </w:t>
      </w:r>
      <w:r>
        <w:rPr>
          <w:sz w:val="14"/>
        </w:rPr>
        <w:t>1.</w:t>
      </w:r>
      <w:r>
        <w:rPr>
          <w:spacing w:val="2"/>
          <w:sz w:val="14"/>
        </w:rPr>
        <w:t> </w:t>
      </w:r>
      <w:r>
        <w:rPr>
          <w:sz w:val="14"/>
        </w:rPr>
        <w:t>*Significant</w:t>
      </w:r>
      <w:r>
        <w:rPr>
          <w:spacing w:val="-2"/>
          <w:sz w:val="14"/>
        </w:rPr>
        <w:t> </w:t>
      </w:r>
      <w:r>
        <w:rPr>
          <w:sz w:val="14"/>
        </w:rPr>
        <w:t>at</w:t>
      </w:r>
      <w:r>
        <w:rPr>
          <w:spacing w:val="-1"/>
          <w:sz w:val="14"/>
        </w:rPr>
        <w:t> </w:t>
      </w:r>
      <w:r>
        <w:rPr>
          <w:sz w:val="14"/>
        </w:rPr>
        <w:t>10%,</w:t>
      </w:r>
      <w:r>
        <w:rPr>
          <w:spacing w:val="2"/>
          <w:sz w:val="14"/>
        </w:rPr>
        <w:t> </w:t>
      </w:r>
      <w:r>
        <w:rPr>
          <w:sz w:val="14"/>
        </w:rPr>
        <w:t>**</w:t>
      </w:r>
      <w:r>
        <w:rPr>
          <w:spacing w:val="-6"/>
          <w:sz w:val="14"/>
        </w:rPr>
        <w:t> </w:t>
      </w:r>
      <w:r>
        <w:rPr>
          <w:sz w:val="14"/>
        </w:rPr>
        <w:t>significant</w:t>
      </w:r>
      <w:r>
        <w:rPr>
          <w:spacing w:val="-1"/>
          <w:sz w:val="14"/>
        </w:rPr>
        <w:t> </w:t>
      </w:r>
      <w:r>
        <w:rPr>
          <w:sz w:val="14"/>
        </w:rPr>
        <w:t>at</w:t>
      </w:r>
      <w:r>
        <w:rPr>
          <w:spacing w:val="-2"/>
          <w:sz w:val="14"/>
        </w:rPr>
        <w:t> </w:t>
      </w:r>
      <w:r>
        <w:rPr>
          <w:sz w:val="14"/>
        </w:rPr>
        <w:t>5%</w:t>
      </w:r>
      <w:r>
        <w:rPr>
          <w:spacing w:val="-2"/>
          <w:sz w:val="14"/>
        </w:rPr>
        <w:t> </w:t>
      </w:r>
      <w:r>
        <w:rPr>
          <w:sz w:val="14"/>
        </w:rPr>
        <w:t>and</w:t>
      </w:r>
      <w:r>
        <w:rPr>
          <w:spacing w:val="1"/>
          <w:sz w:val="14"/>
        </w:rPr>
        <w:t> </w:t>
      </w:r>
      <w:r>
        <w:rPr>
          <w:sz w:val="14"/>
        </w:rPr>
        <w:t>***</w:t>
      </w:r>
      <w:r>
        <w:rPr>
          <w:spacing w:val="-3"/>
          <w:sz w:val="14"/>
        </w:rPr>
        <w:t> </w:t>
      </w:r>
      <w:r>
        <w:rPr>
          <w:sz w:val="14"/>
        </w:rPr>
        <w:t>significant</w:t>
      </w:r>
      <w:r>
        <w:rPr>
          <w:spacing w:val="-2"/>
          <w:sz w:val="14"/>
        </w:rPr>
        <w:t> </w:t>
      </w:r>
      <w:r>
        <w:rPr>
          <w:sz w:val="14"/>
        </w:rPr>
        <w:t>at</w:t>
      </w:r>
      <w:r>
        <w:rPr>
          <w:spacing w:val="-2"/>
          <w:sz w:val="14"/>
        </w:rPr>
        <w:t> </w:t>
      </w:r>
      <w:r>
        <w:rPr>
          <w:sz w:val="14"/>
        </w:rPr>
        <w:t>1%</w:t>
      </w:r>
    </w:p>
    <w:p>
      <w:pPr>
        <w:spacing w:line="159" w:lineRule="exact" w:before="0"/>
        <w:ind w:left="120" w:right="0" w:firstLine="0"/>
        <w:jc w:val="left"/>
        <w:rPr>
          <w:sz w:val="14"/>
        </w:rPr>
      </w:pPr>
      <w:r>
        <w:rPr>
          <w:sz w:val="14"/>
        </w:rPr>
        <w:t>2.</w:t>
      </w:r>
      <w:r>
        <w:rPr>
          <w:spacing w:val="-2"/>
          <w:sz w:val="14"/>
        </w:rPr>
        <w:t> </w:t>
      </w:r>
      <w:r>
        <w:rPr>
          <w:sz w:val="14"/>
        </w:rPr>
        <w:t>The</w:t>
      </w:r>
      <w:r>
        <w:rPr>
          <w:spacing w:val="-3"/>
          <w:sz w:val="14"/>
        </w:rPr>
        <w:t> </w:t>
      </w:r>
      <w:r>
        <w:rPr>
          <w:sz w:val="14"/>
        </w:rPr>
        <w:t>parentheses</w:t>
      </w:r>
      <w:r>
        <w:rPr>
          <w:spacing w:val="-3"/>
          <w:sz w:val="14"/>
        </w:rPr>
        <w:t> </w:t>
      </w:r>
      <w:r>
        <w:rPr>
          <w:sz w:val="14"/>
        </w:rPr>
        <w:t>denotes</w:t>
      </w:r>
      <w:r>
        <w:rPr>
          <w:spacing w:val="-2"/>
          <w:sz w:val="14"/>
        </w:rPr>
        <w:t> </w:t>
      </w:r>
      <w:r>
        <w:rPr>
          <w:sz w:val="14"/>
        </w:rPr>
        <w:t>the</w:t>
      </w:r>
      <w:r>
        <w:rPr>
          <w:spacing w:val="-2"/>
          <w:sz w:val="14"/>
        </w:rPr>
        <w:t> </w:t>
      </w:r>
      <w:r>
        <w:rPr>
          <w:sz w:val="14"/>
        </w:rPr>
        <w:t>robust</w:t>
      </w:r>
      <w:r>
        <w:rPr>
          <w:spacing w:val="-2"/>
          <w:sz w:val="14"/>
        </w:rPr>
        <w:t> </w:t>
      </w:r>
      <w:r>
        <w:rPr>
          <w:sz w:val="14"/>
        </w:rPr>
        <w:t>standard</w:t>
      </w:r>
      <w:r>
        <w:rPr>
          <w:spacing w:val="-4"/>
          <w:sz w:val="14"/>
        </w:rPr>
        <w:t> </w:t>
      </w:r>
      <w:r>
        <w:rPr>
          <w:sz w:val="14"/>
        </w:rPr>
        <w:t>errors for</w:t>
      </w:r>
      <w:r>
        <w:rPr>
          <w:spacing w:val="-4"/>
          <w:sz w:val="14"/>
        </w:rPr>
        <w:t> </w:t>
      </w:r>
      <w:r>
        <w:rPr>
          <w:sz w:val="14"/>
        </w:rPr>
        <w:t>the</w:t>
      </w:r>
      <w:r>
        <w:rPr>
          <w:spacing w:val="-2"/>
          <w:sz w:val="14"/>
        </w:rPr>
        <w:t> </w:t>
      </w:r>
      <w:r>
        <w:rPr>
          <w:sz w:val="14"/>
        </w:rPr>
        <w:t>estimates</w:t>
      </w:r>
    </w:p>
    <w:p>
      <w:pPr>
        <w:spacing w:line="228" w:lineRule="exact" w:before="0"/>
        <w:ind w:left="120" w:right="0" w:firstLine="0"/>
        <w:jc w:val="left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Researcher’s</w:t>
      </w:r>
      <w:r>
        <w:rPr>
          <w:spacing w:val="-1"/>
          <w:sz w:val="20"/>
        </w:rPr>
        <w:t> </w:t>
      </w:r>
      <w:r>
        <w:rPr>
          <w:sz w:val="20"/>
        </w:rPr>
        <w:t>Computation</w:t>
      </w:r>
      <w:r>
        <w:rPr>
          <w:spacing w:val="-2"/>
          <w:sz w:val="20"/>
        </w:rPr>
        <w:t> </w:t>
      </w:r>
      <w:r>
        <w:rPr>
          <w:sz w:val="20"/>
        </w:rPr>
        <w:t>using</w:t>
      </w:r>
      <w:r>
        <w:rPr>
          <w:spacing w:val="-3"/>
          <w:sz w:val="20"/>
        </w:rPr>
        <w:t> </w:t>
      </w:r>
      <w:r>
        <w:rPr>
          <w:sz w:val="20"/>
        </w:rPr>
        <w:t>Stata</w:t>
      </w:r>
      <w:r>
        <w:rPr>
          <w:spacing w:val="-1"/>
          <w:sz w:val="20"/>
        </w:rPr>
        <w:t> </w:t>
      </w:r>
      <w:r>
        <w:rPr>
          <w:sz w:val="20"/>
        </w:rPr>
        <w:t>13</w:t>
      </w:r>
    </w:p>
    <w:p>
      <w:pPr>
        <w:spacing w:after="0" w:line="228" w:lineRule="exact"/>
        <w:jc w:val="left"/>
        <w:rPr>
          <w:sz w:val="20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7"/>
        <w:jc w:val="both"/>
      </w:pPr>
      <w:r>
        <w:rPr/>
        <w:t>Table 5.15 further show the likelihood of household’s head without basic education magnifies</w:t>
      </w:r>
      <w:r>
        <w:rPr>
          <w:spacing w:val="1"/>
        </w:rPr>
        <w:t> </w:t>
      </w:r>
      <w:r>
        <w:rPr/>
        <w:t>proneness to illness in his/her household is 16%. This implies that low literacy level in unequal</w:t>
      </w:r>
      <w:r>
        <w:rPr>
          <w:spacing w:val="1"/>
        </w:rPr>
        <w:t> </w:t>
      </w:r>
      <w:r>
        <w:rPr/>
        <w:t>societies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detrimental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health</w:t>
      </w:r>
      <w:r>
        <w:rPr>
          <w:spacing w:val="-6"/>
        </w:rPr>
        <w:t> </w:t>
      </w:r>
      <w:r>
        <w:rPr/>
        <w:t>outcomes.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-7"/>
        </w:rPr>
        <w:t> </w:t>
      </w:r>
      <w:r>
        <w:rPr/>
        <w:t>hand,</w:t>
      </w:r>
      <w:r>
        <w:rPr>
          <w:spacing w:val="-5"/>
        </w:rPr>
        <w:t> </w:t>
      </w:r>
      <w:r>
        <w:rPr/>
        <w:t>secondary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tertiary</w:t>
      </w:r>
      <w:r>
        <w:rPr>
          <w:spacing w:val="-10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the household heads is negatively and significantly related with ill-health</w:t>
      </w:r>
      <w:r>
        <w:rPr>
          <w:rFonts w:ascii="Calibri" w:hAnsi="Calibri"/>
          <w:sz w:val="16"/>
        </w:rPr>
        <w:t>, </w:t>
      </w:r>
      <w:r>
        <w:rPr/>
        <w:t>recording declines of</w:t>
      </w:r>
      <w:r>
        <w:rPr>
          <w:spacing w:val="1"/>
        </w:rPr>
        <w:t> </w:t>
      </w:r>
      <w:r>
        <w:rPr/>
        <w:t>3% and 9%, respectively. It shows that, better health outcomes are more likely to be related with</w:t>
      </w:r>
      <w:r>
        <w:rPr>
          <w:spacing w:val="1"/>
        </w:rPr>
        <w:t> </w:t>
      </w:r>
      <w:r>
        <w:rPr/>
        <w:t>higher</w:t>
      </w:r>
      <w:r>
        <w:rPr>
          <w:spacing w:val="-13"/>
        </w:rPr>
        <w:t> </w:t>
      </w:r>
      <w:r>
        <w:rPr/>
        <w:t>educational</w:t>
      </w:r>
      <w:r>
        <w:rPr>
          <w:spacing w:val="-14"/>
        </w:rPr>
        <w:t> </w:t>
      </w:r>
      <w:r>
        <w:rPr/>
        <w:t>attainment</w:t>
      </w:r>
      <w:r>
        <w:rPr>
          <w:spacing w:val="-13"/>
        </w:rPr>
        <w:t> </w:t>
      </w:r>
      <w:r>
        <w:rPr/>
        <w:t>(Liu,</w:t>
      </w:r>
      <w:r>
        <w:rPr>
          <w:spacing w:val="-14"/>
        </w:rPr>
        <w:t> </w:t>
      </w:r>
      <w:r>
        <w:rPr/>
        <w:t>2017:7).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conforms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previous</w:t>
      </w:r>
      <w:r>
        <w:rPr>
          <w:spacing w:val="-13"/>
        </w:rPr>
        <w:t> </w:t>
      </w:r>
      <w:r>
        <w:rPr/>
        <w:t>studies</w:t>
      </w:r>
      <w:r>
        <w:rPr>
          <w:spacing w:val="-14"/>
        </w:rPr>
        <w:t> </w:t>
      </w:r>
      <w:r>
        <w:rPr/>
        <w:t>such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Zajacova</w:t>
      </w:r>
      <w:r>
        <w:rPr>
          <w:spacing w:val="-58"/>
        </w:rPr>
        <w:t> </w:t>
      </w:r>
      <w:r>
        <w:rPr/>
        <w:t>and Lawrence (2018) who found that adults with higher education live healthier lives compared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their less educated peers in United States.</w:t>
      </w:r>
    </w:p>
    <w:p>
      <w:pPr>
        <w:pStyle w:val="BodyText"/>
        <w:spacing w:line="360" w:lineRule="auto" w:before="208"/>
        <w:ind w:left="120" w:right="113"/>
        <w:jc w:val="both"/>
      </w:pPr>
      <w:r>
        <w:rPr/>
        <w:t>The result also shows that access to electricity reduces illness significantly. This suggest that</w:t>
      </w:r>
      <w:r>
        <w:rPr>
          <w:spacing w:val="1"/>
        </w:rPr>
        <w:t> </w:t>
      </w:r>
      <w:r>
        <w:rPr/>
        <w:t>having access to electricity could contribute positively to health outcomes, as it provide lighting,</w:t>
      </w:r>
      <w:r>
        <w:rPr>
          <w:spacing w:val="1"/>
        </w:rPr>
        <w:t> </w:t>
      </w:r>
      <w:r>
        <w:rPr/>
        <w:t>and used to power domestic appliances like television, radio, fans and more. These are key to</w:t>
      </w:r>
      <w:r>
        <w:rPr>
          <w:spacing w:val="1"/>
        </w:rPr>
        <w:t> </w:t>
      </w:r>
      <w:r>
        <w:rPr/>
        <w:t>reducing daily stress, depression, frustration and status anxiety resulting from widening income</w:t>
      </w:r>
      <w:r>
        <w:rPr>
          <w:spacing w:val="1"/>
        </w:rPr>
        <w:t> </w:t>
      </w:r>
      <w:r>
        <w:rPr/>
        <w:t>inequality. It also provides comfort that improves health outcomes. In opposition, dwellings</w:t>
      </w:r>
      <w:r>
        <w:rPr>
          <w:spacing w:val="1"/>
        </w:rPr>
        <w:t> </w:t>
      </w:r>
      <w:r>
        <w:rPr/>
        <w:t>without electricity is positively related with illness, but statistically non-significant. This further</w:t>
      </w:r>
      <w:r>
        <w:rPr>
          <w:spacing w:val="1"/>
        </w:rPr>
        <w:t> </w:t>
      </w:r>
      <w:r>
        <w:rPr/>
        <w:t>allude that rising income inequality is an indicative of higher cost that low income households</w:t>
      </w:r>
      <w:r>
        <w:rPr>
          <w:spacing w:val="1"/>
        </w:rPr>
        <w:t> </w:t>
      </w:r>
      <w:r>
        <w:rPr/>
        <w:t>have to pay to access healthy goods and services due to the hike in electricity tariffs. This imply</w:t>
      </w:r>
      <w:r>
        <w:rPr>
          <w:spacing w:val="1"/>
        </w:rPr>
        <w:t> </w:t>
      </w:r>
      <w:r>
        <w:rPr/>
        <w:t>that access to electricity is paramount to healthy lives among households, which was also in</w:t>
      </w:r>
      <w:r>
        <w:rPr>
          <w:spacing w:val="1"/>
        </w:rPr>
        <w:t> </w:t>
      </w:r>
      <w:r>
        <w:rPr/>
        <w:t>consistent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studies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Abokyi</w:t>
      </w:r>
      <w:r>
        <w:rPr>
          <w:spacing w:val="-10"/>
        </w:rPr>
        <w:t> </w:t>
      </w:r>
      <w:r>
        <w:rPr/>
        <w:t>(2018)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Faisal</w:t>
      </w:r>
      <w:r>
        <w:rPr>
          <w:spacing w:val="-9"/>
        </w:rPr>
        <w:t> </w:t>
      </w:r>
      <w:r>
        <w:rPr/>
        <w:t>(2018)</w:t>
      </w:r>
      <w:r>
        <w:rPr>
          <w:spacing w:val="-8"/>
        </w:rPr>
        <w:t> </w:t>
      </w:r>
      <w:r>
        <w:rPr/>
        <w:t>who</w:t>
      </w:r>
      <w:r>
        <w:rPr>
          <w:spacing w:val="-11"/>
        </w:rPr>
        <w:t> </w:t>
      </w:r>
      <w:r>
        <w:rPr/>
        <w:t>noted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use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electricity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the health</w:t>
      </w:r>
      <w:r>
        <w:rPr>
          <w:spacing w:val="-1"/>
        </w:rPr>
        <w:t> </w:t>
      </w:r>
      <w:r>
        <w:rPr/>
        <w:t>of citizens</w:t>
      </w:r>
      <w:r>
        <w:rPr>
          <w:spacing w:val="-1"/>
        </w:rPr>
        <w:t> </w:t>
      </w:r>
      <w:r>
        <w:rPr/>
        <w:t>in Ghana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Iceland,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360" w:lineRule="auto" w:before="184"/>
        <w:ind w:left="120" w:right="114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RE</w:t>
      </w:r>
      <w:r>
        <w:rPr>
          <w:spacing w:val="-15"/>
        </w:rPr>
        <w:t> </w:t>
      </w:r>
      <w:r>
        <w:rPr>
          <w:spacing w:val="-1"/>
        </w:rPr>
        <w:t>results</w:t>
      </w:r>
      <w:r>
        <w:rPr>
          <w:spacing w:val="-14"/>
        </w:rPr>
        <w:t> </w:t>
      </w:r>
      <w:r>
        <w:rPr/>
        <w:t>further</w:t>
      </w:r>
      <w:r>
        <w:rPr>
          <w:spacing w:val="-15"/>
        </w:rPr>
        <w:t> </w:t>
      </w:r>
      <w:r>
        <w:rPr/>
        <w:t>shows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better</w:t>
      </w:r>
      <w:r>
        <w:rPr>
          <w:spacing w:val="-16"/>
        </w:rPr>
        <w:t> </w:t>
      </w:r>
      <w:r>
        <w:rPr/>
        <w:t>access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safe</w:t>
      </w:r>
      <w:r>
        <w:rPr>
          <w:spacing w:val="-16"/>
        </w:rPr>
        <w:t> </w:t>
      </w:r>
      <w:r>
        <w:rPr/>
        <w:t>water</w:t>
      </w:r>
      <w:r>
        <w:rPr>
          <w:spacing w:val="-16"/>
        </w:rPr>
        <w:t> </w:t>
      </w:r>
      <w:r>
        <w:rPr/>
        <w:t>led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3%</w:t>
      </w:r>
      <w:r>
        <w:rPr>
          <w:spacing w:val="-16"/>
        </w:rPr>
        <w:t> </w:t>
      </w:r>
      <w:r>
        <w:rPr/>
        <w:t>decline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health</w:t>
      </w:r>
      <w:r>
        <w:rPr>
          <w:spacing w:val="-15"/>
        </w:rPr>
        <w:t> </w:t>
      </w:r>
      <w:r>
        <w:rPr/>
        <w:t>outcomes.</w:t>
      </w:r>
      <w:r>
        <w:rPr>
          <w:spacing w:val="-58"/>
        </w:rPr>
        <w:t> </w:t>
      </w:r>
      <w:r>
        <w:rPr/>
        <w:t>Whereas</w:t>
      </w:r>
      <w:r>
        <w:rPr>
          <w:spacing w:val="-6"/>
        </w:rPr>
        <w:t> </w:t>
      </w:r>
      <w:r>
        <w:rPr/>
        <w:t>1%</w:t>
      </w:r>
      <w:r>
        <w:rPr>
          <w:spacing w:val="-7"/>
        </w:rPr>
        <w:t> </w:t>
      </w:r>
      <w:r>
        <w:rPr/>
        <w:t>rise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river/spring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main</w:t>
      </w:r>
      <w:r>
        <w:rPr>
          <w:spacing w:val="-5"/>
        </w:rPr>
        <w:t> </w:t>
      </w:r>
      <w:r>
        <w:rPr/>
        <w:t>source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water</w:t>
      </w:r>
      <w:r>
        <w:rPr>
          <w:spacing w:val="-7"/>
        </w:rPr>
        <w:t> </w:t>
      </w:r>
      <w:r>
        <w:rPr/>
        <w:t>worse</w:t>
      </w:r>
      <w:r>
        <w:rPr>
          <w:spacing w:val="-6"/>
        </w:rPr>
        <w:t> </w:t>
      </w:r>
      <w:r>
        <w:rPr/>
        <w:t>ill-health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15%.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estimate</w:t>
      </w:r>
      <w:r>
        <w:rPr>
          <w:spacing w:val="-6"/>
        </w:rPr>
        <w:t> </w:t>
      </w:r>
      <w:r>
        <w:rPr/>
        <w:t>for</w:t>
      </w:r>
      <w:r>
        <w:rPr>
          <w:spacing w:val="-57"/>
        </w:rPr>
        <w:t> </w:t>
      </w:r>
      <w:r>
        <w:rPr/>
        <w:t>borehole/well water, and water/modern toilet show an inverse and significant effect on illness,</w:t>
      </w:r>
      <w:r>
        <w:rPr>
          <w:spacing w:val="1"/>
        </w:rPr>
        <w:t> </w:t>
      </w:r>
      <w:r>
        <w:rPr>
          <w:spacing w:val="-1"/>
        </w:rPr>
        <w:t>where</w:t>
      </w:r>
      <w:r>
        <w:rPr>
          <w:spacing w:val="-16"/>
        </w:rPr>
        <w:t> </w:t>
      </w:r>
      <w:r>
        <w:rPr>
          <w:spacing w:val="-1"/>
        </w:rPr>
        <w:t>those</w:t>
      </w:r>
      <w:r>
        <w:rPr>
          <w:spacing w:val="-15"/>
        </w:rPr>
        <w:t> </w:t>
      </w:r>
      <w:r>
        <w:rPr/>
        <w:t>households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access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modern</w:t>
      </w:r>
      <w:r>
        <w:rPr>
          <w:spacing w:val="-15"/>
        </w:rPr>
        <w:t> </w:t>
      </w:r>
      <w:r>
        <w:rPr/>
        <w:t>toilet,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possibility</w:t>
      </w:r>
      <w:r>
        <w:rPr>
          <w:spacing w:val="-22"/>
        </w:rPr>
        <w:t> </w:t>
      </w:r>
      <w:r>
        <w:rPr/>
        <w:t>of</w:t>
      </w:r>
      <w:r>
        <w:rPr>
          <w:spacing w:val="-16"/>
        </w:rPr>
        <w:t> </w:t>
      </w:r>
      <w:r>
        <w:rPr/>
        <w:t>their</w:t>
      </w:r>
      <w:r>
        <w:rPr>
          <w:spacing w:val="-12"/>
        </w:rPr>
        <w:t> </w:t>
      </w:r>
      <w:r>
        <w:rPr/>
        <w:t>members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experience</w:t>
      </w:r>
      <w:r>
        <w:rPr>
          <w:spacing w:val="-58"/>
        </w:rPr>
        <w:t> </w:t>
      </w:r>
      <w:r>
        <w:rPr/>
        <w:t>healthy outcomes was 2.8%. This show that none availability of safe water, no toilet/sanitation,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river/spring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main</w:t>
      </w:r>
      <w:r>
        <w:rPr>
          <w:spacing w:val="-14"/>
        </w:rPr>
        <w:t> </w:t>
      </w:r>
      <w:r>
        <w:rPr/>
        <w:t>source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water,</w:t>
      </w:r>
      <w:r>
        <w:rPr>
          <w:spacing w:val="-13"/>
        </w:rPr>
        <w:t> </w:t>
      </w:r>
      <w:r>
        <w:rPr/>
        <w:t>worsen</w:t>
      </w:r>
      <w:r>
        <w:rPr>
          <w:spacing w:val="-12"/>
        </w:rPr>
        <w:t> </w:t>
      </w:r>
      <w:r>
        <w:rPr/>
        <w:t>illness</w:t>
      </w:r>
      <w:r>
        <w:rPr>
          <w:spacing w:val="-15"/>
        </w:rPr>
        <w:t> </w:t>
      </w:r>
      <w:r>
        <w:rPr/>
        <w:t>significantly.</w:t>
      </w:r>
      <w:r>
        <w:rPr>
          <w:spacing w:val="-9"/>
        </w:rPr>
        <w:t> </w:t>
      </w:r>
      <w:r>
        <w:rPr/>
        <w:t>It</w:t>
      </w:r>
      <w:r>
        <w:rPr>
          <w:spacing w:val="-14"/>
        </w:rPr>
        <w:t> </w:t>
      </w:r>
      <w:r>
        <w:rPr/>
        <w:t>then</w:t>
      </w:r>
      <w:r>
        <w:rPr>
          <w:spacing w:val="-15"/>
        </w:rPr>
        <w:t> </w:t>
      </w:r>
      <w:r>
        <w:rPr/>
        <w:t>implies</w:t>
      </w:r>
      <w:r>
        <w:rPr>
          <w:spacing w:val="-15"/>
        </w:rPr>
        <w:t> </w:t>
      </w:r>
      <w:r>
        <w:rPr/>
        <w:t>that</w:t>
      </w:r>
      <w:r>
        <w:rPr>
          <w:spacing w:val="-13"/>
        </w:rPr>
        <w:t> </w:t>
      </w:r>
      <w:r>
        <w:rPr/>
        <w:t>access</w:t>
      </w:r>
      <w:r>
        <w:rPr>
          <w:spacing w:val="-57"/>
        </w:rPr>
        <w:t> </w:t>
      </w:r>
      <w:r>
        <w:rPr/>
        <w:t>to safe and drinkable water is an important infrastructure that can help reduce the prevalence and</w:t>
      </w:r>
      <w:r>
        <w:rPr>
          <w:spacing w:val="1"/>
        </w:rPr>
        <w:t> </w:t>
      </w:r>
      <w:r>
        <w:rPr/>
        <w:t>incidence of infectious diseases that could result to illness. The results also confirm that greater</w:t>
      </w:r>
      <w:r>
        <w:rPr>
          <w:spacing w:val="1"/>
        </w:rPr>
        <w:t> </w:t>
      </w:r>
      <w:r>
        <w:rPr/>
        <w:t>access to basic services, such as, clean water and sanitary toilet facilities is correlated with better</w:t>
      </w:r>
      <w:r>
        <w:rPr>
          <w:spacing w:val="1"/>
        </w:rPr>
        <w:t> </w:t>
      </w:r>
      <w:r>
        <w:rPr/>
        <w:t>health outcomes. This is in line with POLS and FE models, and Ribeiro (2018) who found access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safe</w:t>
      </w:r>
      <w:r>
        <w:rPr>
          <w:spacing w:val="-2"/>
        </w:rPr>
        <w:t> </w:t>
      </w:r>
      <w:r>
        <w:rPr/>
        <w:t>and improve</w:t>
      </w:r>
      <w:r>
        <w:rPr>
          <w:spacing w:val="-1"/>
        </w:rPr>
        <w:t> </w:t>
      </w:r>
      <w:r>
        <w:rPr/>
        <w:t>water reduces</w:t>
      </w:r>
      <w:r>
        <w:rPr>
          <w:spacing w:val="2"/>
        </w:rPr>
        <w:t> </w:t>
      </w:r>
      <w:r>
        <w:rPr/>
        <w:t>infant deaths</w:t>
      </w:r>
      <w:r>
        <w:rPr>
          <w:spacing w:val="-1"/>
        </w:rPr>
        <w:t> </w:t>
      </w:r>
      <w:r>
        <w:rPr/>
        <w:t>in Brazil</w:t>
      </w:r>
      <w:r>
        <w:rPr>
          <w:spacing w:val="2"/>
        </w:rPr>
        <w:t> </w:t>
      </w:r>
      <w:r>
        <w:rPr/>
        <w:t>significantly.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4"/>
        <w:jc w:val="both"/>
      </w:pPr>
      <w:r>
        <w:rPr/>
        <w:t>Self-medication was found to be positive and significantly related with illness by 4% likelihood.</w:t>
      </w:r>
      <w:r>
        <w:rPr>
          <w:spacing w:val="1"/>
        </w:rPr>
        <w:t> </w:t>
      </w:r>
      <w:r>
        <w:rPr/>
        <w:t>But the estimate of alcoholic consumption was statistically non-significant to reduce ill-health. In</w:t>
      </w:r>
      <w:r>
        <w:rPr>
          <w:spacing w:val="-57"/>
        </w:rPr>
        <w:t> </w:t>
      </w:r>
      <w:r>
        <w:rPr/>
        <w:t>specific terms, a percentage rise in self-medication results to health complications by 4%. This is</w:t>
      </w:r>
      <w:r>
        <w:rPr>
          <w:spacing w:val="1"/>
        </w:rPr>
        <w:t> </w:t>
      </w:r>
      <w:r>
        <w:rPr/>
        <w:t>an indication that the harms caused by alcohol and self-medication are mediated by inequality in</w:t>
      </w:r>
      <w:r>
        <w:rPr>
          <w:spacing w:val="1"/>
        </w:rPr>
        <w:t> </w:t>
      </w:r>
      <w:r>
        <w:rPr/>
        <w:t>income. Perhaps, income disparity produces a kind of ‘economic or status envy’, chronic stress,</w:t>
      </w:r>
      <w:r>
        <w:rPr>
          <w:spacing w:val="1"/>
        </w:rPr>
        <w:t> </w:t>
      </w:r>
      <w:r>
        <w:rPr/>
        <w:t>frustration, and depression, and then could possibly leads to more alcohol-drinking or other drug</w:t>
      </w:r>
      <w:r>
        <w:rPr>
          <w:spacing w:val="1"/>
        </w:rPr>
        <w:t> </w:t>
      </w:r>
      <w:r>
        <w:rPr/>
        <w:t>consumption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worsen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status.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then</w:t>
      </w:r>
      <w:r>
        <w:rPr>
          <w:spacing w:val="-3"/>
        </w:rPr>
        <w:t> </w:t>
      </w:r>
      <w:r>
        <w:rPr/>
        <w:t>implies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income</w:t>
      </w:r>
      <w:r>
        <w:rPr>
          <w:spacing w:val="-5"/>
        </w:rPr>
        <w:t> </w:t>
      </w:r>
      <w:r>
        <w:rPr/>
        <w:t>inequality</w:t>
      </w:r>
      <w:r>
        <w:rPr>
          <w:spacing w:val="-6"/>
        </w:rPr>
        <w:t> </w:t>
      </w:r>
      <w:r>
        <w:rPr/>
        <w:t>enforces</w:t>
      </w:r>
      <w:r>
        <w:rPr>
          <w:spacing w:val="-4"/>
        </w:rPr>
        <w:t> </w:t>
      </w:r>
      <w:r>
        <w:rPr/>
        <w:t>households</w:t>
      </w:r>
      <w:r>
        <w:rPr>
          <w:spacing w:val="-58"/>
        </w:rPr>
        <w:t> </w:t>
      </w:r>
      <w:r>
        <w:rPr/>
        <w:t>to</w:t>
      </w:r>
      <w:r>
        <w:rPr>
          <w:spacing w:val="-8"/>
        </w:rPr>
        <w:t> </w:t>
      </w:r>
      <w:r>
        <w:rPr/>
        <w:t>anti-health</w:t>
      </w:r>
      <w:r>
        <w:rPr>
          <w:spacing w:val="-9"/>
        </w:rPr>
        <w:t> </w:t>
      </w:r>
      <w:r>
        <w:rPr/>
        <w:t>behavior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affect</w:t>
      </w:r>
      <w:r>
        <w:rPr>
          <w:spacing w:val="-7"/>
        </w:rPr>
        <w:t> </w:t>
      </w:r>
      <w:r>
        <w:rPr/>
        <w:t>their</w:t>
      </w:r>
      <w:r>
        <w:rPr>
          <w:spacing w:val="-9"/>
        </w:rPr>
        <w:t> </w:t>
      </w:r>
      <w:r>
        <w:rPr/>
        <w:t>health</w:t>
      </w:r>
      <w:r>
        <w:rPr>
          <w:spacing w:val="-9"/>
        </w:rPr>
        <w:t> </w:t>
      </w:r>
      <w:r>
        <w:rPr/>
        <w:t>status.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line</w:t>
      </w:r>
      <w:r>
        <w:rPr>
          <w:spacing w:val="-10"/>
        </w:rPr>
        <w:t> </w:t>
      </w:r>
      <w:r>
        <w:rPr/>
        <w:t>with</w:t>
      </w:r>
      <w:r>
        <w:rPr>
          <w:spacing w:val="-7"/>
        </w:rPr>
        <w:t> </w:t>
      </w:r>
      <w:r>
        <w:rPr/>
        <w:t>both</w:t>
      </w:r>
      <w:r>
        <w:rPr>
          <w:spacing w:val="-8"/>
        </w:rPr>
        <w:t> </w:t>
      </w:r>
      <w:r>
        <w:rPr/>
        <w:t>POLS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FE</w:t>
      </w:r>
      <w:r>
        <w:rPr>
          <w:spacing w:val="-6"/>
        </w:rPr>
        <w:t> </w:t>
      </w:r>
      <w:r>
        <w:rPr/>
        <w:t>model,</w:t>
      </w:r>
      <w:r>
        <w:rPr>
          <w:spacing w:val="-58"/>
        </w:rPr>
        <w:t> </w:t>
      </w:r>
      <w:r>
        <w:rPr/>
        <w:t>and</w:t>
      </w:r>
      <w:r>
        <w:rPr>
          <w:spacing w:val="-4"/>
        </w:rPr>
        <w:t> </w:t>
      </w:r>
      <w:r>
        <w:rPr/>
        <w:t>Cerda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</w:r>
      <w:r>
        <w:rPr>
          <w:i/>
          <w:spacing w:val="-2"/>
        </w:rPr>
        <w:t> </w:t>
      </w:r>
      <w:r>
        <w:rPr/>
        <w:t>(2011)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found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Gini-coefficient</w:t>
      </w:r>
      <w:r>
        <w:rPr>
          <w:spacing w:val="-4"/>
        </w:rPr>
        <w:t> </w:t>
      </w:r>
      <w:r>
        <w:rPr/>
        <w:t>of above</w:t>
      </w:r>
      <w:r>
        <w:rPr>
          <w:spacing w:val="-4"/>
        </w:rPr>
        <w:t> </w:t>
      </w:r>
      <w:r>
        <w:rPr/>
        <w:t>0.24</w:t>
      </w:r>
      <w:r>
        <w:rPr>
          <w:spacing w:val="-3"/>
        </w:rPr>
        <w:t> </w:t>
      </w:r>
      <w:r>
        <w:rPr/>
        <w:t>lead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hard</w:t>
      </w:r>
      <w:r>
        <w:rPr>
          <w:spacing w:val="-5"/>
        </w:rPr>
        <w:t> </w:t>
      </w:r>
      <w:r>
        <w:rPr/>
        <w:t>drugs</w:t>
      </w:r>
      <w:r>
        <w:rPr>
          <w:spacing w:val="-3"/>
        </w:rPr>
        <w:t> </w:t>
      </w:r>
      <w:r>
        <w:rPr/>
        <w:t>or alcohol</w:t>
      </w:r>
      <w:r>
        <w:rPr>
          <w:spacing w:val="-58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significantly,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negatively</w:t>
      </w:r>
      <w:r>
        <w:rPr>
          <w:spacing w:val="-5"/>
        </w:rPr>
        <w:t> </w:t>
      </w:r>
      <w:r>
        <w:rPr/>
        <w:t>impact health status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Australia.</w:t>
      </w:r>
    </w:p>
    <w:p>
      <w:pPr>
        <w:pStyle w:val="BodyText"/>
        <w:spacing w:line="360" w:lineRule="auto" w:before="186"/>
        <w:ind w:left="120" w:right="113"/>
        <w:jc w:val="both"/>
      </w:pPr>
      <w:r>
        <w:rPr/>
        <w:t>Another</w:t>
      </w:r>
      <w:r>
        <w:rPr>
          <w:spacing w:val="-8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variable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affects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outcome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RE</w:t>
      </w:r>
      <w:r>
        <w:rPr>
          <w:spacing w:val="-6"/>
        </w:rPr>
        <w:t> </w:t>
      </w:r>
      <w:r>
        <w:rPr/>
        <w:t>model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income.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3"/>
        </w:rPr>
        <w:t> </w:t>
      </w:r>
      <w:r>
        <w:rPr/>
        <w:t>well</w:t>
      </w:r>
      <w:r>
        <w:rPr>
          <w:spacing w:val="-58"/>
        </w:rPr>
        <w:t> </w:t>
      </w:r>
      <w:r>
        <w:rPr/>
        <w:t>documented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literature</w:t>
      </w:r>
      <w:r>
        <w:rPr>
          <w:spacing w:val="-10"/>
        </w:rPr>
        <w:t> </w:t>
      </w:r>
      <w:r>
        <w:rPr/>
        <w:t>(see</w:t>
      </w:r>
      <w:r>
        <w:rPr>
          <w:spacing w:val="-7"/>
        </w:rPr>
        <w:t> </w:t>
      </w:r>
      <w:r>
        <w:rPr/>
        <w:t>Bourguignon,</w:t>
      </w:r>
      <w:r>
        <w:rPr>
          <w:spacing w:val="-9"/>
        </w:rPr>
        <w:t> </w:t>
      </w:r>
      <w:r>
        <w:rPr/>
        <w:t>2004;</w:t>
      </w:r>
      <w:r>
        <w:rPr>
          <w:spacing w:val="-7"/>
        </w:rPr>
        <w:t> </w:t>
      </w:r>
      <w:r>
        <w:rPr/>
        <w:t>Benzeval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2014;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Goodman,</w:t>
      </w:r>
      <w:r>
        <w:rPr>
          <w:spacing w:val="-9"/>
        </w:rPr>
        <w:t> </w:t>
      </w:r>
      <w:r>
        <w:rPr/>
        <w:t>2015).</w:t>
      </w:r>
      <w:r>
        <w:rPr>
          <w:spacing w:val="-58"/>
        </w:rPr>
        <w:t> </w:t>
      </w:r>
      <w:r>
        <w:rPr>
          <w:spacing w:val="-1"/>
        </w:rPr>
        <w:t>They</w:t>
      </w:r>
      <w:r>
        <w:rPr>
          <w:spacing w:val="-15"/>
        </w:rPr>
        <w:t> </w:t>
      </w:r>
      <w:r>
        <w:rPr>
          <w:spacing w:val="-1"/>
        </w:rPr>
        <w:t>noted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income</w:t>
      </w:r>
      <w:r>
        <w:rPr>
          <w:spacing w:val="-13"/>
        </w:rPr>
        <w:t> </w:t>
      </w:r>
      <w:r>
        <w:rPr/>
        <w:t>disparity</w:t>
      </w:r>
      <w:r>
        <w:rPr>
          <w:spacing w:val="-15"/>
        </w:rPr>
        <w:t> </w:t>
      </w:r>
      <w:r>
        <w:rPr/>
        <w:t>related</w:t>
      </w:r>
      <w:r>
        <w:rPr>
          <w:spacing w:val="-9"/>
        </w:rPr>
        <w:t> </w:t>
      </w:r>
      <w:r>
        <w:rPr/>
        <w:t>with</w:t>
      </w:r>
      <w:r>
        <w:rPr>
          <w:spacing w:val="-12"/>
        </w:rPr>
        <w:t> </w:t>
      </w:r>
      <w:r>
        <w:rPr/>
        <w:t>high</w:t>
      </w:r>
      <w:r>
        <w:rPr>
          <w:spacing w:val="-9"/>
        </w:rPr>
        <w:t> </w:t>
      </w:r>
      <w:r>
        <w:rPr>
          <w:sz w:val="23"/>
        </w:rPr>
        <w:t>unemployment</w:t>
      </w:r>
      <w:r>
        <w:rPr>
          <w:spacing w:val="-8"/>
          <w:sz w:val="23"/>
        </w:rPr>
        <w:t> </w:t>
      </w:r>
      <w:r>
        <w:rPr/>
        <w:t>and</w:t>
      </w:r>
      <w:r>
        <w:rPr>
          <w:spacing w:val="-12"/>
        </w:rPr>
        <w:t> </w:t>
      </w:r>
      <w:r>
        <w:rPr/>
        <w:t>lack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investment</w:t>
      </w:r>
      <w:r>
        <w:rPr>
          <w:spacing w:val="-58"/>
        </w:rPr>
        <w:t> </w:t>
      </w:r>
      <w:r>
        <w:rPr/>
        <w:t>in education that can generate future incomes. This thesis lends support to extant studies that</w:t>
      </w:r>
      <w:r>
        <w:rPr>
          <w:spacing w:val="1"/>
        </w:rPr>
        <w:t> </w:t>
      </w:r>
      <w:r>
        <w:rPr/>
        <w:t>income</w:t>
      </w:r>
      <w:r>
        <w:rPr>
          <w:spacing w:val="-13"/>
        </w:rPr>
        <w:t> </w:t>
      </w:r>
      <w:r>
        <w:rPr/>
        <w:t>from</w:t>
      </w:r>
      <w:r>
        <w:rPr>
          <w:spacing w:val="-11"/>
        </w:rPr>
        <w:t> </w:t>
      </w:r>
      <w:r>
        <w:rPr/>
        <w:t>wages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salaries,</w:t>
      </w:r>
      <w:r>
        <w:rPr>
          <w:spacing w:val="-12"/>
        </w:rPr>
        <w:t> </w:t>
      </w:r>
      <w:r>
        <w:rPr/>
        <w:t>entrepreneurship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trading,</w:t>
      </w:r>
      <w:r>
        <w:rPr>
          <w:spacing w:val="-11"/>
        </w:rPr>
        <w:t> </w:t>
      </w:r>
      <w:r>
        <w:rPr/>
        <w:t>farming</w:t>
      </w:r>
      <w:r>
        <w:rPr>
          <w:spacing w:val="-11"/>
        </w:rPr>
        <w:t> </w:t>
      </w:r>
      <w:r>
        <w:rPr/>
        <w:t>or</w:t>
      </w:r>
      <w:r>
        <w:rPr>
          <w:spacing w:val="-13"/>
        </w:rPr>
        <w:t> </w:t>
      </w:r>
      <w:r>
        <w:rPr/>
        <w:t>livestock,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conditional</w:t>
      </w:r>
      <w:r>
        <w:rPr>
          <w:spacing w:val="-58"/>
        </w:rPr>
        <w:t> </w:t>
      </w:r>
      <w:r>
        <w:rPr/>
        <w:t>transfers have strong likelihood to reduce illness. Furthermore, dividend/interest from investment</w:t>
      </w:r>
      <w:r>
        <w:rPr>
          <w:spacing w:val="-57"/>
        </w:rPr>
        <w:t> </w:t>
      </w:r>
      <w:r>
        <w:rPr>
          <w:spacing w:val="-1"/>
        </w:rPr>
        <w:t>were</w:t>
      </w:r>
      <w:r>
        <w:rPr>
          <w:spacing w:val="-7"/>
        </w:rPr>
        <w:t> </w:t>
      </w:r>
      <w:r>
        <w:rPr>
          <w:spacing w:val="-1"/>
          <w:sz w:val="23"/>
        </w:rPr>
        <w:t>found</w:t>
      </w:r>
      <w:r>
        <w:rPr>
          <w:spacing w:val="-5"/>
          <w:sz w:val="23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exert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  <w:sz w:val="23"/>
        </w:rPr>
        <w:t>positive</w:t>
      </w:r>
      <w:r>
        <w:rPr>
          <w:spacing w:val="-3"/>
          <w:sz w:val="23"/>
        </w:rPr>
        <w:t> </w:t>
      </w:r>
      <w:r>
        <w:rPr/>
        <w:t>and</w:t>
      </w:r>
      <w:r>
        <w:rPr>
          <w:spacing w:val="-8"/>
        </w:rPr>
        <w:t> </w:t>
      </w:r>
      <w:r>
        <w:rPr>
          <w:sz w:val="23"/>
        </w:rPr>
        <w:t>significant</w:t>
      </w:r>
      <w:r>
        <w:rPr>
          <w:spacing w:val="-5"/>
          <w:sz w:val="23"/>
        </w:rPr>
        <w:t> </w:t>
      </w:r>
      <w:r>
        <w:rPr/>
        <w:t>impact</w:t>
      </w:r>
      <w:r>
        <w:rPr>
          <w:spacing w:val="-6"/>
        </w:rPr>
        <w:t> </w:t>
      </w:r>
      <w:r>
        <w:rPr/>
        <w:t>on</w:t>
      </w:r>
      <w:r>
        <w:rPr>
          <w:spacing w:val="-8"/>
        </w:rPr>
        <w:t> </w:t>
      </w:r>
      <w:r>
        <w:rPr/>
        <w:t>ill-health.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may</w:t>
      </w:r>
      <w:r>
        <w:rPr>
          <w:spacing w:val="-15"/>
        </w:rPr>
        <w:t> </w:t>
      </w:r>
      <w:r>
        <w:rPr/>
        <w:t>be</w:t>
      </w:r>
      <w:r>
        <w:rPr>
          <w:spacing w:val="-7"/>
        </w:rPr>
        <w:t> </w:t>
      </w:r>
      <w:r>
        <w:rPr>
          <w:sz w:val="23"/>
        </w:rPr>
        <w:t>explained</w:t>
      </w:r>
      <w:r>
        <w:rPr>
          <w:spacing w:val="-6"/>
          <w:sz w:val="23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8"/>
        </w:rPr>
        <w:t> </w:t>
      </w:r>
      <w:r>
        <w:rPr>
          <w:sz w:val="23"/>
        </w:rPr>
        <w:t>fact</w:t>
      </w:r>
      <w:r>
        <w:rPr>
          <w:spacing w:val="-55"/>
          <w:sz w:val="23"/>
        </w:rPr>
        <w:t> </w:t>
      </w:r>
      <w:r>
        <w:rPr/>
        <w:t>that dividend/returns from investment are often characterized by uncertainty and are susceptible</w:t>
      </w:r>
      <w:r>
        <w:rPr>
          <w:spacing w:val="1"/>
        </w:rPr>
        <w:t> </w:t>
      </w:r>
      <w:r>
        <w:rPr/>
        <w:t>to shocks. This may dampen constrain household health budget. The result then shows that wider</w:t>
      </w:r>
      <w:r>
        <w:rPr>
          <w:spacing w:val="-57"/>
        </w:rPr>
        <w:t> </w:t>
      </w:r>
      <w:r>
        <w:rPr/>
        <w:t>disparities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income</w:t>
      </w:r>
      <w:r>
        <w:rPr>
          <w:spacing w:val="-11"/>
        </w:rPr>
        <w:t> </w:t>
      </w:r>
      <w:r>
        <w:rPr/>
        <w:t>maybe</w:t>
      </w:r>
      <w:r>
        <w:rPr>
          <w:spacing w:val="-11"/>
        </w:rPr>
        <w:t> </w:t>
      </w:r>
      <w:r>
        <w:rPr/>
        <w:t>related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low</w:t>
      </w:r>
      <w:r>
        <w:rPr>
          <w:spacing w:val="-10"/>
        </w:rPr>
        <w:t> </w:t>
      </w:r>
      <w:r>
        <w:rPr/>
        <w:t>or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income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some</w:t>
      </w:r>
      <w:r>
        <w:rPr>
          <w:spacing w:val="-10"/>
        </w:rPr>
        <w:t> </w:t>
      </w:r>
      <w:r>
        <w:rPr/>
        <w:t>quintile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society,</w:t>
      </w:r>
      <w:r>
        <w:rPr>
          <w:spacing w:val="-10"/>
        </w:rPr>
        <w:t> </w:t>
      </w:r>
      <w:r>
        <w:rPr/>
        <w:t>leading</w:t>
      </w:r>
      <w:r>
        <w:rPr>
          <w:spacing w:val="-58"/>
        </w:rPr>
        <w:t> </w:t>
      </w:r>
      <w:r>
        <w:rPr/>
        <w:t>to social isolation, stress and, ultimately health issues. This result is consistent with Novignon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-1"/>
        </w:rPr>
        <w:t> </w:t>
      </w:r>
      <w:r>
        <w:rPr/>
        <w:t>(2017) who</w:t>
      </w:r>
      <w:r>
        <w:rPr>
          <w:spacing w:val="-1"/>
        </w:rPr>
        <w:t> </w:t>
      </w:r>
      <w:r>
        <w:rPr/>
        <w:t>observed</w:t>
      </w:r>
      <w:r>
        <w:rPr>
          <w:spacing w:val="3"/>
        </w:rPr>
        <w:t> </w:t>
      </w:r>
      <w:r>
        <w:rPr/>
        <w:t>that</w:t>
      </w:r>
      <w:r>
        <w:rPr>
          <w:spacing w:val="-1"/>
        </w:rPr>
        <w:t> </w:t>
      </w:r>
      <w:r>
        <w:rPr/>
        <w:t>conditional cash transfer</w:t>
      </w:r>
      <w:r>
        <w:rPr>
          <w:spacing w:val="-1"/>
        </w:rPr>
        <w:t> </w:t>
      </w:r>
      <w:r>
        <w:rPr/>
        <w:t>is key</w:t>
      </w:r>
      <w:r>
        <w:rPr>
          <w:spacing w:val="-6"/>
        </w:rPr>
        <w:t> </w:t>
      </w:r>
      <w:r>
        <w:rPr/>
        <w:t>to improving health</w:t>
      </w:r>
      <w:r>
        <w:rPr>
          <w:spacing w:val="-1"/>
        </w:rPr>
        <w:t> </w:t>
      </w:r>
      <w:r>
        <w:rPr/>
        <w:t>outcomes.</w:t>
      </w:r>
    </w:p>
    <w:p>
      <w:pPr>
        <w:pStyle w:val="BodyText"/>
        <w:spacing w:line="360" w:lineRule="auto" w:before="183"/>
        <w:ind w:left="120" w:right="114"/>
        <w:jc w:val="both"/>
      </w:pPr>
      <w:r>
        <w:rPr/>
        <w:t>The</w:t>
      </w:r>
      <w:r>
        <w:rPr>
          <w:spacing w:val="-11"/>
        </w:rPr>
        <w:t> </w:t>
      </w:r>
      <w:r>
        <w:rPr/>
        <w:t>most</w:t>
      </w:r>
      <w:r>
        <w:rPr>
          <w:spacing w:val="-9"/>
        </w:rPr>
        <w:t> </w:t>
      </w:r>
      <w:r>
        <w:rPr/>
        <w:t>important</w:t>
      </w:r>
      <w:r>
        <w:rPr>
          <w:spacing w:val="-10"/>
        </w:rPr>
        <w:t> </w:t>
      </w:r>
      <w:r>
        <w:rPr/>
        <w:t>revelation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</w:t>
      </w:r>
      <w:r>
        <w:rPr>
          <w:spacing w:val="-10"/>
        </w:rPr>
        <w:t> </w:t>
      </w:r>
      <w:r>
        <w:rPr/>
        <w:t>model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income</w:t>
      </w:r>
      <w:r>
        <w:rPr>
          <w:spacing w:val="-11"/>
        </w:rPr>
        <w:t> </w:t>
      </w:r>
      <w:r>
        <w:rPr/>
        <w:t>disparity</w:t>
      </w:r>
      <w:r>
        <w:rPr>
          <w:spacing w:val="-15"/>
        </w:rPr>
        <w:t> </w:t>
      </w:r>
      <w:r>
        <w:rPr/>
        <w:t>worsen</w:t>
      </w:r>
      <w:r>
        <w:rPr>
          <w:spacing w:val="-10"/>
        </w:rPr>
        <w:t> </w:t>
      </w:r>
      <w:r>
        <w:rPr/>
        <w:t>illness</w:t>
      </w:r>
      <w:r>
        <w:rPr>
          <w:spacing w:val="-57"/>
        </w:rPr>
        <w:t> </w:t>
      </w:r>
      <w:r>
        <w:rPr/>
        <w:t>at</w:t>
      </w:r>
      <w:r>
        <w:rPr>
          <w:spacing w:val="-12"/>
        </w:rPr>
        <w:t> </w:t>
      </w:r>
      <w:r>
        <w:rPr/>
        <w:t>1%</w:t>
      </w:r>
      <w:r>
        <w:rPr>
          <w:spacing w:val="-13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level.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7"/>
        </w:rPr>
        <w:t> </w:t>
      </w:r>
      <w:r>
        <w:rPr/>
        <w:t>found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an</w:t>
      </w:r>
      <w:r>
        <w:rPr>
          <w:spacing w:val="-10"/>
        </w:rPr>
        <w:t> </w:t>
      </w:r>
      <w:r>
        <w:rPr/>
        <w:t>increase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income</w:t>
      </w:r>
      <w:r>
        <w:rPr>
          <w:spacing w:val="-11"/>
        </w:rPr>
        <w:t> </w:t>
      </w:r>
      <w:r>
        <w:rPr/>
        <w:t>inequality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a</w:t>
      </w:r>
      <w:r>
        <w:rPr>
          <w:spacing w:val="-7"/>
        </w:rPr>
        <w:t> </w:t>
      </w:r>
      <w:r>
        <w:rPr/>
        <w:t>percentage</w:t>
      </w:r>
      <w:r>
        <w:rPr>
          <w:spacing w:val="-13"/>
        </w:rPr>
        <w:t> </w:t>
      </w:r>
      <w:r>
        <w:rPr/>
        <w:t>basis</w:t>
      </w:r>
      <w:r>
        <w:rPr>
          <w:spacing w:val="-57"/>
        </w:rPr>
        <w:t> </w:t>
      </w:r>
      <w:r>
        <w:rPr/>
        <w:t>point</w:t>
      </w:r>
      <w:r>
        <w:rPr>
          <w:spacing w:val="-6"/>
        </w:rPr>
        <w:t> </w:t>
      </w:r>
      <w:r>
        <w:rPr/>
        <w:t>increases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likelihood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household</w:t>
      </w:r>
      <w:r>
        <w:rPr>
          <w:spacing w:val="-5"/>
        </w:rPr>
        <w:t> </w:t>
      </w:r>
      <w:r>
        <w:rPr/>
        <w:t>ill-health</w:t>
      </w:r>
      <w:r>
        <w:rPr>
          <w:spacing w:val="-6"/>
        </w:rPr>
        <w:t> </w:t>
      </w:r>
      <w:r>
        <w:rPr/>
        <w:t>by</w:t>
      </w:r>
      <w:r>
        <w:rPr>
          <w:spacing w:val="-12"/>
        </w:rPr>
        <w:t> </w:t>
      </w:r>
      <w:r>
        <w:rPr/>
        <w:t>1.4%.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implies</w:t>
      </w:r>
      <w:r>
        <w:rPr>
          <w:spacing w:val="-8"/>
        </w:rPr>
        <w:t> </w:t>
      </w:r>
      <w:r>
        <w:rPr/>
        <w:t>that</w:t>
      </w:r>
      <w:r>
        <w:rPr>
          <w:spacing w:val="-5"/>
        </w:rPr>
        <w:t> </w:t>
      </w:r>
      <w:r>
        <w:rPr/>
        <w:t>income</w:t>
      </w:r>
      <w:r>
        <w:rPr>
          <w:spacing w:val="-6"/>
        </w:rPr>
        <w:t> </w:t>
      </w:r>
      <w:r>
        <w:rPr/>
        <w:t>inequality</w:t>
      </w:r>
      <w:r>
        <w:rPr>
          <w:spacing w:val="-58"/>
        </w:rPr>
        <w:t> </w:t>
      </w:r>
      <w:r>
        <w:rPr>
          <w:spacing w:val="-1"/>
        </w:rPr>
        <w:t>has</w:t>
      </w:r>
      <w:r>
        <w:rPr>
          <w:spacing w:val="-10"/>
        </w:rPr>
        <w:t> </w:t>
      </w:r>
      <w:r>
        <w:rPr>
          <w:spacing w:val="-1"/>
        </w:rPr>
        <w:t>severe</w:t>
      </w:r>
      <w:r>
        <w:rPr>
          <w:spacing w:val="-12"/>
        </w:rPr>
        <w:t> </w:t>
      </w:r>
      <w:r>
        <w:rPr>
          <w:spacing w:val="-1"/>
        </w:rPr>
        <w:t>health</w:t>
      </w:r>
      <w:r>
        <w:rPr>
          <w:spacing w:val="-10"/>
        </w:rPr>
        <w:t> </w:t>
      </w:r>
      <w:r>
        <w:rPr>
          <w:spacing w:val="-1"/>
        </w:rPr>
        <w:t>implications.</w:t>
      </w:r>
      <w:r>
        <w:rPr>
          <w:spacing w:val="-6"/>
        </w:rPr>
        <w:t> </w:t>
      </w:r>
      <w:r>
        <w:rPr/>
        <w:t>It</w:t>
      </w:r>
      <w:r>
        <w:rPr>
          <w:spacing w:val="-10"/>
        </w:rPr>
        <w:t> </w:t>
      </w:r>
      <w:r>
        <w:rPr/>
        <w:t>may</w:t>
      </w:r>
      <w:r>
        <w:rPr>
          <w:spacing w:val="-15"/>
        </w:rPr>
        <w:t> </w:t>
      </w:r>
      <w:r>
        <w:rPr/>
        <w:t>lead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more</w:t>
      </w:r>
      <w:r>
        <w:rPr>
          <w:spacing w:val="-10"/>
        </w:rPr>
        <w:t> </w:t>
      </w:r>
      <w:r>
        <w:rPr/>
        <w:t>stress,</w:t>
      </w:r>
      <w:r>
        <w:rPr>
          <w:spacing w:val="-10"/>
        </w:rPr>
        <w:t> </w:t>
      </w:r>
      <w:r>
        <w:rPr/>
        <w:t>frustration,</w:t>
      </w:r>
      <w:r>
        <w:rPr>
          <w:spacing w:val="-10"/>
        </w:rPr>
        <w:t> </w:t>
      </w:r>
      <w:r>
        <w:rPr/>
        <w:t>depression,</w:t>
      </w:r>
      <w:r>
        <w:rPr>
          <w:spacing w:val="-9"/>
        </w:rPr>
        <w:t> </w:t>
      </w:r>
      <w:r>
        <w:rPr/>
        <w:t>anxiety,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then</w:t>
      </w:r>
      <w:r>
        <w:rPr>
          <w:spacing w:val="-58"/>
        </w:rPr>
        <w:t> </w:t>
      </w:r>
      <w:r>
        <w:rPr/>
        <w:t>proneness to illness. Also, increase social dysfunctions, such as, theft, low trust, and kidnapping</w:t>
      </w:r>
      <w:r>
        <w:rPr>
          <w:spacing w:val="1"/>
        </w:rPr>
        <w:t> </w:t>
      </w:r>
      <w:r>
        <w:rPr/>
        <w:t>issues.</w:t>
      </w:r>
      <w:r>
        <w:rPr>
          <w:spacing w:val="-9"/>
        </w:rPr>
        <w:t> </w:t>
      </w:r>
      <w:r>
        <w:rPr/>
        <w:t>Consequently,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leads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fear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shock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relate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stroke,</w:t>
      </w:r>
      <w:r>
        <w:rPr>
          <w:spacing w:val="-9"/>
        </w:rPr>
        <w:t> </w:t>
      </w:r>
      <w:r>
        <w:rPr/>
        <w:t>heart-failure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high-blood</w:t>
      </w:r>
      <w:r>
        <w:rPr>
          <w:spacing w:val="-58"/>
        </w:rPr>
        <w:t> </w:t>
      </w:r>
      <w:r>
        <w:rPr/>
        <w:t>pressure. These results not only correspond with Wilkinson’s hypothesis, but also the finding by</w:t>
      </w:r>
      <w:r>
        <w:rPr>
          <w:spacing w:val="1"/>
        </w:rPr>
        <w:t> </w:t>
      </w:r>
      <w:r>
        <w:rPr/>
        <w:t>Hill </w:t>
      </w:r>
      <w:r>
        <w:rPr>
          <w:i/>
        </w:rPr>
        <w:t>et al. </w:t>
      </w:r>
      <w:r>
        <w:rPr/>
        <w:t>(2019) who observed</w:t>
      </w:r>
      <w:r>
        <w:rPr>
          <w:spacing w:val="-1"/>
        </w:rPr>
        <w:t> </w:t>
      </w:r>
      <w:r>
        <w:rPr/>
        <w:t>that income</w:t>
      </w:r>
      <w:r>
        <w:rPr>
          <w:spacing w:val="-1"/>
        </w:rPr>
        <w:t> </w:t>
      </w:r>
      <w:r>
        <w:rPr/>
        <w:t>disparity</w:t>
      </w:r>
      <w:r>
        <w:rPr>
          <w:spacing w:val="-5"/>
        </w:rPr>
        <w:t> </w:t>
      </w:r>
      <w:r>
        <w:rPr/>
        <w:t>reduces health outcome</w:t>
      </w:r>
      <w:r>
        <w:rPr>
          <w:spacing w:val="-1"/>
        </w:rPr>
        <w:t> </w:t>
      </w:r>
      <w:r>
        <w:rPr/>
        <w:t>in United States.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5"/>
        <w:jc w:val="both"/>
      </w:pPr>
      <w:r>
        <w:rPr/>
        <w:t>Finally, the constant estimate was also significant at 1% level. The likelihood ratio statistics as</w:t>
      </w:r>
      <w:r>
        <w:rPr>
          <w:spacing w:val="1"/>
        </w:rPr>
        <w:t> </w:t>
      </w:r>
      <w:r>
        <w:rPr/>
        <w:t>indicated by Wald chi-squared was 7,996. This was highly significant at probability (p &lt; 0.0001)</w:t>
      </w:r>
      <w:r>
        <w:rPr>
          <w:spacing w:val="1"/>
        </w:rPr>
        <w:t> </w:t>
      </w:r>
      <w:r>
        <w:rPr>
          <w:spacing w:val="-1"/>
          <w:sz w:val="23"/>
        </w:rPr>
        <w:t>suggesting</w:t>
      </w:r>
      <w:r>
        <w:rPr>
          <w:spacing w:val="-12"/>
          <w:sz w:val="23"/>
        </w:rPr>
        <w:t> </w:t>
      </w:r>
      <w:r>
        <w:rPr/>
        <w:t>the</w:t>
      </w:r>
      <w:r>
        <w:rPr>
          <w:spacing w:val="-11"/>
        </w:rPr>
        <w:t> </w:t>
      </w:r>
      <w:r>
        <w:rPr/>
        <w:t>model</w:t>
      </w:r>
      <w:r>
        <w:rPr>
          <w:spacing w:val="-11"/>
        </w:rPr>
        <w:t> </w:t>
      </w:r>
      <w:r>
        <w:rPr/>
        <w:t>has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strong</w:t>
      </w:r>
      <w:r>
        <w:rPr>
          <w:spacing w:val="-15"/>
        </w:rPr>
        <w:t> </w:t>
      </w:r>
      <w:r>
        <w:rPr/>
        <w:t>explaining</w:t>
      </w:r>
      <w:r>
        <w:rPr>
          <w:spacing w:val="-13"/>
        </w:rPr>
        <w:t> </w:t>
      </w:r>
      <w:r>
        <w:rPr/>
        <w:t>power.</w:t>
      </w:r>
      <w:r>
        <w:rPr>
          <w:spacing w:val="-11"/>
        </w:rPr>
        <w:t> </w:t>
      </w:r>
      <w:r>
        <w:rPr/>
        <w:t>Now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>
          <w:sz w:val="23"/>
        </w:rPr>
        <w:t>paramount</w:t>
      </w:r>
      <w:r>
        <w:rPr>
          <w:spacing w:val="-7"/>
          <w:sz w:val="23"/>
        </w:rPr>
        <w:t> </w:t>
      </w:r>
      <w:r>
        <w:rPr/>
        <w:t>question</w:t>
      </w:r>
      <w:r>
        <w:rPr>
          <w:spacing w:val="-12"/>
        </w:rPr>
        <w:t> </w:t>
      </w:r>
      <w:r>
        <w:rPr/>
        <w:t>is,</w:t>
      </w:r>
      <w:r>
        <w:rPr>
          <w:spacing w:val="-11"/>
        </w:rPr>
        <w:t> </w:t>
      </w:r>
      <w:r>
        <w:rPr/>
        <w:t>which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these</w:t>
      </w:r>
      <w:r>
        <w:rPr>
          <w:spacing w:val="-57"/>
        </w:rPr>
        <w:t> </w:t>
      </w:r>
      <w:r>
        <w:rPr/>
        <w:t>regression</w:t>
      </w:r>
      <w:r>
        <w:rPr>
          <w:spacing w:val="-11"/>
        </w:rPr>
        <w:t> </w:t>
      </w:r>
      <w:r>
        <w:rPr/>
        <w:t>models</w:t>
      </w:r>
      <w:r>
        <w:rPr>
          <w:spacing w:val="-11"/>
        </w:rPr>
        <w:t> </w:t>
      </w:r>
      <w:r>
        <w:rPr/>
        <w:t>(POLS,</w:t>
      </w:r>
      <w:r>
        <w:rPr>
          <w:spacing w:val="-10"/>
        </w:rPr>
        <w:t> </w:t>
      </w:r>
      <w:r>
        <w:rPr/>
        <w:t>FE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RE)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most</w:t>
      </w:r>
      <w:r>
        <w:rPr>
          <w:spacing w:val="-10"/>
        </w:rPr>
        <w:t> </w:t>
      </w:r>
      <w:r>
        <w:rPr/>
        <w:t>appropriate.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led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heterogeneity</w:t>
      </w:r>
      <w:r>
        <w:rPr>
          <w:spacing w:val="-12"/>
        </w:rPr>
        <w:t> </w:t>
      </w:r>
      <w:r>
        <w:rPr/>
        <w:t>(the</w:t>
      </w:r>
      <w:r>
        <w:rPr>
          <w:spacing w:val="-10"/>
        </w:rPr>
        <w:t> </w:t>
      </w:r>
      <w:r>
        <w:rPr/>
        <w:t>Breusch-</w:t>
      </w:r>
      <w:r>
        <w:rPr>
          <w:spacing w:val="-57"/>
        </w:rPr>
        <w:t> </w:t>
      </w:r>
      <w:r>
        <w:rPr/>
        <w:t>Pagan</w:t>
      </w:r>
      <w:r>
        <w:rPr>
          <w:spacing w:val="1"/>
        </w:rPr>
        <w:t> </w:t>
      </w:r>
      <w:r>
        <w:rPr/>
        <w:t>Lagrange</w:t>
      </w:r>
      <w:r>
        <w:rPr>
          <w:spacing w:val="-1"/>
        </w:rPr>
        <w:t> </w:t>
      </w:r>
      <w:r>
        <w:rPr/>
        <w:t>Multiplier)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Hausman</w:t>
      </w:r>
      <w:r>
        <w:rPr>
          <w:spacing w:val="-1"/>
        </w:rPr>
        <w:t> </w:t>
      </w:r>
      <w:r>
        <w:rPr/>
        <w:t>specification tests.</w:t>
      </w:r>
    </w:p>
    <w:p>
      <w:pPr>
        <w:pStyle w:val="Heading5"/>
        <w:numPr>
          <w:ilvl w:val="2"/>
          <w:numId w:val="15"/>
        </w:numPr>
        <w:tabs>
          <w:tab w:pos="841" w:val="left" w:leader="none"/>
        </w:tabs>
        <w:spacing w:line="240" w:lineRule="auto" w:before="227" w:after="0"/>
        <w:ind w:left="840" w:right="0" w:hanging="721"/>
        <w:jc w:val="both"/>
      </w:pPr>
      <w:bookmarkStart w:name="_TOC_250014" w:id="63"/>
      <w:r>
        <w:rPr/>
        <w:t>Heterogeneity</w:t>
      </w:r>
      <w:r>
        <w:rPr>
          <w:spacing w:val="-2"/>
        </w:rPr>
        <w:t> </w:t>
      </w:r>
      <w:r>
        <w:rPr/>
        <w:t>Test:</w:t>
      </w:r>
      <w:r>
        <w:rPr>
          <w:spacing w:val="-1"/>
        </w:rPr>
        <w:t> </w:t>
      </w:r>
      <w:r>
        <w:rPr/>
        <w:t>Breusch-Pagan</w:t>
      </w:r>
      <w:r>
        <w:rPr>
          <w:spacing w:val="-2"/>
        </w:rPr>
        <w:t> </w:t>
      </w:r>
      <w:r>
        <w:rPr/>
        <w:t>Lagrange</w:t>
      </w:r>
      <w:r>
        <w:rPr>
          <w:spacing w:val="-1"/>
        </w:rPr>
        <w:t> </w:t>
      </w:r>
      <w:bookmarkEnd w:id="63"/>
      <w:r>
        <w:rPr/>
        <w:t>Multiplier</w:t>
      </w:r>
    </w:p>
    <w:p>
      <w:pPr>
        <w:pStyle w:val="BodyText"/>
        <w:spacing w:line="360" w:lineRule="auto" w:before="20"/>
        <w:ind w:left="120" w:right="114"/>
        <w:jc w:val="both"/>
      </w:pPr>
      <w:r>
        <w:rPr/>
        <w:t>The</w:t>
      </w:r>
      <w:r>
        <w:rPr>
          <w:spacing w:val="-3"/>
        </w:rPr>
        <w:t> </w:t>
      </w:r>
      <w:r>
        <w:rPr/>
        <w:t>POLS</w:t>
      </w:r>
      <w:r>
        <w:rPr>
          <w:spacing w:val="-1"/>
        </w:rPr>
        <w:t> </w:t>
      </w:r>
      <w:r>
        <w:rPr/>
        <w:t>model</w:t>
      </w:r>
      <w:r>
        <w:rPr>
          <w:spacing w:val="-3"/>
        </w:rPr>
        <w:t> </w:t>
      </w:r>
      <w:r>
        <w:rPr/>
        <w:t>assumed</w:t>
      </w:r>
      <w:r>
        <w:rPr>
          <w:spacing w:val="-1"/>
        </w:rPr>
        <w:t> </w:t>
      </w:r>
      <w:r>
        <w:rPr/>
        <w:t>every</w:t>
      </w:r>
      <w:r>
        <w:rPr>
          <w:spacing w:val="-9"/>
        </w:rPr>
        <w:t> </w:t>
      </w:r>
      <w:r>
        <w:rPr/>
        <w:t>household in</w:t>
      </w:r>
      <w:r>
        <w:rPr>
          <w:spacing w:val="-1"/>
        </w:rPr>
        <w:t> </w:t>
      </w:r>
      <w:r>
        <w:rPr/>
        <w:t>36</w:t>
      </w:r>
      <w:r>
        <w:rPr>
          <w:spacing w:val="-1"/>
        </w:rPr>
        <w:t> </w:t>
      </w:r>
      <w:r>
        <w:rPr/>
        <w:t>states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FCT</w:t>
      </w:r>
      <w:r>
        <w:rPr>
          <w:spacing w:val="-1"/>
        </w:rPr>
        <w:t> </w:t>
      </w:r>
      <w:r>
        <w:rPr/>
        <w:t>Abuja 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same.</w:t>
      </w:r>
      <w:r>
        <w:rPr>
          <w:vertAlign w:val="superscript"/>
        </w:rPr>
        <w:t>15</w:t>
      </w:r>
      <w:r>
        <w:rPr>
          <w:spacing w:val="-2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-58"/>
          <w:vertAlign w:val="baseline"/>
        </w:rPr>
        <w:t> </w:t>
      </w:r>
      <w:r>
        <w:rPr>
          <w:vertAlign w:val="baseline"/>
        </w:rPr>
        <w:t>severe biases can arise from this, because it suggests that there are </w:t>
      </w:r>
      <w:r>
        <w:rPr>
          <w:i/>
          <w:vertAlign w:val="baseline"/>
        </w:rPr>
        <w:t>no </w:t>
      </w:r>
      <w:r>
        <w:rPr>
          <w:vertAlign w:val="baseline"/>
        </w:rPr>
        <w:t>unique attributes of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-6"/>
          <w:vertAlign w:val="baseline"/>
        </w:rPr>
        <w:t> </w:t>
      </w:r>
      <w:r>
        <w:rPr>
          <w:vertAlign w:val="baseline"/>
        </w:rPr>
        <w:t>states</w:t>
      </w:r>
      <w:r>
        <w:rPr>
          <w:spacing w:val="-6"/>
          <w:vertAlign w:val="baseline"/>
        </w:rPr>
        <w:t> </w:t>
      </w:r>
      <w:r>
        <w:rPr>
          <w:vertAlign w:val="baseline"/>
        </w:rPr>
        <w:t>within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geo-political</w:t>
      </w:r>
      <w:r>
        <w:rPr>
          <w:spacing w:val="-6"/>
          <w:vertAlign w:val="baseline"/>
        </w:rPr>
        <w:t> </w:t>
      </w:r>
      <w:r>
        <w:rPr>
          <w:vertAlign w:val="baseline"/>
        </w:rPr>
        <w:t>zones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-6"/>
          <w:vertAlign w:val="baseline"/>
        </w:rPr>
        <w:t> </w:t>
      </w:r>
      <w:r>
        <w:rPr>
          <w:vertAlign w:val="baseline"/>
        </w:rPr>
        <w:t>Such</w:t>
      </w:r>
      <w:r>
        <w:rPr>
          <w:spacing w:val="-4"/>
          <w:vertAlign w:val="baseline"/>
        </w:rPr>
        <w:t> </w:t>
      </w:r>
      <w:r>
        <w:rPr>
          <w:vertAlign w:val="baseline"/>
        </w:rPr>
        <w:t>assumption</w:t>
      </w:r>
      <w:r>
        <w:rPr>
          <w:spacing w:val="-6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highly</w:t>
      </w:r>
      <w:r>
        <w:rPr>
          <w:spacing w:val="-8"/>
          <w:vertAlign w:val="baseline"/>
        </w:rPr>
        <w:t> </w:t>
      </w:r>
      <w:r>
        <w:rPr>
          <w:vertAlign w:val="baseline"/>
        </w:rPr>
        <w:t>restrictive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58"/>
          <w:vertAlign w:val="baseline"/>
        </w:rPr>
        <w:t> </w:t>
      </w:r>
      <w:r>
        <w:rPr>
          <w:vertAlign w:val="baseline"/>
        </w:rPr>
        <w:t>a panel with heterogeneous households (Sarker </w:t>
      </w:r>
      <w:r>
        <w:rPr>
          <w:i/>
          <w:vertAlign w:val="baseline"/>
        </w:rPr>
        <w:t>et al., </w:t>
      </w:r>
      <w:r>
        <w:rPr>
          <w:vertAlign w:val="baseline"/>
        </w:rPr>
        <w:t>2018). Hence to check the homogeneity or</w:t>
      </w:r>
      <w:r>
        <w:rPr>
          <w:spacing w:val="1"/>
          <w:vertAlign w:val="baseline"/>
        </w:rPr>
        <w:t> </w:t>
      </w:r>
      <w:r>
        <w:rPr>
          <w:vertAlign w:val="baseline"/>
        </w:rPr>
        <w:t>heterogeneity of NGHPS Waves, the Breusch-Pagan LM was employed (see Molla </w:t>
      </w:r>
      <w:r>
        <w:rPr>
          <w:i/>
          <w:vertAlign w:val="baseline"/>
        </w:rPr>
        <w:t>et al., </w:t>
      </w:r>
      <w:r>
        <w:rPr>
          <w:vertAlign w:val="baseline"/>
        </w:rPr>
        <w:t>2017).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null hypothesis (</w:t>
      </w:r>
      <w:r>
        <w:rPr>
          <w:rFonts w:ascii="Cambria Math"/>
          <w:vertAlign w:val="baseline"/>
        </w:rPr>
        <w:t>H</w:t>
      </w:r>
      <w:r>
        <w:rPr>
          <w:rFonts w:ascii="Cambria Math"/>
          <w:vertAlign w:val="subscript"/>
        </w:rPr>
        <w:t>o</w:t>
      </w:r>
      <w:r>
        <w:rPr>
          <w:vertAlign w:val="baseline"/>
        </w:rPr>
        <w:t>) of the test is homoskedasticity of households and states in Nigeria, 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is, POL</w:t>
      </w:r>
      <w:r>
        <w:rPr>
          <w:spacing w:val="-6"/>
          <w:vertAlign w:val="baseline"/>
        </w:rPr>
        <w:t> </w:t>
      </w:r>
      <w:r>
        <w:rPr>
          <w:vertAlign w:val="baseline"/>
        </w:rPr>
        <w:t>might be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-1"/>
          <w:vertAlign w:val="baseline"/>
        </w:rPr>
        <w:t> </w:t>
      </w:r>
      <w:r>
        <w:rPr>
          <w:vertAlign w:val="baseline"/>
        </w:rPr>
        <w:t>model (as Table</w:t>
      </w:r>
      <w:r>
        <w:rPr>
          <w:spacing w:val="1"/>
          <w:vertAlign w:val="baseline"/>
        </w:rPr>
        <w:t> </w:t>
      </w:r>
      <w:r>
        <w:rPr>
          <w:vertAlign w:val="baseline"/>
        </w:rPr>
        <w:t>5.16 presented).</w:t>
      </w:r>
    </w:p>
    <w:p>
      <w:pPr>
        <w:pStyle w:val="Heading4"/>
        <w:spacing w:before="121"/>
        <w:ind w:left="1867"/>
      </w:pPr>
      <w:r>
        <w:rPr/>
        <w:t>Table</w:t>
      </w:r>
      <w:r>
        <w:rPr>
          <w:spacing w:val="-2"/>
        </w:rPr>
        <w:t> </w:t>
      </w:r>
      <w:r>
        <w:rPr/>
        <w:t>5.16:</w:t>
      </w:r>
      <w:r>
        <w:rPr>
          <w:spacing w:val="-1"/>
        </w:rPr>
        <w:t> </w:t>
      </w:r>
      <w:r>
        <w:rPr/>
        <w:t>Homogeneity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NGHPS</w:t>
      </w:r>
      <w:r>
        <w:rPr>
          <w:spacing w:val="-2"/>
        </w:rPr>
        <w:t> </w:t>
      </w:r>
      <w:r>
        <w:rPr/>
        <w:t>Waves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6"/>
        <w:gridCol w:w="1260"/>
        <w:gridCol w:w="1348"/>
        <w:gridCol w:w="4675"/>
      </w:tblGrid>
      <w:tr>
        <w:trPr>
          <w:trHeight w:val="390" w:hRule="atLeast"/>
        </w:trPr>
        <w:tc>
          <w:tcPr>
            <w:tcW w:w="2066" w:type="dxa"/>
          </w:tcPr>
          <w:p>
            <w:pPr>
              <w:pStyle w:val="TableParagraph"/>
              <w:spacing w:line="247" w:lineRule="exact"/>
              <w:ind w:right="349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Homogeneity</w:t>
            </w:r>
            <w:r>
              <w:rPr>
                <w:rFonts w:asci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Test</w:t>
            </w:r>
          </w:p>
        </w:tc>
        <w:tc>
          <w:tcPr>
            <w:tcW w:w="1260" w:type="dxa"/>
          </w:tcPr>
          <w:p>
            <w:pPr>
              <w:pStyle w:val="TableParagraph"/>
              <w:spacing w:before="4"/>
              <w:ind w:left="162" w:right="161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rFonts w:ascii="Cambria Math" w:hAnsi="Cambria Math" w:eastAsia="Cambria Math"/>
                <w:w w:val="105"/>
                <w:sz w:val="22"/>
              </w:rPr>
              <w:t>𝐶ℎ𝑖</w:t>
            </w:r>
            <w:r>
              <w:rPr>
                <w:rFonts w:ascii="Cambria Math" w:hAnsi="Cambria Math" w:eastAsia="Cambria Math"/>
                <w:w w:val="105"/>
                <w:sz w:val="22"/>
                <w:vertAlign w:val="superscript"/>
              </w:rPr>
              <w:t>2</w:t>
            </w:r>
          </w:p>
        </w:tc>
        <w:tc>
          <w:tcPr>
            <w:tcW w:w="1348" w:type="dxa"/>
          </w:tcPr>
          <w:p>
            <w:pPr>
              <w:pStyle w:val="TableParagraph"/>
              <w:spacing w:line="247" w:lineRule="exact"/>
              <w:ind w:left="152" w:right="143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Probability</w:t>
            </w:r>
          </w:p>
        </w:tc>
        <w:tc>
          <w:tcPr>
            <w:tcW w:w="4675" w:type="dxa"/>
          </w:tcPr>
          <w:p>
            <w:pPr>
              <w:pStyle w:val="TableParagraph"/>
              <w:spacing w:line="247" w:lineRule="exact"/>
              <w:ind w:left="1976" w:right="1963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Remark</w:t>
            </w:r>
          </w:p>
        </w:tc>
      </w:tr>
      <w:tr>
        <w:trPr>
          <w:trHeight w:val="760" w:hRule="atLeast"/>
        </w:trPr>
        <w:tc>
          <w:tcPr>
            <w:tcW w:w="2066" w:type="dxa"/>
          </w:tcPr>
          <w:p>
            <w:pPr>
              <w:pStyle w:val="TableParagraph"/>
              <w:spacing w:line="249" w:lineRule="exact"/>
              <w:ind w:right="36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Breusch-Pagan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/>
              <w:ind w:left="168" w:right="16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21,144.93</w:t>
            </w:r>
          </w:p>
        </w:tc>
        <w:tc>
          <w:tcPr>
            <w:tcW w:w="1348" w:type="dxa"/>
          </w:tcPr>
          <w:p>
            <w:pPr>
              <w:pStyle w:val="TableParagraph"/>
              <w:spacing w:line="249" w:lineRule="exact"/>
              <w:ind w:left="152" w:right="14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0.0000</w:t>
            </w:r>
          </w:p>
        </w:tc>
        <w:tc>
          <w:tcPr>
            <w:tcW w:w="4675" w:type="dxa"/>
          </w:tcPr>
          <w:p>
            <w:pPr>
              <w:pStyle w:val="TableParagraph"/>
              <w:spacing w:line="249" w:lineRule="exact"/>
              <w:ind w:left="10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Since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p-values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9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Breusch-Pagan</w:t>
            </w:r>
            <w:r>
              <w:rPr>
                <w:rFonts w:ascii="Times New Roman"/>
                <w:spacing w:val="9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test</w:t>
            </w:r>
            <w:r>
              <w:rPr>
                <w:rFonts w:ascii="Times New Roman"/>
                <w:spacing w:val="7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is</w:t>
            </w:r>
            <w:r>
              <w:rPr>
                <w:rFonts w:ascii="Times New Roman"/>
                <w:spacing w:val="9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below</w:t>
            </w:r>
          </w:p>
          <w:p>
            <w:pPr>
              <w:pStyle w:val="TableParagraph"/>
              <w:spacing w:before="126"/>
              <w:ind w:left="10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0.01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level,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model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heterogenous</w:t>
            </w:r>
          </w:p>
        </w:tc>
      </w:tr>
    </w:tbl>
    <w:p>
      <w:pPr>
        <w:spacing w:before="0"/>
        <w:ind w:left="120" w:right="0" w:firstLine="0"/>
        <w:jc w:val="both"/>
        <w:rPr>
          <w:sz w:val="22"/>
        </w:rPr>
      </w:pPr>
      <w:r>
        <w:rPr>
          <w:i/>
          <w:sz w:val="22"/>
        </w:rPr>
        <w:t>Source:</w:t>
      </w:r>
      <w:r>
        <w:rPr>
          <w:i/>
          <w:spacing w:val="-1"/>
          <w:sz w:val="22"/>
        </w:rPr>
        <w:t> </w:t>
      </w:r>
      <w:r>
        <w:rPr>
          <w:sz w:val="22"/>
        </w:rPr>
        <w:t>Researcher’s</w:t>
      </w:r>
      <w:r>
        <w:rPr>
          <w:spacing w:val="-1"/>
          <w:sz w:val="22"/>
        </w:rPr>
        <w:t> </w:t>
      </w:r>
      <w:r>
        <w:rPr>
          <w:sz w:val="22"/>
        </w:rPr>
        <w:t>Computation</w:t>
      </w:r>
      <w:r>
        <w:rPr>
          <w:spacing w:val="-2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Stata</w:t>
      </w:r>
      <w:r>
        <w:rPr>
          <w:spacing w:val="-2"/>
          <w:sz w:val="22"/>
        </w:rPr>
        <w:t> </w:t>
      </w:r>
      <w:r>
        <w:rPr>
          <w:sz w:val="22"/>
        </w:rPr>
        <w:t>13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360" w:lineRule="auto" w:before="1"/>
        <w:ind w:left="120" w:right="115"/>
        <w:jc w:val="both"/>
      </w:pPr>
      <w:r>
        <w:rPr/>
        <w:t>The</w:t>
      </w:r>
      <w:r>
        <w:rPr>
          <w:spacing w:val="-7"/>
        </w:rPr>
        <w:t> </w:t>
      </w:r>
      <w:r>
        <w:rPr/>
        <w:t>BP</w:t>
      </w:r>
      <w:r>
        <w:rPr>
          <w:spacing w:val="-6"/>
        </w:rPr>
        <w:t> </w:t>
      </w:r>
      <w:r>
        <w:rPr/>
        <w:t>test</w:t>
      </w:r>
      <w:r>
        <w:rPr>
          <w:spacing w:val="-6"/>
        </w:rPr>
        <w:t> </w:t>
      </w:r>
      <w:r>
        <w:rPr/>
        <w:t>statistic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p-values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suggest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model</w:t>
      </w:r>
      <w:r>
        <w:rPr>
          <w:spacing w:val="-6"/>
        </w:rPr>
        <w:t> </w:t>
      </w:r>
      <w:r>
        <w:rPr/>
        <w:t>does</w:t>
      </w:r>
      <w:r>
        <w:rPr>
          <w:spacing w:val="-6"/>
        </w:rPr>
        <w:t> </w:t>
      </w:r>
      <w:r>
        <w:rPr>
          <w:i/>
        </w:rPr>
        <w:t>not</w:t>
      </w:r>
      <w:r>
        <w:rPr>
          <w:i/>
          <w:spacing w:val="-6"/>
        </w:rPr>
        <w:t> </w:t>
      </w:r>
      <w:r>
        <w:rPr/>
        <w:t>suffer</w:t>
      </w:r>
      <w:r>
        <w:rPr>
          <w:spacing w:val="-7"/>
        </w:rPr>
        <w:t> </w:t>
      </w:r>
      <w:r>
        <w:rPr/>
        <w:t>from</w:t>
      </w:r>
      <w:r>
        <w:rPr>
          <w:spacing w:val="-57"/>
        </w:rPr>
        <w:t> </w:t>
      </w:r>
      <w:r>
        <w:rPr/>
        <w:t>heteroskedasticity problem. Thus, we conclude that there is considerable heterogeneity across the</w:t>
      </w:r>
      <w:r>
        <w:rPr>
          <w:spacing w:val="-57"/>
        </w:rPr>
        <w:t> </w:t>
      </w:r>
      <w:r>
        <w:rPr/>
        <w:t>36 states of the federation and thus the POL model may not be appropriate in explaining poor</w:t>
      </w:r>
      <w:r>
        <w:rPr>
          <w:spacing w:val="1"/>
        </w:rPr>
        <w:t> </w:t>
      </w:r>
      <w:r>
        <w:rPr/>
        <w:t>health outcomes in Nigeria. This was consistent with the studies of Anyamele </w:t>
      </w:r>
      <w:r>
        <w:rPr>
          <w:i/>
        </w:rPr>
        <w:t>et al. </w:t>
      </w:r>
      <w:r>
        <w:rPr/>
        <w:t>(2015:7) who</w:t>
      </w:r>
      <w:r>
        <w:rPr>
          <w:spacing w:val="-58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that households</w:t>
      </w:r>
      <w:r>
        <w:rPr>
          <w:spacing w:val="2"/>
        </w:rPr>
        <w:t> </w:t>
      </w:r>
      <w:r>
        <w:rPr/>
        <w:t>across the</w:t>
      </w:r>
      <w:r>
        <w:rPr>
          <w:spacing w:val="-1"/>
        </w:rPr>
        <w:t> </w:t>
      </w:r>
      <w:r>
        <w:rPr/>
        <w:t>36</w:t>
      </w:r>
      <w:r>
        <w:rPr>
          <w:spacing w:val="-1"/>
        </w:rPr>
        <w:t> </w:t>
      </w:r>
      <w:r>
        <w:rPr/>
        <w:t>states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FCT</w:t>
      </w:r>
      <w:r>
        <w:rPr>
          <w:spacing w:val="-1"/>
        </w:rPr>
        <w:t> </w:t>
      </w:r>
      <w:r>
        <w:rPr/>
        <w:t>Abuja are</w:t>
      </w:r>
      <w:r>
        <w:rPr>
          <w:spacing w:val="-2"/>
        </w:rPr>
        <w:t> </w:t>
      </w:r>
      <w:r>
        <w:rPr/>
        <w:t>not the</w:t>
      </w:r>
      <w:r>
        <w:rPr>
          <w:spacing w:val="-2"/>
        </w:rPr>
        <w:t> </w:t>
      </w:r>
      <w:r>
        <w:rPr/>
        <w:t>same.</w:t>
      </w:r>
    </w:p>
    <w:p>
      <w:pPr>
        <w:pStyle w:val="Heading5"/>
        <w:numPr>
          <w:ilvl w:val="2"/>
          <w:numId w:val="15"/>
        </w:numPr>
        <w:tabs>
          <w:tab w:pos="841" w:val="left" w:leader="none"/>
        </w:tabs>
        <w:spacing w:line="240" w:lineRule="auto" w:before="227" w:after="0"/>
        <w:ind w:left="840" w:right="0" w:hanging="721"/>
        <w:jc w:val="both"/>
      </w:pPr>
      <w:bookmarkStart w:name="_TOC_250013" w:id="64"/>
      <w:r>
        <w:rPr/>
        <w:t>Hausman</w:t>
      </w:r>
      <w:r>
        <w:rPr>
          <w:spacing w:val="-4"/>
        </w:rPr>
        <w:t> </w:t>
      </w:r>
      <w:r>
        <w:rPr/>
        <w:t>Specification</w:t>
      </w:r>
      <w:r>
        <w:rPr>
          <w:spacing w:val="-2"/>
        </w:rPr>
        <w:t> </w:t>
      </w:r>
      <w:bookmarkEnd w:id="64"/>
      <w:r>
        <w:rPr/>
        <w:t>Test</w:t>
      </w:r>
    </w:p>
    <w:p>
      <w:pPr>
        <w:pStyle w:val="BodyText"/>
        <w:spacing w:line="360" w:lineRule="auto" w:before="19"/>
        <w:ind w:left="120" w:right="115"/>
        <w:jc w:val="both"/>
      </w:pPr>
      <w:r>
        <w:rPr/>
        <w:t>The</w:t>
      </w:r>
      <w:r>
        <w:rPr>
          <w:spacing w:val="-11"/>
        </w:rPr>
        <w:t> </w:t>
      </w:r>
      <w:r>
        <w:rPr/>
        <w:t>Fixed</w:t>
      </w:r>
      <w:r>
        <w:rPr>
          <w:spacing w:val="-9"/>
        </w:rPr>
        <w:t> </w:t>
      </w:r>
      <w:r>
        <w:rPr/>
        <w:t>Effect</w:t>
      </w:r>
      <w:r>
        <w:rPr>
          <w:spacing w:val="-8"/>
        </w:rPr>
        <w:t> </w:t>
      </w:r>
      <w:r>
        <w:rPr/>
        <w:t>(FE)</w:t>
      </w:r>
      <w:r>
        <w:rPr>
          <w:spacing w:val="-9"/>
        </w:rPr>
        <w:t> </w:t>
      </w:r>
      <w:r>
        <w:rPr/>
        <w:t>model</w:t>
      </w:r>
      <w:r>
        <w:rPr>
          <w:spacing w:val="-9"/>
        </w:rPr>
        <w:t> </w:t>
      </w:r>
      <w:r>
        <w:rPr/>
        <w:t>assumes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there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unique</w:t>
      </w:r>
      <w:r>
        <w:rPr>
          <w:spacing w:val="-9"/>
        </w:rPr>
        <w:t> </w:t>
      </w:r>
      <w:r>
        <w:rPr/>
        <w:t>attributes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individual</w:t>
      </w:r>
      <w:r>
        <w:rPr>
          <w:spacing w:val="-9"/>
        </w:rPr>
        <w:t> </w:t>
      </w:r>
      <w:r>
        <w:rPr/>
        <w:t>states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predict</w:t>
      </w:r>
      <w:r>
        <w:rPr>
          <w:spacing w:val="-58"/>
        </w:rPr>
        <w:t> </w:t>
      </w:r>
      <w:r>
        <w:rPr/>
        <w:t>their</w:t>
      </w:r>
      <w:r>
        <w:rPr>
          <w:spacing w:val="-5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income</w:t>
      </w:r>
      <w:r>
        <w:rPr>
          <w:spacing w:val="-3"/>
        </w:rPr>
        <w:t> </w:t>
      </w:r>
      <w:r>
        <w:rPr/>
        <w:t>inequality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outcomes. 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contrary,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assumes</w:t>
      </w:r>
      <w:r>
        <w:rPr>
          <w:spacing w:val="-4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there are unique time constant attributes of states that are not correlated. Thus, to specify the</w:t>
      </w:r>
      <w:r>
        <w:rPr>
          <w:spacing w:val="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model between</w:t>
      </w:r>
      <w:r>
        <w:rPr>
          <w:spacing w:val="-1"/>
        </w:rPr>
        <w:t> </w:t>
      </w:r>
      <w:r>
        <w:rPr/>
        <w:t>FE and RE,</w:t>
      </w:r>
      <w:r>
        <w:rPr>
          <w:spacing w:val="-1"/>
        </w:rPr>
        <w:t> </w:t>
      </w:r>
      <w:r>
        <w:rPr/>
        <w:t>Hausman</w:t>
      </w:r>
      <w:r>
        <w:rPr>
          <w:spacing w:val="1"/>
        </w:rPr>
        <w:t> </w:t>
      </w:r>
      <w:r>
        <w:rPr/>
        <w:t>specification test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applied.</w:t>
      </w:r>
    </w:p>
    <w:p>
      <w:pPr>
        <w:pStyle w:val="BodyText"/>
        <w:spacing w:before="6"/>
        <w:rPr>
          <w:sz w:val="11"/>
        </w:rPr>
      </w:pPr>
      <w:r>
        <w:rPr/>
        <w:pict>
          <v:rect style="position:absolute;margin-left:72.024002pt;margin-top:8.604219pt;width:144.020pt;height:.71997pt;mso-position-horizontal-relative:page;mso-position-vertical-relative:paragraph;z-index:-156733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6"/>
        <w:ind w:left="120" w:right="102" w:firstLine="0"/>
        <w:jc w:val="left"/>
        <w:rPr>
          <w:sz w:val="19"/>
        </w:rPr>
      </w:pPr>
      <w:r>
        <w:rPr>
          <w:rFonts w:ascii="Calibri"/>
          <w:position w:val="6"/>
          <w:sz w:val="12"/>
        </w:rPr>
        <w:t>15</w:t>
      </w:r>
      <w:r>
        <w:rPr>
          <w:rFonts w:ascii="Calibri"/>
          <w:spacing w:val="10"/>
          <w:position w:val="6"/>
          <w:sz w:val="12"/>
        </w:rPr>
        <w:t> </w:t>
      </w:r>
      <w:r>
        <w:rPr>
          <w:sz w:val="19"/>
        </w:rPr>
        <w:t>POLS</w:t>
      </w:r>
      <w:r>
        <w:rPr>
          <w:spacing w:val="-2"/>
          <w:sz w:val="19"/>
        </w:rPr>
        <w:t> </w:t>
      </w:r>
      <w:r>
        <w:rPr>
          <w:sz w:val="19"/>
        </w:rPr>
        <w:t>model</w:t>
      </w:r>
      <w:r>
        <w:rPr>
          <w:spacing w:val="-4"/>
          <w:sz w:val="19"/>
        </w:rPr>
        <w:t> </w:t>
      </w:r>
      <w:r>
        <w:rPr>
          <w:sz w:val="19"/>
        </w:rPr>
        <w:t>is</w:t>
      </w:r>
      <w:r>
        <w:rPr>
          <w:spacing w:val="-3"/>
          <w:sz w:val="19"/>
        </w:rPr>
        <w:t> </w:t>
      </w:r>
      <w:r>
        <w:rPr>
          <w:sz w:val="19"/>
        </w:rPr>
        <w:t>simply</w:t>
      </w:r>
      <w:r>
        <w:rPr>
          <w:spacing w:val="-8"/>
          <w:sz w:val="19"/>
        </w:rPr>
        <w:t> </w:t>
      </w:r>
      <w:r>
        <w:rPr>
          <w:sz w:val="19"/>
        </w:rPr>
        <w:t>an</w:t>
      </w:r>
      <w:r>
        <w:rPr>
          <w:spacing w:val="-4"/>
          <w:sz w:val="19"/>
        </w:rPr>
        <w:t> </w:t>
      </w:r>
      <w:r>
        <w:rPr>
          <w:sz w:val="19"/>
        </w:rPr>
        <w:t>OLS technique</w:t>
      </w:r>
      <w:r>
        <w:rPr>
          <w:spacing w:val="-4"/>
          <w:sz w:val="19"/>
        </w:rPr>
        <w:t> </w:t>
      </w:r>
      <w:r>
        <w:rPr>
          <w:sz w:val="19"/>
        </w:rPr>
        <w:t>run</w:t>
      </w:r>
      <w:r>
        <w:rPr>
          <w:spacing w:val="-2"/>
          <w:sz w:val="19"/>
        </w:rPr>
        <w:t> </w:t>
      </w:r>
      <w:r>
        <w:rPr>
          <w:sz w:val="19"/>
        </w:rPr>
        <w:t>on</w:t>
      </w:r>
      <w:r>
        <w:rPr>
          <w:spacing w:val="-3"/>
          <w:sz w:val="19"/>
        </w:rPr>
        <w:t> </w:t>
      </w:r>
      <w:r>
        <w:rPr>
          <w:sz w:val="19"/>
        </w:rPr>
        <w:t>panel</w:t>
      </w:r>
      <w:r>
        <w:rPr>
          <w:spacing w:val="-4"/>
          <w:sz w:val="19"/>
        </w:rPr>
        <w:t> </w:t>
      </w:r>
      <w:r>
        <w:rPr>
          <w:sz w:val="19"/>
        </w:rPr>
        <w:t>data.</w:t>
      </w:r>
      <w:r>
        <w:rPr>
          <w:spacing w:val="-4"/>
          <w:sz w:val="19"/>
        </w:rPr>
        <w:t> </w:t>
      </w:r>
      <w:r>
        <w:rPr>
          <w:sz w:val="19"/>
        </w:rPr>
        <w:t>Thus,</w:t>
      </w:r>
      <w:r>
        <w:rPr>
          <w:spacing w:val="-3"/>
          <w:sz w:val="19"/>
        </w:rPr>
        <w:t> </w:t>
      </w:r>
      <w:r>
        <w:rPr>
          <w:sz w:val="19"/>
        </w:rPr>
        <w:t>all</w:t>
      </w:r>
      <w:r>
        <w:rPr>
          <w:spacing w:val="-4"/>
          <w:sz w:val="19"/>
        </w:rPr>
        <w:t> </w:t>
      </w:r>
      <w:r>
        <w:rPr>
          <w:sz w:val="19"/>
        </w:rPr>
        <w:t>individually</w:t>
      </w:r>
      <w:r>
        <w:rPr>
          <w:spacing w:val="-8"/>
          <w:sz w:val="19"/>
        </w:rPr>
        <w:t> </w:t>
      </w:r>
      <w:r>
        <w:rPr>
          <w:sz w:val="19"/>
        </w:rPr>
        <w:t>specific</w:t>
      </w:r>
      <w:r>
        <w:rPr>
          <w:spacing w:val="-4"/>
          <w:sz w:val="19"/>
        </w:rPr>
        <w:t> </w:t>
      </w:r>
      <w:r>
        <w:rPr>
          <w:sz w:val="19"/>
        </w:rPr>
        <w:t>effects</w:t>
      </w:r>
      <w:r>
        <w:rPr>
          <w:spacing w:val="-3"/>
          <w:sz w:val="19"/>
        </w:rPr>
        <w:t> </w:t>
      </w:r>
      <w:r>
        <w:rPr>
          <w:sz w:val="19"/>
        </w:rPr>
        <w:t>are</w:t>
      </w:r>
      <w:r>
        <w:rPr>
          <w:spacing w:val="-4"/>
          <w:sz w:val="19"/>
        </w:rPr>
        <w:t> </w:t>
      </w:r>
      <w:r>
        <w:rPr>
          <w:sz w:val="19"/>
        </w:rPr>
        <w:t>completely</w:t>
      </w:r>
      <w:r>
        <w:rPr>
          <w:spacing w:val="-8"/>
          <w:sz w:val="19"/>
        </w:rPr>
        <w:t> </w:t>
      </w:r>
      <w:r>
        <w:rPr>
          <w:sz w:val="19"/>
        </w:rPr>
        <w:t>ignored</w:t>
      </w:r>
      <w:r>
        <w:rPr>
          <w:spacing w:val="-44"/>
          <w:sz w:val="19"/>
        </w:rPr>
        <w:t> </w:t>
      </w:r>
      <w:r>
        <w:rPr>
          <w:sz w:val="19"/>
        </w:rPr>
        <w:t>in</w:t>
      </w:r>
      <w:r>
        <w:rPr>
          <w:spacing w:val="-1"/>
          <w:sz w:val="19"/>
        </w:rPr>
        <w:t> </w:t>
      </w:r>
      <w:r>
        <w:rPr>
          <w:sz w:val="19"/>
        </w:rPr>
        <w:t>this</w:t>
      </w:r>
      <w:r>
        <w:rPr>
          <w:spacing w:val="-2"/>
          <w:sz w:val="19"/>
        </w:rPr>
        <w:t> </w:t>
      </w:r>
      <w:r>
        <w:rPr>
          <w:sz w:val="19"/>
        </w:rPr>
        <w:t>model;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3"/>
          <w:sz w:val="19"/>
        </w:rPr>
        <w:t> </w:t>
      </w:r>
      <w:r>
        <w:rPr>
          <w:sz w:val="19"/>
        </w:rPr>
        <w:t>due</w:t>
      </w:r>
      <w:r>
        <w:rPr>
          <w:spacing w:val="-5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that</w:t>
      </w:r>
      <w:r>
        <w:rPr>
          <w:spacing w:val="-3"/>
          <w:sz w:val="19"/>
        </w:rPr>
        <w:t> </w:t>
      </w:r>
      <w:r>
        <w:rPr>
          <w:sz w:val="19"/>
        </w:rPr>
        <w:t>a</w:t>
      </w:r>
      <w:r>
        <w:rPr>
          <w:spacing w:val="-1"/>
          <w:sz w:val="19"/>
        </w:rPr>
        <w:t> </w:t>
      </w:r>
      <w:r>
        <w:rPr>
          <w:sz w:val="19"/>
        </w:rPr>
        <w:t>lot</w:t>
      </w:r>
      <w:r>
        <w:rPr>
          <w:spacing w:val="-2"/>
          <w:sz w:val="19"/>
        </w:rPr>
        <w:t> </w:t>
      </w:r>
      <w:r>
        <w:rPr>
          <w:sz w:val="19"/>
        </w:rPr>
        <w:t>of</w:t>
      </w:r>
      <w:r>
        <w:rPr>
          <w:spacing w:val="-1"/>
          <w:sz w:val="19"/>
        </w:rPr>
        <w:t> </w:t>
      </w:r>
      <w:r>
        <w:rPr>
          <w:sz w:val="19"/>
        </w:rPr>
        <w:t>basic</w:t>
      </w:r>
      <w:r>
        <w:rPr>
          <w:spacing w:val="-2"/>
          <w:sz w:val="19"/>
        </w:rPr>
        <w:t> </w:t>
      </w:r>
      <w:r>
        <w:rPr>
          <w:sz w:val="19"/>
        </w:rPr>
        <w:t>assumptions</w:t>
      </w:r>
      <w:r>
        <w:rPr>
          <w:spacing w:val="-4"/>
          <w:sz w:val="19"/>
        </w:rPr>
        <w:t> </w:t>
      </w:r>
      <w:r>
        <w:rPr>
          <w:sz w:val="19"/>
        </w:rPr>
        <w:t>of</w:t>
      </w:r>
      <w:r>
        <w:rPr>
          <w:spacing w:val="-1"/>
          <w:sz w:val="19"/>
        </w:rPr>
        <w:t> </w:t>
      </w:r>
      <w:r>
        <w:rPr>
          <w:sz w:val="19"/>
        </w:rPr>
        <w:t>FE</w:t>
      </w:r>
      <w:r>
        <w:rPr>
          <w:spacing w:val="-3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RE</w:t>
      </w:r>
      <w:r>
        <w:rPr>
          <w:spacing w:val="-3"/>
          <w:sz w:val="19"/>
        </w:rPr>
        <w:t> </w:t>
      </w:r>
      <w:r>
        <w:rPr>
          <w:sz w:val="19"/>
        </w:rPr>
        <w:t>models</w:t>
      </w:r>
      <w:r>
        <w:rPr>
          <w:spacing w:val="-3"/>
          <w:sz w:val="19"/>
        </w:rPr>
        <w:t> </w:t>
      </w:r>
      <w:r>
        <w:rPr>
          <w:sz w:val="19"/>
        </w:rPr>
        <w:t>like</w:t>
      </w:r>
      <w:r>
        <w:rPr>
          <w:spacing w:val="-3"/>
          <w:sz w:val="19"/>
        </w:rPr>
        <w:t> </w:t>
      </w:r>
      <w:r>
        <w:rPr>
          <w:sz w:val="19"/>
        </w:rPr>
        <w:t>orthogonality</w:t>
      </w:r>
      <w:r>
        <w:rPr>
          <w:spacing w:val="-6"/>
          <w:sz w:val="19"/>
        </w:rPr>
        <w:t> </w:t>
      </w:r>
      <w:r>
        <w:rPr>
          <w:sz w:val="19"/>
        </w:rPr>
        <w:t>of</w:t>
      </w:r>
      <w:r>
        <w:rPr>
          <w:spacing w:val="-1"/>
          <w:sz w:val="19"/>
        </w:rPr>
        <w:t> </w:t>
      </w:r>
      <w:r>
        <w:rPr>
          <w:sz w:val="19"/>
        </w:rPr>
        <w:t>error</w:t>
      </w:r>
      <w:r>
        <w:rPr>
          <w:spacing w:val="-3"/>
          <w:sz w:val="19"/>
        </w:rPr>
        <w:t> </w:t>
      </w:r>
      <w:r>
        <w:rPr>
          <w:sz w:val="19"/>
        </w:rPr>
        <w:t>term</w:t>
      </w:r>
      <w:r>
        <w:rPr>
          <w:spacing w:val="-2"/>
          <w:sz w:val="19"/>
        </w:rPr>
        <w:t> </w:t>
      </w:r>
      <w:r>
        <w:rPr>
          <w:sz w:val="19"/>
        </w:rPr>
        <w:t>are violated.</w:t>
      </w:r>
    </w:p>
    <w:p>
      <w:pPr>
        <w:spacing w:after="0" w:line="244" w:lineRule="auto"/>
        <w:jc w:val="left"/>
        <w:rPr>
          <w:sz w:val="19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3"/>
        <w:ind w:left="120" w:right="113"/>
        <w:jc w:val="both"/>
      </w:pPr>
      <w:r>
        <w:rPr/>
        <w:t>The null hypotheses (</w:t>
      </w:r>
      <w:r>
        <w:rPr>
          <w:rFonts w:ascii="Cambria Math"/>
        </w:rPr>
        <w:t>H</w:t>
      </w:r>
      <w:r>
        <w:rPr>
          <w:rFonts w:ascii="Cambria Math"/>
          <w:vertAlign w:val="subscript"/>
        </w:rPr>
        <w:t>o</w:t>
      </w:r>
      <w:r>
        <w:rPr>
          <w:vertAlign w:val="baseline"/>
        </w:rPr>
        <w:t>) for Hausman test is that RE model is appropriate and consistent 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 p-value is high. This is against the alternate </w:t>
      </w:r>
      <w:r>
        <w:rPr>
          <w:rFonts w:ascii="Cambria Math"/>
          <w:vertAlign w:val="baseline"/>
        </w:rPr>
        <w:t>(H</w:t>
      </w:r>
      <w:r>
        <w:rPr>
          <w:rFonts w:ascii="Cambria Math"/>
          <w:vertAlign w:val="subscript"/>
        </w:rPr>
        <w:t>1</w:t>
      </w:r>
      <w:r>
        <w:rPr>
          <w:vertAlign w:val="baseline"/>
        </w:rPr>
        <w:t>) of FE model is appropriate when the p-value</w:t>
      </w:r>
      <w:r>
        <w:rPr>
          <w:spacing w:val="-57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close to 0.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 5.17</w:t>
      </w:r>
      <w:r>
        <w:rPr>
          <w:spacing w:val="-1"/>
          <w:vertAlign w:val="baseline"/>
        </w:rPr>
        <w:t> </w:t>
      </w:r>
      <w:r>
        <w:rPr>
          <w:vertAlign w:val="baseline"/>
        </w:rPr>
        <w:t>then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presents the</w:t>
      </w:r>
      <w:r>
        <w:rPr>
          <w:spacing w:val="1"/>
          <w:vertAlign w:val="baseline"/>
        </w:rPr>
        <w:t> </w:t>
      </w:r>
      <w:r>
        <w:rPr>
          <w:vertAlign w:val="baseline"/>
        </w:rPr>
        <w:t>Hausman</w:t>
      </w:r>
      <w:r>
        <w:rPr>
          <w:spacing w:val="-1"/>
          <w:vertAlign w:val="baseline"/>
        </w:rPr>
        <w:t> </w:t>
      </w:r>
      <w:r>
        <w:rPr>
          <w:vertAlign w:val="baseline"/>
        </w:rPr>
        <w:t>test from the</w:t>
      </w:r>
      <w:r>
        <w:rPr>
          <w:spacing w:val="-2"/>
          <w:vertAlign w:val="baseline"/>
        </w:rPr>
        <w:t> </w:t>
      </w:r>
      <w:r>
        <w:rPr>
          <w:vertAlign w:val="baseline"/>
        </w:rPr>
        <w:t>NBS-NGHPS</w:t>
      </w:r>
      <w:r>
        <w:rPr>
          <w:spacing w:val="1"/>
          <w:vertAlign w:val="baseline"/>
        </w:rPr>
        <w:t> </w:t>
      </w:r>
      <w:r>
        <w:rPr>
          <w:vertAlign w:val="baseline"/>
        </w:rPr>
        <w:t>waves.</w:t>
      </w:r>
    </w:p>
    <w:p>
      <w:pPr>
        <w:pStyle w:val="Heading4"/>
        <w:spacing w:before="167" w:after="44"/>
        <w:ind w:left="1951"/>
      </w:pPr>
      <w:r>
        <w:rPr/>
        <w:t>Table</w:t>
      </w:r>
      <w:r>
        <w:rPr>
          <w:spacing w:val="-1"/>
        </w:rPr>
        <w:t> </w:t>
      </w:r>
      <w:r>
        <w:rPr/>
        <w:t>5.17:</w:t>
      </w:r>
      <w:r>
        <w:rPr>
          <w:spacing w:val="-1"/>
        </w:rPr>
        <w:t> </w:t>
      </w:r>
      <w:r>
        <w:rPr/>
        <w:t>Hausman Test</w:t>
      </w:r>
      <w:r>
        <w:rPr>
          <w:spacing w:val="-1"/>
        </w:rPr>
        <w:t> </w:t>
      </w:r>
      <w:r>
        <w:rPr/>
        <w:t>Results from</w:t>
      </w:r>
      <w:r>
        <w:rPr>
          <w:spacing w:val="-5"/>
        </w:rPr>
        <w:t> </w:t>
      </w:r>
      <w:r>
        <w:rPr/>
        <w:t>NGHPS Waves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2699"/>
        <w:gridCol w:w="1978"/>
        <w:gridCol w:w="2339"/>
      </w:tblGrid>
      <w:tr>
        <w:trPr>
          <w:trHeight w:val="378" w:hRule="atLeast"/>
        </w:trPr>
        <w:tc>
          <w:tcPr>
            <w:tcW w:w="2338" w:type="dxa"/>
            <w:tcBorders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69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7" w:lineRule="exact"/>
              <w:ind w:left="353" w:right="346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Chi-squared</w:t>
            </w:r>
            <w:r>
              <w:rPr>
                <w:rFonts w:asci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Statistics</w:t>
            </w:r>
          </w:p>
        </w:tc>
        <w:tc>
          <w:tcPr>
            <w:tcW w:w="1978" w:type="dxa"/>
          </w:tcPr>
          <w:p>
            <w:pPr>
              <w:pStyle w:val="TableParagraph"/>
              <w:spacing w:line="247" w:lineRule="exact"/>
              <w:ind w:left="199" w:right="190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Probability</w:t>
            </w:r>
          </w:p>
        </w:tc>
        <w:tc>
          <w:tcPr>
            <w:tcW w:w="2339" w:type="dxa"/>
          </w:tcPr>
          <w:p>
            <w:pPr>
              <w:pStyle w:val="TableParagraph"/>
              <w:spacing w:line="247" w:lineRule="exact"/>
              <w:ind w:left="423" w:right="419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Model</w:t>
            </w:r>
            <w:r>
              <w:rPr>
                <w:rFonts w:ascii="Times New Roman"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Indicated</w:t>
            </w:r>
          </w:p>
        </w:tc>
      </w:tr>
      <w:tr>
        <w:trPr>
          <w:trHeight w:val="378" w:hRule="atLeast"/>
        </w:trPr>
        <w:tc>
          <w:tcPr>
            <w:tcW w:w="23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63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Regressions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7" w:lineRule="exact"/>
              <w:ind w:left="353" w:right="34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6.18</w:t>
            </w:r>
          </w:p>
        </w:tc>
        <w:tc>
          <w:tcPr>
            <w:tcW w:w="1978" w:type="dxa"/>
          </w:tcPr>
          <w:p>
            <w:pPr>
              <w:pStyle w:val="TableParagraph"/>
              <w:spacing w:line="247" w:lineRule="exact"/>
              <w:ind w:left="199" w:right="19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1.0000</w:t>
            </w:r>
          </w:p>
        </w:tc>
        <w:tc>
          <w:tcPr>
            <w:tcW w:w="2339" w:type="dxa"/>
          </w:tcPr>
          <w:p>
            <w:pPr>
              <w:pStyle w:val="TableParagraph"/>
              <w:spacing w:line="251" w:lineRule="exact"/>
              <w:ind w:left="423" w:right="416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RE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Model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4"/>
          <w:sz w:val="20"/>
        </w:rPr>
        <w:t> </w:t>
      </w:r>
      <w:r>
        <w:rPr>
          <w:sz w:val="20"/>
        </w:rPr>
        <w:t>Researcher’s</w:t>
      </w:r>
      <w:r>
        <w:rPr>
          <w:spacing w:val="-2"/>
          <w:sz w:val="20"/>
        </w:rPr>
        <w:t> </w:t>
      </w:r>
      <w:r>
        <w:rPr>
          <w:sz w:val="20"/>
        </w:rPr>
        <w:t>Estimation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Stata</w:t>
      </w:r>
      <w:r>
        <w:rPr>
          <w:spacing w:val="-1"/>
          <w:sz w:val="20"/>
        </w:rPr>
        <w:t> </w:t>
      </w:r>
      <w:r>
        <w:rPr>
          <w:sz w:val="20"/>
        </w:rPr>
        <w:t>13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0" w:lineRule="auto"/>
        <w:ind w:left="120" w:right="114"/>
        <w:jc w:val="both"/>
      </w:pPr>
      <w:r>
        <w:rPr/>
        <w:t>It was revealed that the probability value of the Hausman’s estimation is as high as 1.0000, with</w:t>
      </w:r>
      <w:r>
        <w:rPr>
          <w:spacing w:val="1"/>
        </w:rPr>
        <w:t> </w:t>
      </w:r>
      <w:r>
        <w:rPr/>
        <w:t>low chi-squared statistics of 6.18. Therefore, since the p-value of the Hausman specification test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1,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study</w:t>
      </w:r>
      <w:r>
        <w:rPr>
          <w:spacing w:val="-16"/>
        </w:rPr>
        <w:t> </w:t>
      </w:r>
      <w:r>
        <w:rPr>
          <w:spacing w:val="-1"/>
        </w:rPr>
        <w:t>conclude</w:t>
      </w:r>
      <w:r>
        <w:rPr>
          <w:color w:val="1F3762"/>
          <w:spacing w:val="-1"/>
        </w:rPr>
        <w:t>d</w:t>
      </w:r>
      <w:r>
        <w:rPr>
          <w:color w:val="1F3762"/>
          <w:spacing w:val="-12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RE</w:t>
      </w:r>
      <w:r>
        <w:rPr>
          <w:spacing w:val="-14"/>
        </w:rPr>
        <w:t> </w:t>
      </w:r>
      <w:r>
        <w:rPr/>
        <w:t>model</w:t>
      </w:r>
      <w:r>
        <w:rPr>
          <w:spacing w:val="-15"/>
        </w:rPr>
        <w:t> </w:t>
      </w:r>
      <w:r>
        <w:rPr/>
        <w:t>is</w:t>
      </w:r>
      <w:r>
        <w:rPr>
          <w:spacing w:val="-13"/>
        </w:rPr>
        <w:t> </w:t>
      </w:r>
      <w:r>
        <w:rPr/>
        <w:t>more</w:t>
      </w:r>
      <w:r>
        <w:rPr>
          <w:spacing w:val="-14"/>
        </w:rPr>
        <w:t> </w:t>
      </w:r>
      <w:r>
        <w:rPr/>
        <w:t>appropriate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analyzing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direct</w:t>
      </w:r>
      <w:r>
        <w:rPr>
          <w:spacing w:val="-11"/>
        </w:rPr>
        <w:t> </w:t>
      </w:r>
      <w:r>
        <w:rPr/>
        <w:t>and</w:t>
      </w:r>
      <w:r>
        <w:rPr>
          <w:spacing w:val="-15"/>
        </w:rPr>
        <w:t> </w:t>
      </w:r>
      <w:r>
        <w:rPr/>
        <w:t>indirect</w:t>
      </w:r>
      <w:r>
        <w:rPr>
          <w:spacing w:val="-57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income inequality</w:t>
      </w:r>
      <w:r>
        <w:rPr>
          <w:spacing w:val="-5"/>
        </w:rPr>
        <w:t> </w:t>
      </w:r>
      <w:r>
        <w:rPr/>
        <w:t>on household health</w:t>
      </w:r>
      <w:r>
        <w:rPr>
          <w:spacing w:val="-1"/>
        </w:rPr>
        <w:t> </w:t>
      </w:r>
      <w:r>
        <w:rPr/>
        <w:t>outcomes (illness) in Nigeria.</w:t>
      </w:r>
    </w:p>
    <w:p>
      <w:pPr>
        <w:pStyle w:val="Heading5"/>
        <w:numPr>
          <w:ilvl w:val="2"/>
          <w:numId w:val="15"/>
        </w:numPr>
        <w:tabs>
          <w:tab w:pos="781" w:val="left" w:leader="none"/>
        </w:tabs>
        <w:spacing w:line="240" w:lineRule="auto" w:before="205" w:after="0"/>
        <w:ind w:left="780" w:right="0" w:hanging="661"/>
        <w:jc w:val="both"/>
      </w:pPr>
      <w:r>
        <w:rPr/>
        <w:t>Robustness</w:t>
      </w:r>
      <w:r>
        <w:rPr>
          <w:spacing w:val="-2"/>
        </w:rPr>
        <w:t> </w:t>
      </w:r>
      <w:r>
        <w:rPr/>
        <w:t>Checks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Income</w:t>
      </w:r>
      <w:r>
        <w:rPr>
          <w:spacing w:val="-3"/>
        </w:rPr>
        <w:t> </w:t>
      </w:r>
      <w:r>
        <w:rPr/>
        <w:t>Inequality-Health Outcomes</w:t>
      </w:r>
      <w:r>
        <w:rPr>
          <w:spacing w:val="-2"/>
        </w:rPr>
        <w:t> </w:t>
      </w:r>
      <w:r>
        <w:rPr/>
        <w:t>Effect</w:t>
      </w:r>
    </w:p>
    <w:p>
      <w:pPr>
        <w:pStyle w:val="BodyText"/>
        <w:spacing w:line="360" w:lineRule="auto" w:before="16"/>
        <w:ind w:left="120" w:right="117"/>
        <w:jc w:val="both"/>
      </w:pPr>
      <w:r>
        <w:rPr/>
        <w:t>The</w:t>
      </w:r>
      <w:r>
        <w:rPr>
          <w:spacing w:val="-4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RE</w:t>
      </w:r>
      <w:r>
        <w:rPr>
          <w:spacing w:val="-1"/>
        </w:rPr>
        <w:t> </w:t>
      </w:r>
      <w:r>
        <w:rPr/>
        <w:t>estimation,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preferred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Hausman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checked</w:t>
      </w:r>
      <w:r>
        <w:rPr>
          <w:spacing w:val="-1"/>
        </w:rPr>
        <w:t> </w:t>
      </w:r>
      <w:r>
        <w:rPr/>
        <w:t>if</w:t>
      </w:r>
      <w:r>
        <w:rPr>
          <w:spacing w:val="-58"/>
        </w:rPr>
        <w:t> </w:t>
      </w:r>
      <w:r>
        <w:rPr/>
        <w:t>the its findings were sensitive to estimation techniques used. Thus, the datasets were re-estimated</w:t>
      </w:r>
      <w:r>
        <w:rPr>
          <w:spacing w:val="-57"/>
        </w:rPr>
        <w:t> </w:t>
      </w:r>
      <w:r>
        <w:rPr/>
        <w:t>using multi-level approach (see Rabe-Hesketh and Skrondal, 2006; Beck, 2019; Argurs-Collins,</w:t>
      </w:r>
      <w:r>
        <w:rPr>
          <w:spacing w:val="1"/>
        </w:rPr>
        <w:t> </w:t>
      </w:r>
      <w:r>
        <w:rPr/>
        <w:t>2019). This is important because the effect of income disparity on health is indirectly associated</w:t>
      </w:r>
      <w:r>
        <w:rPr>
          <w:spacing w:val="1"/>
        </w:rPr>
        <w:t> </w:t>
      </w:r>
      <w:r>
        <w:rPr/>
        <w:t>with different level-factors – from individual, household to state factors. Unlike the traditional</w:t>
      </w:r>
      <w:r>
        <w:rPr>
          <w:spacing w:val="1"/>
        </w:rPr>
        <w:t> </w:t>
      </w:r>
      <w:r>
        <w:rPr/>
        <w:t>panel logistic technique, multilevel approach may not have a time dimension (Beck, 2019).</w:t>
      </w:r>
      <w:r>
        <w:rPr>
          <w:spacing w:val="1"/>
        </w:rPr>
        <w:t> </w:t>
      </w:r>
      <w:r>
        <w:rPr/>
        <w:t>However, using this approach for robustness check makes it possible to differentiate the main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 households- and state-level</w:t>
      </w:r>
      <w:r>
        <w:rPr>
          <w:spacing w:val="-1"/>
        </w:rPr>
        <w:t> </w:t>
      </w:r>
      <w:r>
        <w:rPr/>
        <w:t>factors on health</w:t>
      </w:r>
      <w:r>
        <w:rPr>
          <w:spacing w:val="-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income</w:t>
      </w:r>
      <w:r>
        <w:rPr>
          <w:spacing w:val="1"/>
        </w:rPr>
        <w:t> </w:t>
      </w:r>
      <w:r>
        <w:rPr/>
        <w:t>disparity</w:t>
      </w:r>
      <w:r>
        <w:rPr>
          <w:spacing w:val="-4"/>
        </w:rPr>
        <w:t> </w:t>
      </w:r>
      <w:r>
        <w:rPr/>
        <w:t>channel.</w:t>
      </w:r>
    </w:p>
    <w:p>
      <w:pPr>
        <w:pStyle w:val="BodyText"/>
        <w:spacing w:line="360" w:lineRule="auto" w:before="140"/>
        <w:ind w:left="120" w:right="115"/>
        <w:jc w:val="both"/>
      </w:pPr>
      <w:r>
        <w:rPr/>
        <w:t>The results from multilevel model (see Table 5.18) are almost identical and confirm all the major</w:t>
      </w:r>
      <w:r>
        <w:rPr>
          <w:spacing w:val="-57"/>
        </w:rPr>
        <w:t> </w:t>
      </w:r>
      <w:r>
        <w:rPr/>
        <w:t>findings (RE model). The results reveal that family size, hunger, absence of basic education for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heads,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toilet</w:t>
      </w:r>
      <w:r>
        <w:rPr>
          <w:spacing w:val="1"/>
        </w:rPr>
        <w:t> </w:t>
      </w:r>
      <w:r>
        <w:rPr/>
        <w:t>facility,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self-medication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 positively correlated with the self-reported health outcome (illness). These findings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also obtained in RE model.</w:t>
      </w:r>
    </w:p>
    <w:p>
      <w:pPr>
        <w:pStyle w:val="BodyText"/>
        <w:spacing w:line="360" w:lineRule="auto" w:before="115"/>
        <w:ind w:left="120" w:right="118"/>
        <w:jc w:val="both"/>
      </w:pPr>
      <w:r>
        <w:rPr/>
        <w:t>These results provide strong support for the indirect effect of income inequality through these</w:t>
      </w:r>
      <w:r>
        <w:rPr>
          <w:spacing w:val="1"/>
        </w:rPr>
        <w:t> </w:t>
      </w:r>
      <w:r>
        <w:rPr/>
        <w:t>households’ characteristics on health outcomes (illness). This suggests that larger family size,</w:t>
      </w:r>
      <w:r>
        <w:rPr>
          <w:spacing w:val="1"/>
        </w:rPr>
        <w:t> </w:t>
      </w:r>
      <w:r>
        <w:rPr/>
        <w:t>hunger/malnutrition, household head’s absence of basic education, lack of clean water, lack of</w:t>
      </w:r>
      <w:r>
        <w:rPr>
          <w:spacing w:val="1"/>
        </w:rPr>
        <w:t> </w:t>
      </w:r>
      <w:r>
        <w:rPr/>
        <w:t>toilet facility, and self-medication are the significant links in the transmission of the effects of</w:t>
      </w:r>
      <w:r>
        <w:rPr>
          <w:spacing w:val="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on health outcomes in Nigeria.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Heading4"/>
        <w:spacing w:before="77" w:after="3"/>
        <w:ind w:left="107" w:right="108"/>
        <w:jc w:val="center"/>
      </w:pPr>
      <w:r>
        <w:rPr/>
        <w:t>Table</w:t>
      </w:r>
      <w:r>
        <w:rPr>
          <w:spacing w:val="-2"/>
        </w:rPr>
        <w:t> </w:t>
      </w:r>
      <w:r>
        <w:rPr/>
        <w:t>5.18:</w:t>
      </w:r>
      <w:r>
        <w:rPr>
          <w:spacing w:val="-1"/>
        </w:rPr>
        <w:t> </w:t>
      </w:r>
      <w:r>
        <w:rPr/>
        <w:t>Robustness</w:t>
      </w:r>
      <w:r>
        <w:rPr>
          <w:spacing w:val="-5"/>
        </w:rPr>
        <w:t> </w:t>
      </w:r>
      <w:r>
        <w:rPr/>
        <w:t>Check:</w:t>
      </w:r>
      <w:r>
        <w:rPr>
          <w:spacing w:val="-1"/>
        </w:rPr>
        <w:t> </w:t>
      </w:r>
      <w:r>
        <w:rPr/>
        <w:t>Multilevel</w:t>
      </w:r>
      <w:r>
        <w:rPr>
          <w:spacing w:val="-2"/>
        </w:rPr>
        <w:t> </w:t>
      </w:r>
      <w:r>
        <w:rPr/>
        <w:t>Logistic</w:t>
      </w:r>
      <w:r>
        <w:rPr>
          <w:spacing w:val="-1"/>
        </w:rPr>
        <w:t> </w:t>
      </w:r>
      <w:r>
        <w:rPr/>
        <w:t>Regression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2"/>
        <w:gridCol w:w="2341"/>
        <w:gridCol w:w="2070"/>
      </w:tblGrid>
      <w:tr>
        <w:trPr>
          <w:trHeight w:val="206" w:hRule="atLeast"/>
        </w:trPr>
        <w:tc>
          <w:tcPr>
            <w:tcW w:w="8643" w:type="dxa"/>
            <w:gridSpan w:val="3"/>
          </w:tcPr>
          <w:p>
            <w:pPr>
              <w:pStyle w:val="TableParagraph"/>
              <w:spacing w:line="186" w:lineRule="exact"/>
              <w:ind w:left="1957" w:right="1951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MULTILEVEL</w:t>
            </w:r>
            <w:r>
              <w:rPr>
                <w:rFonts w:ascii="Times New Roman" w:hAnsi="Times New Roman"/>
                <w:b/>
                <w:i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sz w:val="18"/>
              </w:rPr>
              <w:t>LOGISTIC</w:t>
            </w:r>
            <w:r>
              <w:rPr>
                <w:rFonts w:ascii="Times New Roman" w:hAnsi="Times New Roman"/>
                <w:b/>
                <w:i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sz w:val="18"/>
              </w:rPr>
              <w:t>REGRESSION</w:t>
            </w:r>
            <w:r>
              <w:rPr>
                <w:rFonts w:ascii="Times New Roman" w:hAnsi="Times New Roman"/>
                <w:b/>
                <w:i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sz w:val="18"/>
              </w:rPr>
              <w:t>– NGHPS WAVES</w:t>
            </w:r>
          </w:p>
        </w:tc>
      </w:tr>
      <w:tr>
        <w:trPr>
          <w:trHeight w:val="208" w:hRule="atLeast"/>
        </w:trPr>
        <w:tc>
          <w:tcPr>
            <w:tcW w:w="423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spacing w:line="186" w:lineRule="exact" w:before="2"/>
              <w:ind w:left="271" w:right="271"/>
              <w:jc w:val="center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Coefficient</w:t>
            </w:r>
          </w:p>
        </w:tc>
        <w:tc>
          <w:tcPr>
            <w:tcW w:w="2070" w:type="dxa"/>
          </w:tcPr>
          <w:p>
            <w:pPr>
              <w:pStyle w:val="TableParagraph"/>
              <w:spacing w:line="186" w:lineRule="exact" w:before="2"/>
              <w:ind w:left="640" w:right="637"/>
              <w:jc w:val="center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Wald</w:t>
            </w:r>
            <w:r>
              <w:rPr>
                <w:rFonts w:ascii="Times New Roman"/>
                <w:b/>
                <w:i/>
                <w:spacing w:val="-2"/>
                <w:sz w:val="18"/>
              </w:rPr>
              <w:t> </w:t>
            </w:r>
            <w:r>
              <w:rPr>
                <w:rFonts w:ascii="Times New Roman"/>
                <w:b/>
                <w:i/>
                <w:sz w:val="18"/>
              </w:rPr>
              <w:t>Test</w:t>
            </w:r>
          </w:p>
        </w:tc>
      </w:tr>
      <w:tr>
        <w:trPr>
          <w:trHeight w:val="227" w:hRule="atLeast"/>
        </w:trPr>
        <w:tc>
          <w:tcPr>
            <w:tcW w:w="423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LEVEL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1:</w:t>
            </w:r>
          </w:p>
        </w:tc>
        <w:tc>
          <w:tcPr>
            <w:tcW w:w="2341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70" w:type="dxa"/>
            <w:vMerge w:val="restart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3.52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11.99</w:t>
            </w:r>
          </w:p>
          <w:p>
            <w:pPr>
              <w:pStyle w:val="TableParagraph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-1.66</w:t>
            </w:r>
          </w:p>
          <w:p>
            <w:pPr>
              <w:pStyle w:val="TableParagraph"/>
              <w:spacing w:before="1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-9.18</w:t>
            </w:r>
          </w:p>
          <w:p>
            <w:pPr>
              <w:pStyle w:val="TableParagraph"/>
              <w:spacing w:line="228" w:lineRule="exact"/>
              <w:ind w:left="637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-50.51</w:t>
            </w:r>
          </w:p>
          <w:p>
            <w:pPr>
              <w:pStyle w:val="TableParagraph"/>
              <w:spacing w:line="227" w:lineRule="exact"/>
              <w:ind w:left="637" w:right="6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-0.53</w:t>
            </w:r>
          </w:p>
          <w:p>
            <w:pPr>
              <w:pStyle w:val="TableParagraph"/>
              <w:spacing w:line="229" w:lineRule="exact"/>
              <w:ind w:left="637" w:right="6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-0.83</w:t>
            </w:r>
          </w:p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35.93</w:t>
            </w:r>
          </w:p>
          <w:p>
            <w:pPr>
              <w:pStyle w:val="TableParagraph"/>
              <w:spacing w:line="228" w:lineRule="exact"/>
              <w:ind w:left="639" w:right="6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1.56</w:t>
            </w:r>
          </w:p>
          <w:p>
            <w:pPr>
              <w:pStyle w:val="TableParagraph"/>
              <w:spacing w:before="6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-6.80</w:t>
            </w:r>
          </w:p>
          <w:p>
            <w:pPr>
              <w:pStyle w:val="TableParagraph"/>
              <w:ind w:left="637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-14.64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637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-10.41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-4.28</w:t>
            </w:r>
          </w:p>
          <w:p>
            <w:pPr>
              <w:pStyle w:val="TableParagraph"/>
              <w:spacing w:line="228" w:lineRule="exact"/>
              <w:ind w:left="639" w:right="6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1.64</w:t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3.01</w:t>
            </w:r>
          </w:p>
          <w:p>
            <w:pPr>
              <w:pStyle w:val="TableParagraph"/>
              <w:ind w:left="637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-27.87</w:t>
            </w:r>
          </w:p>
          <w:p>
            <w:pPr>
              <w:pStyle w:val="TableParagraph"/>
              <w:spacing w:before="1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-4.33</w:t>
            </w:r>
          </w:p>
          <w:p>
            <w:pPr>
              <w:pStyle w:val="TableParagraph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33.53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5.70</w:t>
            </w:r>
          </w:p>
          <w:p>
            <w:pPr>
              <w:pStyle w:val="TableParagraph"/>
              <w:spacing w:line="229" w:lineRule="exact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-7.64</w:t>
            </w:r>
          </w:p>
          <w:p>
            <w:pPr>
              <w:pStyle w:val="TableParagraph"/>
              <w:spacing w:before="1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0.88</w:t>
            </w:r>
          </w:p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637" w:right="6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-1.49</w:t>
            </w:r>
          </w:p>
          <w:p>
            <w:pPr>
              <w:pStyle w:val="TableParagraph"/>
              <w:spacing w:before="5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6.79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-6.72</w:t>
            </w:r>
          </w:p>
          <w:p>
            <w:pPr>
              <w:pStyle w:val="TableParagraph"/>
              <w:spacing w:line="215" w:lineRule="exact"/>
              <w:ind w:left="637" w:right="6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-0.16</w:t>
            </w: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Family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Size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73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0.03714***</w:t>
            </w:r>
            <w:r>
              <w:rPr>
                <w:rFonts w:asci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(0.0105)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Food,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Diet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and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Calories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Hunger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Food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71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0.3414***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(0.0285)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Gari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71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-0.0612*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(0.0370)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Rice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73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-0.2721***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(0.0296)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Yam,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Cassava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Maize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Flour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73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-1.4512***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(0.02872)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Beans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71" w:right="27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-0.0189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(0.0327)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Meat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Fish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271" w:right="27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-0.0008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(0.0009)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Highest</w:t>
            </w:r>
            <w:r>
              <w:rPr>
                <w:rFonts w:ascii="Times New Roman"/>
                <w:b/>
                <w:i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Education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71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0.9422***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(0.0262)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Primary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Education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73" w:right="27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0.0160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(0.0103)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Secondary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Education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73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-0.1960***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(0.0288)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Tertiary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73" w:right="26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-0.6792***</w:t>
            </w:r>
            <w:r>
              <w:rPr>
                <w:rFonts w:ascii="Times New Roman"/>
                <w:b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(0.0464)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Material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Mosquito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Possession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273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-0.3969***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(0.0381)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Access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to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Electricity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73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-0.1018***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(0.0238)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73" w:right="27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0.0297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(0.0181)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Drinkable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Water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Access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71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0.1403**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(0.0467)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Pipe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Borne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Water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73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-0.2501***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(0.0090)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Borehole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Well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Water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73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-0.0393***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(0.0091)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River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Spring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71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1.0735***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(0.0320)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Toilet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and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Sanitation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71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0.1573***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(0.0276)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Water 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Modern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Toilet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73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-0.2364***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(0.0309)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Pit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Latrine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71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0.0035*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(0.0039)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Unhealthy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Lifestyle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Alcoholic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Consumption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71" w:right="27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-0.0017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(0.0012)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Self-Medication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illness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271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0.2750***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(0.0405)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Health-Seeking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Behaviour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Seeking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Healthcare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73" w:right="26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-0.1568***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(0.0233)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4232" w:type="dxa"/>
            <w:tcBorders>
              <w:top w:val="nil"/>
            </w:tcBorders>
          </w:tcPr>
          <w:p>
            <w:pPr>
              <w:pStyle w:val="TableParagraph"/>
              <w:spacing w:line="218" w:lineRule="exact"/>
              <w:ind w:left="2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Others</w:t>
            </w:r>
          </w:p>
        </w:tc>
        <w:tc>
          <w:tcPr>
            <w:tcW w:w="2341" w:type="dxa"/>
            <w:tcBorders>
              <w:top w:val="nil"/>
            </w:tcBorders>
          </w:tcPr>
          <w:p>
            <w:pPr>
              <w:pStyle w:val="TableParagraph"/>
              <w:spacing w:line="218" w:lineRule="exact"/>
              <w:ind w:left="271" w:right="27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-0.0021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(0.0131)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" w:hRule="atLeast"/>
        </w:trPr>
        <w:tc>
          <w:tcPr>
            <w:tcW w:w="4232" w:type="dxa"/>
            <w:tcBorders>
              <w:bottom w:val="nil"/>
            </w:tcBorders>
          </w:tcPr>
          <w:p>
            <w:pPr>
              <w:pStyle w:val="TableParagraph"/>
              <w:spacing w:line="183" w:lineRule="exact"/>
              <w:ind w:left="107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HOUSEHOLDS’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TOTAL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INCOME</w:t>
            </w:r>
          </w:p>
        </w:tc>
        <w:tc>
          <w:tcPr>
            <w:tcW w:w="2341" w:type="dxa"/>
            <w:vMerge w:val="restart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323" w:right="32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-0.0686***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(0.0084)</w:t>
            </w:r>
          </w:p>
          <w:p>
            <w:pPr>
              <w:pStyle w:val="TableParagraph"/>
              <w:spacing w:line="229" w:lineRule="exact"/>
              <w:ind w:left="321" w:right="32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-0.0192**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(0.0067)</w:t>
            </w:r>
          </w:p>
          <w:p>
            <w:pPr>
              <w:pStyle w:val="TableParagraph"/>
              <w:spacing w:line="227" w:lineRule="exact"/>
              <w:ind w:left="323" w:right="32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-0.3507***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(0.0356)</w:t>
            </w:r>
          </w:p>
          <w:p>
            <w:pPr>
              <w:pStyle w:val="TableParagraph"/>
              <w:spacing w:line="228" w:lineRule="exact"/>
              <w:ind w:left="321" w:right="32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-0.0202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(0.0183)</w:t>
            </w:r>
          </w:p>
          <w:p>
            <w:pPr>
              <w:pStyle w:val="TableParagraph"/>
              <w:spacing w:line="228" w:lineRule="exact" w:before="6"/>
              <w:ind w:left="323" w:right="32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-0.2145***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(0.0478)</w:t>
            </w:r>
          </w:p>
          <w:p>
            <w:pPr>
              <w:pStyle w:val="TableParagraph"/>
              <w:spacing w:line="228" w:lineRule="exact"/>
              <w:ind w:left="323" w:right="32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0.0156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(0.0380)</w:t>
            </w:r>
          </w:p>
          <w:p>
            <w:pPr>
              <w:pStyle w:val="TableParagraph"/>
              <w:spacing w:before="1"/>
              <w:ind w:left="323" w:right="32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0.1127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(0.0706)</w:t>
            </w:r>
          </w:p>
          <w:p>
            <w:pPr>
              <w:pStyle w:val="TableParagraph"/>
              <w:ind w:left="321" w:right="32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-0.0122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(0.0079)</w:t>
            </w:r>
          </w:p>
          <w:p>
            <w:pPr>
              <w:pStyle w:val="TableParagraph"/>
              <w:spacing w:line="212" w:lineRule="exact" w:before="3"/>
              <w:ind w:left="321" w:right="32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0.6499***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(0.1836)</w:t>
            </w:r>
          </w:p>
        </w:tc>
        <w:tc>
          <w:tcPr>
            <w:tcW w:w="2070" w:type="dxa"/>
            <w:vMerge w:val="restart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-8.17</w:t>
            </w:r>
          </w:p>
          <w:p>
            <w:pPr>
              <w:pStyle w:val="TableParagraph"/>
              <w:spacing w:line="229" w:lineRule="exact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-2.86</w:t>
            </w:r>
          </w:p>
          <w:p>
            <w:pPr>
              <w:pStyle w:val="TableParagraph"/>
              <w:spacing w:line="227" w:lineRule="exact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-9.85</w:t>
            </w:r>
          </w:p>
          <w:p>
            <w:pPr>
              <w:pStyle w:val="TableParagraph"/>
              <w:spacing w:line="228" w:lineRule="exact"/>
              <w:ind w:left="637" w:right="6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-1.10</w:t>
            </w:r>
          </w:p>
          <w:p>
            <w:pPr>
              <w:pStyle w:val="TableParagraph"/>
              <w:spacing w:line="228" w:lineRule="exact" w:before="6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-4.49</w:t>
            </w:r>
          </w:p>
          <w:p>
            <w:pPr>
              <w:pStyle w:val="TableParagraph"/>
              <w:spacing w:line="228" w:lineRule="exact"/>
              <w:ind w:left="639" w:right="6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0.41</w:t>
            </w:r>
          </w:p>
          <w:p>
            <w:pPr>
              <w:pStyle w:val="TableParagraph"/>
              <w:spacing w:before="1"/>
              <w:ind w:left="639" w:right="6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1.60</w:t>
            </w:r>
          </w:p>
          <w:p>
            <w:pPr>
              <w:pStyle w:val="TableParagraph"/>
              <w:ind w:left="637" w:right="6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-1.55</w:t>
            </w:r>
          </w:p>
          <w:p>
            <w:pPr>
              <w:pStyle w:val="TableParagraph"/>
              <w:spacing w:line="212" w:lineRule="exact" w:before="3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3.54</w:t>
            </w:r>
          </w:p>
        </w:tc>
      </w:tr>
      <w:tr>
        <w:trPr>
          <w:trHeight w:val="216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Wages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Salaries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Incomes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Business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Enterprises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 Trades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Farming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Livestock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Incomes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Remittances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Monetary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Transfer/Assistance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Pensions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Grants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Dividend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Investment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Properties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Owned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4232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Constant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4232" w:type="dxa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LEVEL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2:</w:t>
            </w:r>
          </w:p>
          <w:p>
            <w:pPr>
              <w:pStyle w:val="TableParagraph"/>
              <w:spacing w:line="228" w:lineRule="exact"/>
              <w:ind w:left="15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Gini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coefficient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(σ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  <w:vertAlign w:val="baseline"/>
              </w:rPr>
              <w:t>)</w:t>
            </w:r>
          </w:p>
        </w:tc>
        <w:tc>
          <w:tcPr>
            <w:tcW w:w="2341" w:type="dx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12" w:lineRule="exact"/>
              <w:ind w:left="271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0.0582*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(0.0560)</w:t>
            </w:r>
          </w:p>
        </w:tc>
        <w:tc>
          <w:tcPr>
            <w:tcW w:w="2070" w:type="dx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12" w:lineRule="exact"/>
              <w:ind w:left="639" w:right="6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1.04</w:t>
            </w:r>
          </w:p>
        </w:tc>
      </w:tr>
      <w:tr>
        <w:trPr>
          <w:trHeight w:val="225" w:hRule="atLeast"/>
        </w:trPr>
        <w:tc>
          <w:tcPr>
            <w:tcW w:w="4232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Observations</w:t>
            </w:r>
          </w:p>
        </w:tc>
        <w:tc>
          <w:tcPr>
            <w:tcW w:w="2341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273" w:right="26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71,410</w:t>
            </w:r>
          </w:p>
        </w:tc>
        <w:tc>
          <w:tcPr>
            <w:tcW w:w="207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42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Wald chi</w:t>
            </w:r>
            <w:r>
              <w:rPr>
                <w:rFonts w:ascii="Times New Roman"/>
                <w:sz w:val="20"/>
                <w:vertAlign w:val="superscript"/>
              </w:rPr>
              <w:t>2</w:t>
            </w:r>
            <w:r>
              <w:rPr>
                <w:rFonts w:ascii="Times New Roman"/>
                <w:spacing w:val="-1"/>
                <w:sz w:val="20"/>
                <w:vertAlign w:val="baseline"/>
              </w:rPr>
              <w:t> </w:t>
            </w:r>
            <w:r>
              <w:rPr>
                <w:rFonts w:ascii="Times New Roman"/>
                <w:sz w:val="20"/>
                <w:vertAlign w:val="baseline"/>
              </w:rPr>
              <w:t>(33)</w:t>
            </w:r>
          </w:p>
        </w:tc>
        <w:tc>
          <w:tcPr>
            <w:tcW w:w="23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72" w:right="2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5,558.01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4232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Probability</w:t>
            </w:r>
          </w:p>
        </w:tc>
        <w:tc>
          <w:tcPr>
            <w:tcW w:w="2341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273" w:right="26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0.0000</w:t>
            </w: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177" w:lineRule="exact" w:before="0"/>
        <w:ind w:left="120" w:right="0" w:firstLine="0"/>
        <w:jc w:val="left"/>
        <w:rPr>
          <w:sz w:val="16"/>
        </w:rPr>
      </w:pPr>
      <w:r>
        <w:rPr>
          <w:sz w:val="16"/>
        </w:rPr>
        <w:t>*,</w:t>
      </w:r>
      <w:r>
        <w:rPr>
          <w:spacing w:val="-1"/>
          <w:sz w:val="16"/>
        </w:rPr>
        <w:t> </w:t>
      </w:r>
      <w:r>
        <w:rPr>
          <w:sz w:val="16"/>
        </w:rPr>
        <w:t>**,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***</w:t>
      </w:r>
      <w:r>
        <w:rPr>
          <w:spacing w:val="-2"/>
          <w:sz w:val="16"/>
        </w:rPr>
        <w:t> </w:t>
      </w:r>
      <w:r>
        <w:rPr>
          <w:sz w:val="16"/>
        </w:rPr>
        <w:t>significant</w:t>
      </w:r>
      <w:r>
        <w:rPr>
          <w:spacing w:val="-3"/>
          <w:sz w:val="16"/>
        </w:rPr>
        <w:t> </w:t>
      </w:r>
      <w:r>
        <w:rPr>
          <w:sz w:val="16"/>
        </w:rPr>
        <w:t>at</w:t>
      </w:r>
      <w:r>
        <w:rPr>
          <w:spacing w:val="-3"/>
          <w:sz w:val="16"/>
        </w:rPr>
        <w:t> </w:t>
      </w:r>
      <w:r>
        <w:rPr>
          <w:sz w:val="16"/>
        </w:rPr>
        <w:t>10%,</w:t>
      </w:r>
      <w:r>
        <w:rPr>
          <w:spacing w:val="-2"/>
          <w:sz w:val="16"/>
        </w:rPr>
        <w:t> </w:t>
      </w:r>
      <w:r>
        <w:rPr>
          <w:sz w:val="16"/>
        </w:rPr>
        <w:t>5%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1%,</w:t>
      </w:r>
      <w:r>
        <w:rPr>
          <w:spacing w:val="-1"/>
          <w:sz w:val="16"/>
        </w:rPr>
        <w:t> </w:t>
      </w:r>
      <w:r>
        <w:rPr>
          <w:sz w:val="16"/>
        </w:rPr>
        <w:t>and</w:t>
      </w:r>
    </w:p>
    <w:p>
      <w:pPr>
        <w:spacing w:line="183" w:lineRule="exact" w:before="0"/>
        <w:ind w:left="120" w:right="0" w:firstLine="0"/>
        <w:jc w:val="left"/>
        <w:rPr>
          <w:sz w:val="16"/>
        </w:rPr>
      </w:pP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parentheses</w:t>
      </w:r>
      <w:r>
        <w:rPr>
          <w:spacing w:val="-2"/>
          <w:sz w:val="16"/>
        </w:rPr>
        <w:t> </w:t>
      </w:r>
      <w:r>
        <w:rPr>
          <w:sz w:val="16"/>
        </w:rPr>
        <w:t>denote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robust</w:t>
      </w:r>
      <w:r>
        <w:rPr>
          <w:spacing w:val="-1"/>
          <w:sz w:val="16"/>
        </w:rPr>
        <w:t> </w:t>
      </w:r>
      <w:r>
        <w:rPr>
          <w:sz w:val="16"/>
        </w:rPr>
        <w:t>standard</w:t>
      </w:r>
      <w:r>
        <w:rPr>
          <w:spacing w:val="-4"/>
          <w:sz w:val="16"/>
        </w:rPr>
        <w:t> </w:t>
      </w:r>
      <w:r>
        <w:rPr>
          <w:sz w:val="16"/>
        </w:rPr>
        <w:t>errors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estimates</w:t>
      </w:r>
    </w:p>
    <w:p>
      <w:pPr>
        <w:spacing w:line="230" w:lineRule="exact" w:before="0"/>
        <w:ind w:left="120" w:right="0" w:firstLine="0"/>
        <w:jc w:val="left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2"/>
          <w:sz w:val="20"/>
        </w:rPr>
        <w:t> </w:t>
      </w:r>
      <w:r>
        <w:rPr>
          <w:sz w:val="20"/>
        </w:rPr>
        <w:t>Researcher’s</w:t>
      </w:r>
      <w:r>
        <w:rPr>
          <w:spacing w:val="-1"/>
          <w:sz w:val="20"/>
        </w:rPr>
        <w:t> </w:t>
      </w:r>
      <w:r>
        <w:rPr>
          <w:sz w:val="20"/>
        </w:rPr>
        <w:t>Computation</w:t>
      </w:r>
      <w:r>
        <w:rPr>
          <w:spacing w:val="-3"/>
          <w:sz w:val="20"/>
        </w:rPr>
        <w:t> </w:t>
      </w:r>
      <w:r>
        <w:rPr>
          <w:sz w:val="20"/>
        </w:rPr>
        <w:t>using</w:t>
      </w:r>
      <w:r>
        <w:rPr>
          <w:spacing w:val="-3"/>
          <w:sz w:val="20"/>
        </w:rPr>
        <w:t> </w:t>
      </w:r>
      <w:r>
        <w:rPr>
          <w:sz w:val="20"/>
        </w:rPr>
        <w:t>Stata</w:t>
      </w:r>
      <w:r>
        <w:rPr>
          <w:spacing w:val="-2"/>
          <w:sz w:val="20"/>
        </w:rPr>
        <w:t> </w:t>
      </w:r>
      <w:r>
        <w:rPr>
          <w:sz w:val="20"/>
        </w:rPr>
        <w:t>13</w:t>
      </w:r>
    </w:p>
    <w:p>
      <w:pPr>
        <w:spacing w:after="0" w:line="230" w:lineRule="exact"/>
        <w:jc w:val="left"/>
        <w:rPr>
          <w:sz w:val="20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3"/>
        <w:jc w:val="both"/>
      </w:pPr>
      <w:r>
        <w:rPr/>
        <w:t>The</w:t>
      </w:r>
      <w:r>
        <w:rPr>
          <w:spacing w:val="-15"/>
        </w:rPr>
        <w:t> </w:t>
      </w:r>
      <w:r>
        <w:rPr/>
        <w:t>Multi-level</w:t>
      </w:r>
      <w:r>
        <w:rPr>
          <w:spacing w:val="-13"/>
        </w:rPr>
        <w:t> </w:t>
      </w:r>
      <w:r>
        <w:rPr/>
        <w:t>estimates</w:t>
      </w:r>
      <w:r>
        <w:rPr>
          <w:spacing w:val="-11"/>
        </w:rPr>
        <w:t> </w:t>
      </w:r>
      <w:r>
        <w:rPr/>
        <w:t>further</w:t>
      </w:r>
      <w:r>
        <w:rPr>
          <w:spacing w:val="-15"/>
        </w:rPr>
        <w:t> </w:t>
      </w:r>
      <w:r>
        <w:rPr/>
        <w:t>shows</w:t>
      </w:r>
      <w:r>
        <w:rPr>
          <w:spacing w:val="-13"/>
        </w:rPr>
        <w:t> </w:t>
      </w:r>
      <w:r>
        <w:rPr/>
        <w:t>that</w:t>
      </w:r>
      <w:r>
        <w:rPr>
          <w:spacing w:val="-11"/>
        </w:rPr>
        <w:t> </w:t>
      </w:r>
      <w:r>
        <w:rPr/>
        <w:t>consumption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carbohydrate,</w:t>
      </w:r>
      <w:r>
        <w:rPr>
          <w:spacing w:val="-11"/>
        </w:rPr>
        <w:t> </w:t>
      </w:r>
      <w:r>
        <w:rPr/>
        <w:t>possession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mosquito</w:t>
      </w:r>
      <w:r>
        <w:rPr>
          <w:spacing w:val="-58"/>
        </w:rPr>
        <w:t> </w:t>
      </w:r>
      <w:r>
        <w:rPr>
          <w:spacing w:val="-1"/>
        </w:rPr>
        <w:t>net,</w:t>
      </w:r>
      <w:r>
        <w:rPr>
          <w:spacing w:val="-15"/>
        </w:rPr>
        <w:t> </w:t>
      </w:r>
      <w:r>
        <w:rPr>
          <w:spacing w:val="-1"/>
        </w:rPr>
        <w:t>secondary</w:t>
      </w:r>
      <w:r>
        <w:rPr>
          <w:spacing w:val="-17"/>
        </w:rPr>
        <w:t> </w:t>
      </w:r>
      <w:r>
        <w:rPr/>
        <w:t>and</w:t>
      </w:r>
      <w:r>
        <w:rPr>
          <w:spacing w:val="-15"/>
        </w:rPr>
        <w:t> </w:t>
      </w:r>
      <w:r>
        <w:rPr/>
        <w:t>higher</w:t>
      </w:r>
      <w:r>
        <w:rPr>
          <w:spacing w:val="-12"/>
        </w:rPr>
        <w:t> </w:t>
      </w:r>
      <w:r>
        <w:rPr/>
        <w:t>education,</w:t>
      </w:r>
      <w:r>
        <w:rPr>
          <w:spacing w:val="-13"/>
        </w:rPr>
        <w:t> </w:t>
      </w:r>
      <w:r>
        <w:rPr/>
        <w:t>dwelling</w:t>
      </w:r>
      <w:r>
        <w:rPr>
          <w:spacing w:val="-13"/>
        </w:rPr>
        <w:t> </w:t>
      </w:r>
      <w:r>
        <w:rPr/>
        <w:t>connectivity</w:t>
      </w:r>
      <w:r>
        <w:rPr>
          <w:spacing w:val="-18"/>
        </w:rPr>
        <w:t> </w:t>
      </w:r>
      <w:r>
        <w:rPr/>
        <w:t>to</w:t>
      </w:r>
      <w:r>
        <w:rPr>
          <w:spacing w:val="-12"/>
        </w:rPr>
        <w:t> </w:t>
      </w:r>
      <w:r>
        <w:rPr/>
        <w:t>electricity,</w:t>
      </w:r>
      <w:r>
        <w:rPr>
          <w:spacing w:val="-14"/>
        </w:rPr>
        <w:t> </w:t>
      </w:r>
      <w:r>
        <w:rPr/>
        <w:t>pipe</w:t>
      </w:r>
      <w:r>
        <w:rPr>
          <w:spacing w:val="-16"/>
        </w:rPr>
        <w:t> </w:t>
      </w:r>
      <w:r>
        <w:rPr/>
        <w:t>borne,</w:t>
      </w:r>
      <w:r>
        <w:rPr>
          <w:spacing w:val="-13"/>
        </w:rPr>
        <w:t> </w:t>
      </w:r>
      <w:r>
        <w:rPr/>
        <w:t>borehole/well</w:t>
      </w:r>
      <w:r>
        <w:rPr>
          <w:spacing w:val="-57"/>
        </w:rPr>
        <w:t> </w:t>
      </w:r>
      <w:r>
        <w:rPr/>
        <w:t>water,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seeking</w:t>
      </w:r>
      <w:r>
        <w:rPr>
          <w:spacing w:val="-10"/>
        </w:rPr>
        <w:t> </w:t>
      </w:r>
      <w:r>
        <w:rPr/>
        <w:t>medication</w:t>
      </w:r>
      <w:r>
        <w:rPr>
          <w:spacing w:val="-8"/>
        </w:rPr>
        <w:t> </w:t>
      </w:r>
      <w:r>
        <w:rPr/>
        <w:t>led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reduction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illness.</w:t>
      </w:r>
      <w:r>
        <w:rPr>
          <w:spacing w:val="-4"/>
        </w:rPr>
        <w:t> </w:t>
      </w:r>
      <w:r>
        <w:rPr/>
        <w:t>These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provide</w:t>
      </w:r>
      <w:r>
        <w:rPr>
          <w:spacing w:val="-10"/>
        </w:rPr>
        <w:t> </w:t>
      </w:r>
      <w:r>
        <w:rPr/>
        <w:t>supports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RE model’s findings.</w:t>
      </w:r>
    </w:p>
    <w:p>
      <w:pPr>
        <w:pStyle w:val="BodyText"/>
        <w:spacing w:line="360" w:lineRule="auto" w:before="116"/>
        <w:ind w:left="120" w:right="113"/>
        <w:jc w:val="both"/>
      </w:pPr>
      <w:r>
        <w:rPr/>
        <w:t>The most important result of the analysis is the effect of income inequality. In multilevel model,</w:t>
      </w:r>
      <w:r>
        <w:rPr>
          <w:spacing w:val="1"/>
        </w:rPr>
        <w:t> </w:t>
      </w:r>
      <w:r>
        <w:rPr/>
        <w:t>the influence of income disparity on poor health outcome (illness) is also significant and positive.</w:t>
      </w:r>
      <w:r>
        <w:rPr>
          <w:spacing w:val="-58"/>
        </w:rPr>
        <w:t> </w:t>
      </w:r>
      <w:r>
        <w:rPr/>
        <w:t>It was revealed that an increase in income inequality by 1% increases the illness by 1.06%. This</w:t>
      </w:r>
      <w:r>
        <w:rPr>
          <w:spacing w:val="1"/>
        </w:rPr>
        <w:t> </w:t>
      </w:r>
      <w:r>
        <w:rPr/>
        <w:t>magnitude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slightly</w:t>
      </w:r>
      <w:r>
        <w:rPr>
          <w:spacing w:val="-10"/>
        </w:rPr>
        <w:t> </w:t>
      </w:r>
      <w:r>
        <w:rPr/>
        <w:t>smaller</w:t>
      </w:r>
      <w:r>
        <w:rPr>
          <w:spacing w:val="-7"/>
        </w:rPr>
        <w:t> </w:t>
      </w:r>
      <w:r>
        <w:rPr/>
        <w:t>than</w:t>
      </w:r>
      <w:r>
        <w:rPr>
          <w:spacing w:val="-6"/>
        </w:rPr>
        <w:t> </w:t>
      </w:r>
      <w:r>
        <w:rPr/>
        <w:t>1.4%</w:t>
      </w:r>
      <w:r>
        <w:rPr>
          <w:spacing w:val="-6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RE</w:t>
      </w:r>
      <w:r>
        <w:rPr>
          <w:spacing w:val="-5"/>
        </w:rPr>
        <w:t> </w:t>
      </w:r>
      <w:r>
        <w:rPr/>
        <w:t>model.</w:t>
      </w:r>
      <w:r>
        <w:rPr>
          <w:spacing w:val="-6"/>
        </w:rPr>
        <w:t> </w:t>
      </w:r>
      <w:r>
        <w:rPr/>
        <w:t>Nevertheless,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Multi-level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RE results are positive and statistically significant, meaning that higher income disparity among</w:t>
      </w:r>
      <w:r>
        <w:rPr>
          <w:spacing w:val="1"/>
        </w:rPr>
        <w:t> </w:t>
      </w:r>
      <w:r>
        <w:rPr/>
        <w:t>households have a range of detrimental health effects. These findings also support Wilkinson’s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that income</w:t>
      </w:r>
      <w:r>
        <w:rPr>
          <w:spacing w:val="-1"/>
        </w:rPr>
        <w:t> </w:t>
      </w:r>
      <w:r>
        <w:rPr/>
        <w:t>inequality can</w:t>
      </w:r>
      <w:r>
        <w:rPr>
          <w:spacing w:val="-1"/>
        </w:rPr>
        <w:t> </w:t>
      </w:r>
      <w:r>
        <w:rPr/>
        <w:t>hinder</w:t>
      </w:r>
      <w:r>
        <w:rPr>
          <w:spacing w:val="-2"/>
        </w:rPr>
        <w:t> </w:t>
      </w:r>
      <w:r>
        <w:rPr/>
        <w:t>better health</w:t>
      </w:r>
      <w:r>
        <w:rPr>
          <w:spacing w:val="-1"/>
        </w:rPr>
        <w:t> </w:t>
      </w:r>
      <w:r>
        <w:rPr/>
        <w:t>outcomes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 policies.</w:t>
      </w:r>
    </w:p>
    <w:p>
      <w:pPr>
        <w:pStyle w:val="BodyText"/>
        <w:spacing w:before="4"/>
        <w:rPr>
          <w:sz w:val="20"/>
        </w:rPr>
      </w:pPr>
    </w:p>
    <w:p>
      <w:pPr>
        <w:pStyle w:val="Heading4"/>
        <w:numPr>
          <w:ilvl w:val="2"/>
          <w:numId w:val="15"/>
        </w:numPr>
        <w:tabs>
          <w:tab w:pos="661" w:val="left" w:leader="none"/>
        </w:tabs>
        <w:spacing w:line="240" w:lineRule="auto" w:before="1" w:after="0"/>
        <w:ind w:left="660" w:right="0" w:hanging="541"/>
        <w:jc w:val="both"/>
      </w:pPr>
      <w:bookmarkStart w:name="_TOC_250012" w:id="65"/>
      <w:r>
        <w:rPr/>
        <w:t>Evidence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Wave</w:t>
      </w:r>
      <w:r>
        <w:rPr>
          <w:spacing w:val="-1"/>
        </w:rPr>
        <w:t> </w:t>
      </w:r>
      <w:bookmarkEnd w:id="65"/>
      <w:r>
        <w:rPr/>
        <w:t>Estimations</w:t>
      </w:r>
    </w:p>
    <w:p>
      <w:pPr>
        <w:pStyle w:val="BodyText"/>
        <w:spacing w:line="360" w:lineRule="auto" w:before="134"/>
        <w:ind w:left="120" w:right="114"/>
        <w:jc w:val="both"/>
      </w:pPr>
      <w:r>
        <w:rPr/>
        <w:t>Furthermore, evidence from individual waves (2010, 2013, 2016, and 2019) also show that rising</w:t>
      </w:r>
      <w:r>
        <w:rPr>
          <w:spacing w:val="-57"/>
        </w:rPr>
        <w:t> </w:t>
      </w:r>
      <w:r>
        <w:rPr/>
        <w:t>income</w:t>
      </w:r>
      <w:r>
        <w:rPr>
          <w:spacing w:val="-7"/>
        </w:rPr>
        <w:t> </w:t>
      </w:r>
      <w:r>
        <w:rPr/>
        <w:t>disparity</w:t>
      </w:r>
      <w:r>
        <w:rPr>
          <w:spacing w:val="-11"/>
        </w:rPr>
        <w:t> </w:t>
      </w:r>
      <w:r>
        <w:rPr/>
        <w:t>is</w:t>
      </w:r>
      <w:r>
        <w:rPr>
          <w:spacing w:val="-6"/>
        </w:rPr>
        <w:t> </w:t>
      </w:r>
      <w:r>
        <w:rPr/>
        <w:t>detrimental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illness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Nigeria.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instance,</w:t>
      </w:r>
      <w:r>
        <w:rPr>
          <w:spacing w:val="-5"/>
        </w:rPr>
        <w:t> </w:t>
      </w:r>
      <w:r>
        <w:rPr/>
        <w:t>Wave</w:t>
      </w:r>
      <w:r>
        <w:rPr>
          <w:spacing w:val="-5"/>
        </w:rPr>
        <w:t> </w:t>
      </w:r>
      <w:r>
        <w:rPr/>
        <w:t>I</w:t>
      </w:r>
      <w:r>
        <w:rPr>
          <w:spacing w:val="-9"/>
        </w:rPr>
        <w:t> </w:t>
      </w:r>
      <w:r>
        <w:rPr/>
        <w:t>(2010)</w:t>
      </w:r>
      <w:r>
        <w:rPr>
          <w:spacing w:val="-7"/>
        </w:rPr>
        <w:t> </w:t>
      </w:r>
      <w:r>
        <w:rPr/>
        <w:t>data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presented</w:t>
      </w:r>
      <w:r>
        <w:rPr>
          <w:spacing w:val="-58"/>
        </w:rPr>
        <w:t> </w:t>
      </w:r>
      <w:r>
        <w:rPr/>
        <w:t>in Appendix Table H4, indicates that an increase in family size has the likelihood of worsening</w:t>
      </w:r>
      <w:r>
        <w:rPr>
          <w:spacing w:val="1"/>
        </w:rPr>
        <w:t> </w:t>
      </w:r>
      <w:r>
        <w:rPr/>
        <w:t>illness by 15%. Hunger and lack of nutrient have the odds of increasing ill-health by 19%. The</w:t>
      </w:r>
      <w:r>
        <w:rPr>
          <w:spacing w:val="1"/>
        </w:rPr>
        <w:t> </w:t>
      </w:r>
      <w:r>
        <w:rPr/>
        <w:t>findings indicate that 1% rise in access to rice and beans decline ill-health significantly by 51%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38%,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meat/fish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marginally 0.03% 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significantly. This is in opposition to RE estimate. The odd of Garri consumption increasing ill-</w:t>
      </w:r>
      <w:r>
        <w:rPr>
          <w:spacing w:val="1"/>
        </w:rPr>
        <w:t> </w:t>
      </w:r>
      <w:r>
        <w:rPr/>
        <w:t>health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0.9453</w:t>
      </w:r>
      <w:r>
        <w:rPr>
          <w:spacing w:val="-3"/>
        </w:rPr>
        <w:t> </w:t>
      </w:r>
      <w:r>
        <w:rPr/>
        <w:t>(5.5%)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income</w:t>
      </w:r>
      <w:r>
        <w:rPr>
          <w:spacing w:val="-5"/>
        </w:rPr>
        <w:t> </w:t>
      </w:r>
      <w:r>
        <w:rPr/>
        <w:t>disparity</w:t>
      </w:r>
      <w:r>
        <w:rPr>
          <w:spacing w:val="-6"/>
        </w:rPr>
        <w:t> </w:t>
      </w:r>
      <w:r>
        <w:rPr/>
        <w:t>rises.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</w:t>
      </w:r>
      <w:r>
        <w:rPr>
          <w:spacing w:val="-1"/>
        </w:rPr>
        <w:t> </w:t>
      </w:r>
      <w:r>
        <w:rPr/>
        <w:t>suggests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members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households</w:t>
      </w:r>
      <w:r>
        <w:rPr>
          <w:spacing w:val="-57"/>
        </w:rPr>
        <w:t> </w:t>
      </w:r>
      <w:r>
        <w:rPr/>
        <w:t>having</w:t>
      </w:r>
      <w:r>
        <w:rPr>
          <w:spacing w:val="-11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more</w:t>
      </w:r>
      <w:r>
        <w:rPr>
          <w:spacing w:val="-7"/>
        </w:rPr>
        <w:t> </w:t>
      </w:r>
      <w:r>
        <w:rPr/>
        <w:t>meals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day</w:t>
      </w:r>
      <w:r>
        <w:rPr>
          <w:spacing w:val="-12"/>
        </w:rPr>
        <w:t> </w:t>
      </w:r>
      <w:r>
        <w:rPr/>
        <w:t>are</w:t>
      </w:r>
      <w:r>
        <w:rPr>
          <w:spacing w:val="-11"/>
        </w:rPr>
        <w:t> </w:t>
      </w:r>
      <w:r>
        <w:rPr/>
        <w:t>less</w:t>
      </w:r>
      <w:r>
        <w:rPr>
          <w:spacing w:val="-10"/>
        </w:rPr>
        <w:t> </w:t>
      </w:r>
      <w:r>
        <w:rPr/>
        <w:t>malnourished,</w:t>
      </w:r>
      <w:r>
        <w:rPr>
          <w:spacing w:val="-11"/>
        </w:rPr>
        <w:t> </w:t>
      </w:r>
      <w:r>
        <w:rPr/>
        <w:t>but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intake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meat</w:t>
      </w:r>
      <w:r>
        <w:rPr>
          <w:spacing w:val="-11"/>
        </w:rPr>
        <w:t> </w:t>
      </w:r>
      <w:r>
        <w:rPr/>
        <w:t>does</w:t>
      </w:r>
      <w:r>
        <w:rPr>
          <w:spacing w:val="-8"/>
        </w:rPr>
        <w:t> </w:t>
      </w:r>
      <w:r>
        <w:rPr/>
        <w:t>not</w:t>
      </w:r>
      <w:r>
        <w:rPr>
          <w:spacing w:val="-10"/>
        </w:rPr>
        <w:t> </w:t>
      </w:r>
      <w:r>
        <w:rPr/>
        <w:t>seem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matter.</w:t>
      </w:r>
    </w:p>
    <w:p>
      <w:pPr>
        <w:pStyle w:val="BodyText"/>
        <w:spacing w:line="360" w:lineRule="auto" w:before="114"/>
        <w:ind w:left="120" w:right="116"/>
        <w:jc w:val="both"/>
      </w:pPr>
      <w:r>
        <w:rPr/>
        <w:t>The</w:t>
      </w:r>
      <w:r>
        <w:rPr>
          <w:spacing w:val="-5"/>
        </w:rPr>
        <w:t> </w:t>
      </w:r>
      <w:r>
        <w:rPr/>
        <w:t>likelihood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household</w:t>
      </w:r>
      <w:r>
        <w:rPr>
          <w:spacing w:val="-1"/>
        </w:rPr>
        <w:t> </w:t>
      </w:r>
      <w:r>
        <w:rPr/>
        <w:t>head</w:t>
      </w:r>
      <w:r>
        <w:rPr>
          <w:spacing w:val="-4"/>
        </w:rPr>
        <w:t> </w:t>
      </w:r>
      <w:r>
        <w:rPr/>
        <w:t>without</w:t>
      </w:r>
      <w:r>
        <w:rPr>
          <w:spacing w:val="-3"/>
        </w:rPr>
        <w:t> </w:t>
      </w:r>
      <w:r>
        <w:rPr/>
        <w:t>basic</w:t>
      </w:r>
      <w:r>
        <w:rPr>
          <w:spacing w:val="-4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intensifies</w:t>
      </w:r>
      <w:r>
        <w:rPr>
          <w:spacing w:val="-4"/>
        </w:rPr>
        <w:t> </w:t>
      </w:r>
      <w:r>
        <w:rPr/>
        <w:t>proneness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illness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his</w:t>
      </w:r>
      <w:r>
        <w:rPr>
          <w:spacing w:val="-6"/>
        </w:rPr>
        <w:t> </w:t>
      </w:r>
      <w:r>
        <w:rPr/>
        <w:t>or</w:t>
      </w:r>
      <w:r>
        <w:rPr>
          <w:spacing w:val="-57"/>
        </w:rPr>
        <w:t> </w:t>
      </w:r>
      <w:r>
        <w:rPr/>
        <w:t>her household by 33%. While the odd of illness reduces by 0.9 times (0.92%) significantly for</w:t>
      </w:r>
      <w:r>
        <w:rPr>
          <w:spacing w:val="1"/>
        </w:rPr>
        <w:t> </w:t>
      </w:r>
      <w:r>
        <w:rPr/>
        <w:t>household’s head with tertiary education. As expected in a setting with rising income inequality,</w:t>
      </w:r>
      <w:r>
        <w:rPr>
          <w:spacing w:val="1"/>
        </w:rPr>
        <w:t> </w:t>
      </w:r>
      <w:r>
        <w:rPr>
          <w:spacing w:val="-1"/>
        </w:rPr>
        <w:t>household’s</w:t>
      </w:r>
      <w:r>
        <w:rPr>
          <w:spacing w:val="-12"/>
        </w:rPr>
        <w:t> </w:t>
      </w:r>
      <w:r>
        <w:rPr>
          <w:spacing w:val="-1"/>
        </w:rPr>
        <w:t>head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education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important</w:t>
      </w:r>
      <w:r>
        <w:rPr>
          <w:spacing w:val="-12"/>
        </w:rPr>
        <w:t> </w:t>
      </w:r>
      <w:r>
        <w:rPr/>
        <w:t>determinant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positive</w:t>
      </w:r>
      <w:r>
        <w:rPr>
          <w:spacing w:val="-13"/>
        </w:rPr>
        <w:t> </w:t>
      </w:r>
      <w:r>
        <w:rPr/>
        <w:t>health</w:t>
      </w:r>
      <w:r>
        <w:rPr>
          <w:spacing w:val="-12"/>
        </w:rPr>
        <w:t> </w:t>
      </w:r>
      <w:r>
        <w:rPr/>
        <w:t>outcomes.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finding</w:t>
      </w:r>
      <w:r>
        <w:rPr>
          <w:spacing w:val="-3"/>
        </w:rPr>
        <w:t> </w:t>
      </w:r>
      <w:r>
        <w:rPr/>
        <w:t>is in line</w:t>
      </w:r>
      <w:r>
        <w:rPr>
          <w:spacing w:val="-1"/>
        </w:rPr>
        <w:t> </w:t>
      </w:r>
      <w:r>
        <w:rPr/>
        <w:t>with previous RE model.</w:t>
      </w:r>
    </w:p>
    <w:p>
      <w:pPr>
        <w:pStyle w:val="BodyText"/>
        <w:spacing w:line="360" w:lineRule="auto" w:before="162"/>
        <w:ind w:left="120" w:right="118"/>
        <w:jc w:val="both"/>
      </w:pPr>
      <w:r>
        <w:rPr/>
        <w:t>Similarly,</w:t>
      </w:r>
      <w:r>
        <w:rPr>
          <w:spacing w:val="-10"/>
        </w:rPr>
        <w:t> </w:t>
      </w:r>
      <w:r>
        <w:rPr/>
        <w:t>from</w:t>
      </w:r>
      <w:r>
        <w:rPr>
          <w:spacing w:val="-9"/>
        </w:rPr>
        <w:t> </w:t>
      </w:r>
      <w:r>
        <w:rPr/>
        <w:t>2010/2011</w:t>
      </w:r>
      <w:r>
        <w:rPr>
          <w:spacing w:val="-8"/>
        </w:rPr>
        <w:t> </w:t>
      </w:r>
      <w:r>
        <w:rPr/>
        <w:t>dataset,</w:t>
      </w:r>
      <w:r>
        <w:rPr>
          <w:spacing w:val="-8"/>
        </w:rPr>
        <w:t> </w:t>
      </w:r>
      <w:r>
        <w:rPr/>
        <w:t>no</w:t>
      </w:r>
      <w:r>
        <w:rPr>
          <w:spacing w:val="-10"/>
        </w:rPr>
        <w:t> </w:t>
      </w:r>
      <w:r>
        <w:rPr/>
        <w:t>electricity</w:t>
      </w:r>
      <w:r>
        <w:rPr>
          <w:spacing w:val="-13"/>
        </w:rPr>
        <w:t> </w:t>
      </w:r>
      <w:r>
        <w:rPr/>
        <w:t>supply,</w:t>
      </w:r>
      <w:r>
        <w:rPr>
          <w:spacing w:val="-9"/>
        </w:rPr>
        <w:t> </w:t>
      </w:r>
      <w:r>
        <w:rPr/>
        <w:t>heads’</w:t>
      </w:r>
      <w:r>
        <w:rPr>
          <w:spacing w:val="-9"/>
        </w:rPr>
        <w:t> </w:t>
      </w:r>
      <w:r>
        <w:rPr/>
        <w:t>alcoholic</w:t>
      </w:r>
      <w:r>
        <w:rPr>
          <w:spacing w:val="-10"/>
        </w:rPr>
        <w:t> </w:t>
      </w:r>
      <w:r>
        <w:rPr/>
        <w:t>drinking,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healthcare</w:t>
      </w:r>
      <w:r>
        <w:rPr>
          <w:spacing w:val="-58"/>
        </w:rPr>
        <w:t> </w:t>
      </w:r>
      <w:r>
        <w:rPr/>
        <w:t>seeking from inappropriate associated with more illness but insignificantly. In terms of lack of</w:t>
      </w:r>
      <w:r>
        <w:rPr>
          <w:spacing w:val="1"/>
        </w:rPr>
        <w:t> </w:t>
      </w:r>
      <w:r>
        <w:rPr/>
        <w:t>water,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odd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households’</w:t>
      </w:r>
      <w:r>
        <w:rPr>
          <w:spacing w:val="3"/>
        </w:rPr>
        <w:t> </w:t>
      </w:r>
      <w:r>
        <w:rPr/>
        <w:t>members</w:t>
      </w:r>
      <w:r>
        <w:rPr>
          <w:spacing w:val="6"/>
        </w:rPr>
        <w:t> </w:t>
      </w:r>
      <w:r>
        <w:rPr/>
        <w:t>experiencing</w:t>
      </w:r>
      <w:r>
        <w:rPr>
          <w:spacing w:val="3"/>
        </w:rPr>
        <w:t> </w:t>
      </w:r>
      <w:r>
        <w:rPr/>
        <w:t>more</w:t>
      </w:r>
      <w:r>
        <w:rPr>
          <w:spacing w:val="2"/>
        </w:rPr>
        <w:t> </w:t>
      </w:r>
      <w:r>
        <w:rPr/>
        <w:t>illness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1.2410</w:t>
      </w:r>
      <w:r>
        <w:rPr>
          <w:spacing w:val="4"/>
        </w:rPr>
        <w:t> </w:t>
      </w:r>
      <w:r>
        <w:rPr/>
        <w:t>(24%).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use</w:t>
      </w:r>
      <w:r>
        <w:rPr>
          <w:spacing w:val="2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2"/>
        <w:jc w:val="both"/>
      </w:pPr>
      <w:r>
        <w:rPr/>
        <w:t>pit and latrine increase by 1%, health outcome was found to worsen by 30.5%. The odd of ill-</w:t>
      </w:r>
      <w:r>
        <w:rPr>
          <w:spacing w:val="1"/>
        </w:rPr>
        <w:t> </w:t>
      </w:r>
      <w:r>
        <w:rPr/>
        <w:t>health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households’</w:t>
      </w:r>
      <w:r>
        <w:rPr>
          <w:spacing w:val="-4"/>
        </w:rPr>
        <w:t> </w:t>
      </w:r>
      <w:r>
        <w:rPr/>
        <w:t>dwelling</w:t>
      </w:r>
      <w:r>
        <w:rPr>
          <w:spacing w:val="-4"/>
        </w:rPr>
        <w:t> </w:t>
      </w:r>
      <w:r>
        <w:rPr/>
        <w:t>without</w:t>
      </w:r>
      <w:r>
        <w:rPr>
          <w:spacing w:val="-2"/>
        </w:rPr>
        <w:t> </w:t>
      </w:r>
      <w:r>
        <w:rPr/>
        <w:t>connectivity</w:t>
      </w:r>
      <w:r>
        <w:rPr>
          <w:spacing w:val="-9"/>
        </w:rPr>
        <w:t> </w:t>
      </w:r>
      <w:r>
        <w:rPr/>
        <w:t>to</w:t>
      </w:r>
      <w:r>
        <w:rPr>
          <w:spacing w:val="-2"/>
        </w:rPr>
        <w:t> </w:t>
      </w:r>
      <w:r>
        <w:rPr/>
        <w:t>electricity</w:t>
      </w:r>
      <w:r>
        <w:rPr>
          <w:spacing w:val="-10"/>
        </w:rPr>
        <w:t> </w:t>
      </w:r>
      <w:r>
        <w:rPr/>
        <w:t>is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time.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other</w:t>
      </w:r>
      <w:r>
        <w:rPr>
          <w:spacing w:val="-4"/>
        </w:rPr>
        <w:t> </w:t>
      </w:r>
      <w:r>
        <w:rPr/>
        <w:t>hand,</w:t>
      </w:r>
      <w:r>
        <w:rPr>
          <w:spacing w:val="-3"/>
        </w:rPr>
        <w:t> </w:t>
      </w:r>
      <w:r>
        <w:rPr/>
        <w:t>as</w:t>
      </w:r>
      <w:r>
        <w:rPr>
          <w:spacing w:val="-57"/>
        </w:rPr>
        <w:t> </w:t>
      </w:r>
      <w:r>
        <w:rPr/>
        <w:t>income inequality rises by 1%, ill-health issues increases by 4.6% for those household’s heads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alcoholic drinking</w:t>
      </w:r>
      <w:r>
        <w:rPr>
          <w:spacing w:val="-3"/>
        </w:rPr>
        <w:t> </w:t>
      </w:r>
      <w:r>
        <w:rPr/>
        <w:t>significantly.</w:t>
      </w:r>
    </w:p>
    <w:p>
      <w:pPr>
        <w:pStyle w:val="BodyText"/>
        <w:spacing w:line="360" w:lineRule="auto" w:before="161"/>
        <w:ind w:left="120" w:right="120"/>
        <w:jc w:val="both"/>
      </w:pPr>
      <w:r>
        <w:rPr/>
        <w:t>Mosquito-net possession, access to electricity, and pipe-borne water indicates an inverse and</w:t>
      </w:r>
      <w:r>
        <w:rPr>
          <w:spacing w:val="1"/>
        </w:rPr>
        <w:t> </w:t>
      </w:r>
      <w:r>
        <w:rPr>
          <w:spacing w:val="-1"/>
        </w:rPr>
        <w:t>significant</w:t>
      </w:r>
      <w:r>
        <w:rPr>
          <w:spacing w:val="-7"/>
        </w:rPr>
        <w:t> </w:t>
      </w:r>
      <w:r>
        <w:rPr/>
        <w:t>effect</w:t>
      </w:r>
      <w:r>
        <w:rPr>
          <w:spacing w:val="-6"/>
        </w:rPr>
        <w:t> </w:t>
      </w:r>
      <w:r>
        <w:rPr/>
        <w:t>on</w:t>
      </w:r>
      <w:r>
        <w:rPr>
          <w:spacing w:val="-9"/>
        </w:rPr>
        <w:t> </w:t>
      </w:r>
      <w:r>
        <w:rPr/>
        <w:t>ill-health.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odd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illness</w:t>
      </w:r>
      <w:r>
        <w:rPr>
          <w:spacing w:val="-9"/>
        </w:rPr>
        <w:t> </w:t>
      </w:r>
      <w:r>
        <w:rPr/>
        <w:t>reduce</w:t>
      </w:r>
      <w:r>
        <w:rPr>
          <w:spacing w:val="-8"/>
        </w:rPr>
        <w:t> </w:t>
      </w:r>
      <w:r>
        <w:rPr/>
        <w:t>by</w:t>
      </w:r>
      <w:r>
        <w:rPr>
          <w:spacing w:val="-15"/>
        </w:rPr>
        <w:t> </w:t>
      </w:r>
      <w:r>
        <w:rPr/>
        <w:t>0.66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0.62</w:t>
      </w:r>
      <w:r>
        <w:rPr>
          <w:spacing w:val="-7"/>
        </w:rPr>
        <w:t> </w:t>
      </w:r>
      <w:r>
        <w:rPr/>
        <w:t>for</w:t>
      </w:r>
      <w:r>
        <w:rPr>
          <w:spacing w:val="-10"/>
        </w:rPr>
        <w:t> </w:t>
      </w:r>
      <w:r>
        <w:rPr/>
        <w:t>electricity</w:t>
      </w:r>
      <w:r>
        <w:rPr>
          <w:spacing w:val="-15"/>
        </w:rPr>
        <w:t> </w:t>
      </w:r>
      <w:r>
        <w:rPr/>
        <w:t>access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pipe-borne water, respectively. For households with access to water/modern toilet, the likelihood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members</w:t>
      </w:r>
      <w:r>
        <w:rPr>
          <w:spacing w:val="-4"/>
        </w:rPr>
        <w:t> </w:t>
      </w:r>
      <w:r>
        <w:rPr/>
        <w:t>to experience</w:t>
      </w:r>
      <w:r>
        <w:rPr>
          <w:spacing w:val="-3"/>
        </w:rPr>
        <w:t> </w:t>
      </w:r>
      <w:r>
        <w:rPr/>
        <w:t>illness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at the</w:t>
      </w:r>
      <w:r>
        <w:rPr>
          <w:spacing w:val="-3"/>
        </w:rPr>
        <w:t> </w:t>
      </w:r>
      <w:r>
        <w:rPr/>
        <w:t>10%</w:t>
      </w:r>
      <w:r>
        <w:rPr>
          <w:spacing w:val="-5"/>
        </w:rPr>
        <w:t> </w:t>
      </w:r>
      <w:r>
        <w:rPr/>
        <w:t>significance</w:t>
      </w:r>
      <w:r>
        <w:rPr>
          <w:spacing w:val="-4"/>
        </w:rPr>
        <w:t> </w:t>
      </w:r>
      <w:r>
        <w:rPr/>
        <w:t>level.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other words, as access to water and modern toilet facilities improve by a percentage basis point,</w:t>
      </w:r>
      <w:r>
        <w:rPr>
          <w:spacing w:val="1"/>
        </w:rPr>
        <w:t> </w:t>
      </w:r>
      <w:r>
        <w:rPr/>
        <w:t>possibility</w:t>
      </w:r>
      <w:r>
        <w:rPr>
          <w:spacing w:val="-8"/>
        </w:rPr>
        <w:t> </w:t>
      </w:r>
      <w:r>
        <w:rPr/>
        <w:t>of illness reduces by</w:t>
      </w:r>
      <w:r>
        <w:rPr>
          <w:spacing w:val="-5"/>
        </w:rPr>
        <w:t> </w:t>
      </w:r>
      <w:r>
        <w:rPr/>
        <w:t>13%. This also</w:t>
      </w:r>
      <w:r>
        <w:rPr>
          <w:spacing w:val="1"/>
        </w:rPr>
        <w:t> </w:t>
      </w:r>
      <w:r>
        <w:rPr/>
        <w:t>provide support for</w:t>
      </w:r>
      <w:r>
        <w:rPr>
          <w:spacing w:val="-1"/>
        </w:rPr>
        <w:t> </w:t>
      </w:r>
      <w:r>
        <w:rPr/>
        <w:t>the estimate</w:t>
      </w:r>
      <w:r>
        <w:rPr>
          <w:spacing w:val="-1"/>
        </w:rPr>
        <w:t> </w:t>
      </w:r>
      <w:r>
        <w:rPr/>
        <w:t>in RE model.</w:t>
      </w:r>
    </w:p>
    <w:p>
      <w:pPr>
        <w:pStyle w:val="BodyText"/>
        <w:spacing w:line="360" w:lineRule="auto" w:before="186"/>
        <w:ind w:left="120" w:right="117"/>
        <w:jc w:val="both"/>
      </w:pPr>
      <w:r>
        <w:rPr/>
        <w:t>Incomes from wages and salaries, business and trade, farming, pensions and monetary transfer</w:t>
      </w:r>
      <w:r>
        <w:rPr>
          <w:spacing w:val="1"/>
        </w:rPr>
        <w:t> </w:t>
      </w:r>
      <w:r>
        <w:rPr/>
        <w:t>were</w:t>
      </w:r>
      <w:r>
        <w:rPr>
          <w:spacing w:val="-11"/>
        </w:rPr>
        <w:t> </w:t>
      </w:r>
      <w:r>
        <w:rPr/>
        <w:t>found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significantly</w:t>
      </w:r>
      <w:r>
        <w:rPr>
          <w:spacing w:val="-13"/>
        </w:rPr>
        <w:t> </w:t>
      </w:r>
      <w:r>
        <w:rPr/>
        <w:t>reduce</w:t>
      </w:r>
      <w:r>
        <w:rPr>
          <w:spacing w:val="-12"/>
        </w:rPr>
        <w:t> </w:t>
      </w:r>
      <w:r>
        <w:rPr/>
        <w:t>illness.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instance,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percentage</w:t>
      </w:r>
      <w:r>
        <w:rPr>
          <w:spacing w:val="-12"/>
        </w:rPr>
        <w:t> </w:t>
      </w:r>
      <w:r>
        <w:rPr/>
        <w:t>increase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wage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salaries,</w:t>
      </w:r>
      <w:r>
        <w:rPr>
          <w:spacing w:val="-58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trade, and</w:t>
      </w:r>
      <w:r>
        <w:rPr>
          <w:spacing w:val="-1"/>
        </w:rPr>
        <w:t> </w:t>
      </w:r>
      <w:r>
        <w:rPr/>
        <w:t>farm earnings</w:t>
      </w:r>
      <w:r>
        <w:rPr>
          <w:spacing w:val="-1"/>
        </w:rPr>
        <w:t> </w:t>
      </w:r>
      <w:r>
        <w:rPr/>
        <w:t>reduce</w:t>
      </w:r>
      <w:r>
        <w:rPr>
          <w:spacing w:val="-2"/>
        </w:rPr>
        <w:t> </w:t>
      </w:r>
      <w:r>
        <w:rPr/>
        <w:t>illness by</w:t>
      </w:r>
      <w:r>
        <w:rPr>
          <w:spacing w:val="-6"/>
        </w:rPr>
        <w:t> </w:t>
      </w:r>
      <w:r>
        <w:rPr/>
        <w:t>23%, 16.5%,</w:t>
      </w:r>
      <w:r>
        <w:rPr>
          <w:spacing w:val="-1"/>
        </w:rPr>
        <w:t> </w:t>
      </w:r>
      <w:r>
        <w:rPr/>
        <w:t>and 26%,</w:t>
      </w:r>
      <w:r>
        <w:rPr>
          <w:spacing w:val="-1"/>
        </w:rPr>
        <w:t> </w:t>
      </w:r>
      <w:r>
        <w:rPr/>
        <w:t>respectively</w:t>
      </w:r>
      <w:r>
        <w:rPr>
          <w:spacing w:val="-6"/>
        </w:rPr>
        <w:t> </w:t>
      </w:r>
      <w:r>
        <w:rPr/>
        <w:t>while</w:t>
      </w:r>
      <w:r>
        <w:rPr>
          <w:spacing w:val="-57"/>
        </w:rPr>
        <w:t> </w:t>
      </w:r>
      <w:r>
        <w:rPr/>
        <w:t>the odd of illness reduces by 0.95 (5%) and 0.93 (7.4%) for pension and monetary transfer. But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returns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remittance,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falls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18%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27%,</w:t>
      </w:r>
      <w:r>
        <w:rPr>
          <w:spacing w:val="-57"/>
        </w:rPr>
        <w:t> </w:t>
      </w:r>
      <w:r>
        <w:rPr/>
        <w:t>respectively. This means that better incomes provide ample opportunity to access good health</w:t>
      </w:r>
      <w:r>
        <w:rPr>
          <w:spacing w:val="1"/>
        </w:rPr>
        <w:t> </w:t>
      </w:r>
      <w:r>
        <w:rPr/>
        <w:t>services.</w:t>
      </w:r>
    </w:p>
    <w:p>
      <w:pPr>
        <w:pStyle w:val="BodyText"/>
        <w:spacing w:line="360" w:lineRule="auto" w:before="160"/>
        <w:ind w:left="120" w:right="113"/>
        <w:jc w:val="both"/>
      </w:pPr>
      <w:r>
        <w:rPr/>
        <w:t>The effect of income inequality on illness is positive and significant at 1% level, meaning that for</w:t>
      </w:r>
      <w:r>
        <w:rPr>
          <w:spacing w:val="-57"/>
        </w:rPr>
        <w:t> </w:t>
      </w:r>
      <w:r>
        <w:rPr/>
        <w:t>every 1% rise in income inequality among households, the likelihood of ill-health increases by</w:t>
      </w:r>
      <w:r>
        <w:rPr>
          <w:spacing w:val="1"/>
        </w:rPr>
        <w:t> </w:t>
      </w:r>
      <w:r>
        <w:rPr/>
        <w:t>about</w:t>
      </w:r>
      <w:r>
        <w:rPr>
          <w:spacing w:val="-13"/>
        </w:rPr>
        <w:t> </w:t>
      </w:r>
      <w:r>
        <w:rPr/>
        <w:t>2.8%.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positive</w:t>
      </w:r>
      <w:r>
        <w:rPr>
          <w:spacing w:val="-14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inequality-health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also</w:t>
      </w:r>
      <w:r>
        <w:rPr>
          <w:spacing w:val="-12"/>
        </w:rPr>
        <w:t> </w:t>
      </w:r>
      <w:r>
        <w:rPr/>
        <w:t>compatible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ideas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Wilkinson</w:t>
      </w:r>
      <w:r>
        <w:rPr>
          <w:spacing w:val="-13"/>
        </w:rPr>
        <w:t> </w:t>
      </w:r>
      <w:r>
        <w:rPr/>
        <w:t>(1996)</w:t>
      </w:r>
      <w:r>
        <w:rPr>
          <w:spacing w:val="-57"/>
        </w:rPr>
        <w:t> </w:t>
      </w:r>
      <w:r>
        <w:rPr>
          <w:spacing w:val="-1"/>
        </w:rPr>
        <w:t>who</w:t>
      </w:r>
      <w:r>
        <w:rPr>
          <w:spacing w:val="-15"/>
        </w:rPr>
        <w:t> </w:t>
      </w:r>
      <w:r>
        <w:rPr>
          <w:spacing w:val="-1"/>
        </w:rPr>
        <w:t>suggest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>
          <w:sz w:val="23"/>
        </w:rPr>
        <w:t>income</w:t>
      </w:r>
      <w:r>
        <w:rPr>
          <w:spacing w:val="-13"/>
          <w:sz w:val="23"/>
        </w:rPr>
        <w:t> </w:t>
      </w:r>
      <w:r>
        <w:rPr>
          <w:sz w:val="23"/>
        </w:rPr>
        <w:t>disparity</w:t>
      </w:r>
      <w:r>
        <w:rPr>
          <w:spacing w:val="-12"/>
          <w:sz w:val="23"/>
        </w:rPr>
        <w:t> </w:t>
      </w:r>
      <w:r>
        <w:rPr/>
        <w:t>could</w:t>
      </w:r>
      <w:r>
        <w:rPr>
          <w:spacing w:val="-14"/>
        </w:rPr>
        <w:t> </w:t>
      </w:r>
      <w:r>
        <w:rPr>
          <w:sz w:val="23"/>
        </w:rPr>
        <w:t>exert</w:t>
      </w:r>
      <w:r>
        <w:rPr>
          <w:spacing w:val="-10"/>
          <w:sz w:val="23"/>
        </w:rPr>
        <w:t> </w:t>
      </w:r>
      <w:r>
        <w:rPr/>
        <w:t>a</w:t>
      </w:r>
      <w:r>
        <w:rPr>
          <w:spacing w:val="-16"/>
        </w:rPr>
        <w:t> </w:t>
      </w:r>
      <w:r>
        <w:rPr/>
        <w:t>positive</w:t>
      </w:r>
      <w:r>
        <w:rPr>
          <w:spacing w:val="-16"/>
        </w:rPr>
        <w:t> </w:t>
      </w:r>
      <w:r>
        <w:rPr/>
        <w:t>influence</w:t>
      </w:r>
      <w:r>
        <w:rPr>
          <w:spacing w:val="-16"/>
        </w:rPr>
        <w:t> </w:t>
      </w:r>
      <w:r>
        <w:rPr/>
        <w:t>on</w:t>
      </w:r>
      <w:r>
        <w:rPr>
          <w:spacing w:val="-14"/>
        </w:rPr>
        <w:t> </w:t>
      </w:r>
      <w:r>
        <w:rPr/>
        <w:t>poor</w:t>
      </w:r>
      <w:r>
        <w:rPr>
          <w:spacing w:val="-15"/>
        </w:rPr>
        <w:t> </w:t>
      </w:r>
      <w:r>
        <w:rPr>
          <w:sz w:val="23"/>
        </w:rPr>
        <w:t>health</w:t>
      </w:r>
      <w:r>
        <w:rPr>
          <w:spacing w:val="-11"/>
          <w:sz w:val="23"/>
        </w:rPr>
        <w:t> </w:t>
      </w:r>
      <w:r>
        <w:rPr/>
        <w:t>outcomes</w:t>
      </w:r>
      <w:r>
        <w:rPr>
          <w:spacing w:val="-14"/>
        </w:rPr>
        <w:t> </w:t>
      </w:r>
      <w:r>
        <w:rPr/>
        <w:t>(illness).</w:t>
      </w:r>
      <w:r>
        <w:rPr>
          <w:spacing w:val="-58"/>
        </w:rPr>
        <w:t> </w:t>
      </w:r>
      <w:r>
        <w:rPr/>
        <w:t>The likelihood ratio statistics as indicated by chi-squared value of 3,224 was highly significant at</w:t>
      </w:r>
      <w:r>
        <w:rPr>
          <w:spacing w:val="-57"/>
        </w:rPr>
        <w:t> </w:t>
      </w:r>
      <w:r>
        <w:rPr/>
        <w:t>5%</w:t>
      </w:r>
      <w:r>
        <w:rPr>
          <w:spacing w:val="-1"/>
        </w:rPr>
        <w:t> </w:t>
      </w:r>
      <w:r>
        <w:rPr/>
        <w:t>significance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indicating</w:t>
      </w:r>
      <w:r>
        <w:rPr>
          <w:spacing w:val="-3"/>
        </w:rPr>
        <w:t> </w:t>
      </w:r>
      <w:r>
        <w:rPr/>
        <w:t>the model has a</w:t>
      </w:r>
      <w:r>
        <w:rPr>
          <w:spacing w:val="-2"/>
        </w:rPr>
        <w:t> </w:t>
      </w:r>
      <w:r>
        <w:rPr/>
        <w:t>strong</w:t>
      </w:r>
      <w:r>
        <w:rPr>
          <w:spacing w:val="-1"/>
        </w:rPr>
        <w:t> </w:t>
      </w:r>
      <w:r>
        <w:rPr/>
        <w:t>explanatory</w:t>
      </w:r>
      <w:r>
        <w:rPr>
          <w:spacing w:val="-5"/>
        </w:rPr>
        <w:t> </w:t>
      </w:r>
      <w:r>
        <w:rPr/>
        <w:t>power.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20" w:right="116"/>
        <w:jc w:val="both"/>
      </w:pPr>
      <w:r>
        <w:rPr/>
        <w:t>Additionally, evidence from Wave 2 (2013) data as presented in Appendix I4 show that, the</w:t>
      </w:r>
      <w:r>
        <w:rPr>
          <w:spacing w:val="1"/>
        </w:rPr>
        <w:t> </w:t>
      </w:r>
      <w:r>
        <w:rPr/>
        <w:t>likelihood of members experiencing illness is as high as 83%, for any new addition to the</w:t>
      </w:r>
      <w:r>
        <w:rPr>
          <w:spacing w:val="1"/>
        </w:rPr>
        <w:t> </w:t>
      </w:r>
      <w:r>
        <w:rPr/>
        <w:t>household. This thesis also found that hunger and lack of nutrient have more likelihood of</w:t>
      </w:r>
      <w:r>
        <w:rPr>
          <w:spacing w:val="1"/>
        </w:rPr>
        <w:t> </w:t>
      </w:r>
      <w:r>
        <w:rPr/>
        <w:t>increasing poor health outcomes by about 75%. But treated mosquito-net possession leads to a</w:t>
      </w:r>
      <w:r>
        <w:rPr>
          <w:spacing w:val="1"/>
        </w:rPr>
        <w:t> </w:t>
      </w:r>
      <w:r>
        <w:rPr/>
        <w:t>decrease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ill-health,</w:t>
      </w:r>
      <w:r>
        <w:rPr>
          <w:spacing w:val="-4"/>
        </w:rPr>
        <w:t> </w:t>
      </w:r>
      <w:r>
        <w:rPr/>
        <w:t>recording</w:t>
      </w:r>
      <w:r>
        <w:rPr>
          <w:spacing w:val="-6"/>
        </w:rPr>
        <w:t> </w:t>
      </w:r>
      <w:r>
        <w:rPr/>
        <w:t>48%.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inappropriate</w:t>
      </w:r>
      <w:r>
        <w:rPr>
          <w:spacing w:val="-4"/>
        </w:rPr>
        <w:t> </w:t>
      </w:r>
      <w:r>
        <w:rPr/>
        <w:t>health-care</w:t>
      </w:r>
      <w:r>
        <w:rPr>
          <w:spacing w:val="-1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related</w:t>
      </w:r>
      <w:r>
        <w:rPr>
          <w:spacing w:val="-3"/>
        </w:rPr>
        <w:t> </w:t>
      </w:r>
      <w:r>
        <w:rPr/>
        <w:t>with</w:t>
      </w:r>
      <w:r>
        <w:rPr>
          <w:spacing w:val="-58"/>
        </w:rPr>
        <w:t> </w:t>
      </w:r>
      <w:r>
        <w:rPr>
          <w:spacing w:val="-1"/>
        </w:rPr>
        <w:t>ill-health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17%</w:t>
      </w:r>
      <w:r>
        <w:rPr>
          <w:spacing w:val="-13"/>
        </w:rPr>
        <w:t> </w:t>
      </w:r>
      <w:r>
        <w:rPr/>
        <w:t>likelihood</w:t>
      </w:r>
      <w:r>
        <w:rPr>
          <w:spacing w:val="-12"/>
        </w:rPr>
        <w:t> </w:t>
      </w:r>
      <w:r>
        <w:rPr/>
        <w:t>positively.</w:t>
      </w:r>
      <w:r>
        <w:rPr>
          <w:spacing w:val="-12"/>
        </w:rPr>
        <w:t> </w:t>
      </w:r>
      <w:r>
        <w:rPr/>
        <w:t>Also,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likelihood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household’s</w:t>
      </w:r>
      <w:r>
        <w:rPr>
          <w:spacing w:val="-10"/>
        </w:rPr>
        <w:t> </w:t>
      </w:r>
      <w:r>
        <w:rPr/>
        <w:t>members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her</w:t>
      </w:r>
      <w:r>
        <w:rPr>
          <w:spacing w:val="-13"/>
        </w:rPr>
        <w:t> </w:t>
      </w:r>
      <w:r>
        <w:rPr/>
        <w:t>head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3"/>
        <w:jc w:val="both"/>
      </w:pPr>
      <w:r>
        <w:rPr/>
        <w:t>without basic education experiencing illness is 0.81%. On the contrary, access to electricity</w:t>
      </w:r>
      <w:r>
        <w:rPr>
          <w:spacing w:val="1"/>
        </w:rPr>
        <w:t> </w:t>
      </w:r>
      <w:r>
        <w:rPr/>
        <w:t>improve health outcome by 6%. Better access to pipe-borne drinkable water was found to reduce</w:t>
      </w:r>
      <w:r>
        <w:rPr>
          <w:spacing w:val="1"/>
        </w:rPr>
        <w:t> </w:t>
      </w:r>
      <w:r>
        <w:rPr/>
        <w:t>illness by</w:t>
      </w:r>
      <w:r>
        <w:rPr>
          <w:spacing w:val="-5"/>
        </w:rPr>
        <w:t> </w:t>
      </w:r>
      <w:r>
        <w:rPr/>
        <w:t>13%.</w:t>
      </w:r>
    </w:p>
    <w:p>
      <w:pPr>
        <w:pStyle w:val="BodyText"/>
        <w:spacing w:line="360" w:lineRule="auto" w:before="163"/>
        <w:ind w:left="120" w:right="118"/>
        <w:jc w:val="both"/>
      </w:pPr>
      <w:r>
        <w:rPr/>
        <w:t>Incomes from wages and salaries, business enterprises and trade, crop and livestock, conditional</w:t>
      </w:r>
      <w:r>
        <w:rPr>
          <w:spacing w:val="1"/>
        </w:rPr>
        <w:t> </w:t>
      </w:r>
      <w:r>
        <w:rPr/>
        <w:t>transfers, and pensions have strong likelihood to reduce illness. Notwithstanding, dividend from</w:t>
      </w:r>
      <w:r>
        <w:rPr>
          <w:spacing w:val="1"/>
        </w:rPr>
        <w:t> </w:t>
      </w:r>
      <w:r>
        <w:rPr/>
        <w:t>investments is significant but positively correlated with ill-health. Importantly, the probability of</w:t>
      </w:r>
      <w:r>
        <w:rPr>
          <w:spacing w:val="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</w:t>
      </w:r>
      <w:r>
        <w:rPr>
          <w:spacing w:val="-3"/>
        </w:rPr>
        <w:t> </w:t>
      </w:r>
      <w:r>
        <w:rPr/>
        <w:t>worsens illness is</w:t>
      </w:r>
      <w:r>
        <w:rPr>
          <w:spacing w:val="2"/>
        </w:rPr>
        <w:t> </w:t>
      </w:r>
      <w:r>
        <w:rPr/>
        <w:t>2.96%.</w:t>
      </w:r>
    </w:p>
    <w:p>
      <w:pPr>
        <w:pStyle w:val="BodyText"/>
        <w:spacing w:line="360" w:lineRule="auto" w:before="160"/>
        <w:ind w:left="120" w:right="116"/>
        <w:jc w:val="both"/>
      </w:pPr>
      <w:r>
        <w:rPr/>
        <w:t>Evidence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Wave</w:t>
      </w:r>
      <w:r>
        <w:rPr>
          <w:spacing w:val="-4"/>
        </w:rPr>
        <w:t> </w:t>
      </w:r>
      <w:r>
        <w:rPr/>
        <w:t>3</w:t>
      </w:r>
      <w:r>
        <w:rPr>
          <w:spacing w:val="-2"/>
        </w:rPr>
        <w:t> </w:t>
      </w:r>
      <w:r>
        <w:rPr/>
        <w:t>(2016)</w:t>
      </w:r>
      <w:r>
        <w:rPr>
          <w:spacing w:val="-4"/>
        </w:rPr>
        <w:t> </w:t>
      </w:r>
      <w:r>
        <w:rPr/>
        <w:t>data</w:t>
      </w:r>
      <w:r>
        <w:rPr>
          <w:spacing w:val="-1"/>
        </w:rPr>
        <w:t> </w:t>
      </w:r>
      <w:r>
        <w:rPr/>
        <w:t>(see</w:t>
      </w:r>
      <w:r>
        <w:rPr>
          <w:spacing w:val="-3"/>
        </w:rPr>
        <w:t> </w:t>
      </w:r>
      <w:r>
        <w:rPr/>
        <w:t>Appendix</w:t>
      </w:r>
      <w:r>
        <w:rPr>
          <w:spacing w:val="-3"/>
        </w:rPr>
        <w:t> </w:t>
      </w:r>
      <w:r>
        <w:rPr/>
        <w:t>J3)</w:t>
      </w:r>
      <w:r>
        <w:rPr>
          <w:spacing w:val="-4"/>
        </w:rPr>
        <w:t> </w:t>
      </w:r>
      <w:r>
        <w:rPr/>
        <w:t>indicates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likelihood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households’</w:t>
      </w:r>
      <w:r>
        <w:rPr>
          <w:spacing w:val="-57"/>
        </w:rPr>
        <w:t> </w:t>
      </w:r>
      <w:r>
        <w:rPr/>
        <w:t>members experiencing illness is 4.6%, for any new addition to the family size. It was found that</w:t>
      </w:r>
      <w:r>
        <w:rPr>
          <w:spacing w:val="1"/>
        </w:rPr>
        <w:t> </w:t>
      </w:r>
      <w:r>
        <w:rPr/>
        <w:t>hunger and lack of nutrient increase poor health outcomes by about 31%. On the other hand, the</w:t>
      </w:r>
      <w:r>
        <w:rPr>
          <w:spacing w:val="1"/>
        </w:rPr>
        <w:t> </w:t>
      </w:r>
      <w:r>
        <w:rPr/>
        <w:t>probability of treated mosquito-net possession declines illness is 9% significantly. The uses of</w:t>
      </w:r>
      <w:r>
        <w:rPr>
          <w:spacing w:val="1"/>
        </w:rPr>
        <w:t> </w:t>
      </w:r>
      <w:r>
        <w:rPr/>
        <w:t>inappropriate health-care services are associated with illness by 0.51%. It was also found that the</w:t>
      </w:r>
      <w:r>
        <w:rPr>
          <w:spacing w:val="-57"/>
        </w:rPr>
        <w:t> </w:t>
      </w:r>
      <w:r>
        <w:rPr/>
        <w:t>likelihood of a household headed by an individual without basic education experiencing illness is</w:t>
      </w:r>
      <w:r>
        <w:rPr>
          <w:spacing w:val="-57"/>
        </w:rPr>
        <w:t> </w:t>
      </w:r>
      <w:r>
        <w:rPr/>
        <w:t>57%. But, the head’s possession of primary, secondary and tertiary educational qualifications</w:t>
      </w:r>
      <w:r>
        <w:rPr>
          <w:spacing w:val="1"/>
        </w:rPr>
        <w:t> </w:t>
      </w:r>
      <w:r>
        <w:rPr/>
        <w:t>declines</w:t>
      </w:r>
      <w:r>
        <w:rPr>
          <w:spacing w:val="-1"/>
        </w:rPr>
        <w:t> </w:t>
      </w:r>
      <w:r>
        <w:rPr/>
        <w:t>illness.</w:t>
      </w:r>
    </w:p>
    <w:p>
      <w:pPr>
        <w:pStyle w:val="BodyText"/>
        <w:spacing w:line="360" w:lineRule="auto" w:before="139"/>
        <w:ind w:left="120" w:right="116"/>
        <w:jc w:val="both"/>
      </w:pPr>
      <w:r>
        <w:rPr/>
        <w:t>Like the RE estimates, the probability of dwellings connected to electricity deteriorate ill-health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0.12%.</w:t>
      </w:r>
      <w:r>
        <w:rPr>
          <w:spacing w:val="-4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pipe-borne</w:t>
      </w:r>
      <w:r>
        <w:rPr>
          <w:spacing w:val="-5"/>
        </w:rPr>
        <w:t> </w:t>
      </w:r>
      <w:r>
        <w:rPr/>
        <w:t>safe</w:t>
      </w:r>
      <w:r>
        <w:rPr>
          <w:spacing w:val="-5"/>
        </w:rPr>
        <w:t> </w:t>
      </w:r>
      <w:r>
        <w:rPr/>
        <w:t>water</w:t>
      </w:r>
      <w:r>
        <w:rPr>
          <w:spacing w:val="-5"/>
        </w:rPr>
        <w:t> </w:t>
      </w:r>
      <w:r>
        <w:rPr/>
        <w:t>was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related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declining</w:t>
      </w:r>
      <w:r>
        <w:rPr>
          <w:spacing w:val="-3"/>
        </w:rPr>
        <w:t> </w:t>
      </w:r>
      <w:r>
        <w:rPr/>
        <w:t>illness</w:t>
      </w:r>
      <w:r>
        <w:rPr>
          <w:spacing w:val="-4"/>
        </w:rPr>
        <w:t> </w:t>
      </w:r>
      <w:r>
        <w:rPr/>
        <w:t>by</w:t>
      </w:r>
      <w:r>
        <w:rPr>
          <w:spacing w:val="-10"/>
        </w:rPr>
        <w:t> </w:t>
      </w:r>
      <w:r>
        <w:rPr/>
        <w:t>15%.</w:t>
      </w:r>
      <w:r>
        <w:rPr>
          <w:spacing w:val="-4"/>
        </w:rPr>
        <w:t> </w:t>
      </w:r>
      <w:r>
        <w:rPr/>
        <w:t>Also,</w:t>
      </w:r>
      <w:r>
        <w:rPr>
          <w:spacing w:val="-57"/>
        </w:rPr>
        <w:t> </w:t>
      </w:r>
      <w:r>
        <w:rPr/>
        <w:t>incomes from wages and salaries, business enterprises and trade, crop and livestock, conditional</w:t>
      </w:r>
      <w:r>
        <w:rPr>
          <w:spacing w:val="1"/>
        </w:rPr>
        <w:t> </w:t>
      </w:r>
      <w:r>
        <w:rPr/>
        <w:t>transfers,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pensions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strong</w:t>
      </w:r>
      <w:r>
        <w:rPr>
          <w:spacing w:val="-5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reduce</w:t>
      </w:r>
      <w:r>
        <w:rPr>
          <w:spacing w:val="-2"/>
        </w:rPr>
        <w:t> </w:t>
      </w:r>
      <w:r>
        <w:rPr/>
        <w:t>illness.</w:t>
      </w:r>
      <w:r>
        <w:rPr>
          <w:spacing w:val="-1"/>
        </w:rPr>
        <w:t> </w:t>
      </w:r>
      <w:r>
        <w:rPr/>
        <w:t>Finally,</w:t>
      </w:r>
      <w:r>
        <w:rPr>
          <w:spacing w:val="-2"/>
        </w:rPr>
        <w:t> </w:t>
      </w:r>
      <w:r>
        <w:rPr/>
        <w:t>the probability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income</w:t>
      </w:r>
      <w:r>
        <w:rPr>
          <w:spacing w:val="-58"/>
        </w:rPr>
        <w:t> </w:t>
      </w:r>
      <w:r>
        <w:rPr/>
        <w:t>inequality worsens illness is 3%. Though this is higher than the estimates obtained in RE model,</w:t>
      </w:r>
      <w:r>
        <w:rPr>
          <w:spacing w:val="1"/>
        </w:rPr>
        <w:t> </w:t>
      </w:r>
      <w:r>
        <w:rPr/>
        <w:t>however, both have the same signs and statistically significant. The diagnostic tests for all the</w:t>
      </w:r>
      <w:r>
        <w:rPr>
          <w:spacing w:val="1"/>
        </w:rPr>
        <w:t> </w:t>
      </w:r>
      <w:r>
        <w:rPr/>
        <w:t>models were</w:t>
      </w:r>
      <w:r>
        <w:rPr>
          <w:spacing w:val="-2"/>
        </w:rPr>
        <w:t> </w:t>
      </w:r>
      <w:r>
        <w:rPr/>
        <w:t>satisfactory</w:t>
      </w:r>
      <w:r>
        <w:rPr>
          <w:spacing w:val="-3"/>
        </w:rPr>
        <w:t> </w:t>
      </w:r>
      <w:r>
        <w:rPr/>
        <w:t>and thus validate the</w:t>
      </w:r>
      <w:r>
        <w:rPr>
          <w:spacing w:val="-1"/>
        </w:rPr>
        <w:t> </w:t>
      </w:r>
      <w:r>
        <w:rPr/>
        <w:t>potency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models.</w:t>
      </w:r>
    </w:p>
    <w:p>
      <w:pPr>
        <w:pStyle w:val="BodyText"/>
        <w:spacing w:line="360" w:lineRule="auto" w:before="159"/>
        <w:ind w:left="120" w:right="115"/>
        <w:jc w:val="both"/>
      </w:pP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foregoing,</w:t>
      </w:r>
      <w:r>
        <w:rPr>
          <w:spacing w:val="-11"/>
        </w:rPr>
        <w:t> </w:t>
      </w:r>
      <w:r>
        <w:rPr/>
        <w:t>all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Panel</w:t>
      </w:r>
      <w:r>
        <w:rPr>
          <w:spacing w:val="-13"/>
        </w:rPr>
        <w:t> </w:t>
      </w:r>
      <w:r>
        <w:rPr/>
        <w:t>logistic</w:t>
      </w:r>
      <w:r>
        <w:rPr>
          <w:spacing w:val="-14"/>
        </w:rPr>
        <w:t> </w:t>
      </w:r>
      <w:r>
        <w:rPr/>
        <w:t>on</w:t>
      </w:r>
      <w:r>
        <w:rPr>
          <w:spacing w:val="-11"/>
        </w:rPr>
        <w:t> </w:t>
      </w:r>
      <w:r>
        <w:rPr/>
        <w:t>all</w:t>
      </w:r>
      <w:r>
        <w:rPr>
          <w:spacing w:val="-13"/>
        </w:rPr>
        <w:t> </w:t>
      </w:r>
      <w:r>
        <w:rPr/>
        <w:t>NGHPS</w:t>
      </w:r>
      <w:r>
        <w:rPr>
          <w:spacing w:val="-12"/>
        </w:rPr>
        <w:t> </w:t>
      </w:r>
      <w:r>
        <w:rPr/>
        <w:t>data,</w:t>
      </w:r>
      <w:r>
        <w:rPr>
          <w:spacing w:val="-12"/>
        </w:rPr>
        <w:t> </w:t>
      </w:r>
      <w:r>
        <w:rPr/>
        <w:t>Multi-level</w:t>
      </w:r>
      <w:r>
        <w:rPr>
          <w:spacing w:val="-13"/>
        </w:rPr>
        <w:t> </w:t>
      </w:r>
      <w:r>
        <w:rPr/>
        <w:t>technique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individual</w:t>
      </w:r>
      <w:r>
        <w:rPr>
          <w:spacing w:val="-12"/>
        </w:rPr>
        <w:t> </w:t>
      </w:r>
      <w:r>
        <w:rPr/>
        <w:t>waves’</w:t>
      </w:r>
      <w:r>
        <w:rPr>
          <w:spacing w:val="-13"/>
        </w:rPr>
        <w:t> </w:t>
      </w:r>
      <w:r>
        <w:rPr/>
        <w:t>estimations</w:t>
      </w:r>
      <w:r>
        <w:rPr>
          <w:spacing w:val="-12"/>
        </w:rPr>
        <w:t> </w:t>
      </w:r>
      <w:r>
        <w:rPr/>
        <w:t>show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apparent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drive</w:t>
      </w:r>
      <w:r>
        <w:rPr>
          <w:spacing w:val="-14"/>
        </w:rPr>
        <w:t> </w:t>
      </w:r>
      <w:r>
        <w:rPr/>
        <w:t>towards</w:t>
      </w:r>
      <w:r>
        <w:rPr>
          <w:spacing w:val="-13"/>
        </w:rPr>
        <w:t> </w:t>
      </w:r>
      <w:r>
        <w:rPr/>
        <w:t>promoting</w:t>
      </w:r>
      <w:r>
        <w:rPr>
          <w:spacing w:val="-15"/>
        </w:rPr>
        <w:t> </w:t>
      </w:r>
      <w:r>
        <w:rPr/>
        <w:t>healthy</w:t>
      </w:r>
      <w:r>
        <w:rPr>
          <w:spacing w:val="-57"/>
        </w:rPr>
        <w:t> </w:t>
      </w:r>
      <w:r>
        <w:rPr/>
        <w:t>society</w:t>
      </w:r>
      <w:r>
        <w:rPr>
          <w:spacing w:val="-20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</w:t>
      </w:r>
      <w:r>
        <w:rPr>
          <w:spacing w:val="-15"/>
        </w:rPr>
        <w:t> </w:t>
      </w:r>
      <w:r>
        <w:rPr/>
        <w:t>may</w:t>
      </w:r>
      <w:r>
        <w:rPr>
          <w:spacing w:val="-20"/>
        </w:rPr>
        <w:t> </w:t>
      </w:r>
      <w:r>
        <w:rPr/>
        <w:t>be</w:t>
      </w:r>
      <w:r>
        <w:rPr>
          <w:spacing w:val="-13"/>
        </w:rPr>
        <w:t> </w:t>
      </w:r>
      <w:r>
        <w:rPr/>
        <w:t>stifled</w:t>
      </w:r>
      <w:r>
        <w:rPr>
          <w:spacing w:val="-15"/>
        </w:rPr>
        <w:t> </w:t>
      </w:r>
      <w:r>
        <w:rPr/>
        <w:t>by</w:t>
      </w:r>
      <w:r>
        <w:rPr>
          <w:spacing w:val="-19"/>
        </w:rPr>
        <w:t> </w:t>
      </w:r>
      <w:r>
        <w:rPr/>
        <w:t>widening</w:t>
      </w:r>
      <w:r>
        <w:rPr>
          <w:spacing w:val="-17"/>
        </w:rPr>
        <w:t> </w:t>
      </w:r>
      <w:r>
        <w:rPr/>
        <w:t>income</w:t>
      </w:r>
      <w:r>
        <w:rPr>
          <w:spacing w:val="-14"/>
        </w:rPr>
        <w:t> </w:t>
      </w:r>
      <w:r>
        <w:rPr/>
        <w:t>disparity</w:t>
      </w:r>
      <w:r>
        <w:rPr>
          <w:spacing w:val="-17"/>
        </w:rPr>
        <w:t> </w:t>
      </w:r>
      <w:r>
        <w:rPr/>
        <w:t>both</w:t>
      </w:r>
      <w:r>
        <w:rPr>
          <w:spacing w:val="-13"/>
        </w:rPr>
        <w:t> </w:t>
      </w:r>
      <w:r>
        <w:rPr/>
        <w:t>directly</w:t>
      </w:r>
      <w:r>
        <w:rPr>
          <w:spacing w:val="-17"/>
        </w:rPr>
        <w:t> </w:t>
      </w:r>
      <w:r>
        <w:rPr/>
        <w:t>and</w:t>
      </w:r>
      <w:r>
        <w:rPr>
          <w:spacing w:val="-15"/>
        </w:rPr>
        <w:t> </w:t>
      </w:r>
      <w:r>
        <w:rPr/>
        <w:t>indirectly.</w:t>
      </w:r>
      <w:r>
        <w:rPr>
          <w:spacing w:val="-9"/>
        </w:rPr>
        <w:t> </w:t>
      </w:r>
      <w:r>
        <w:rPr/>
        <w:t>Income</w:t>
      </w:r>
      <w:r>
        <w:rPr>
          <w:spacing w:val="-58"/>
        </w:rPr>
        <w:t> </w:t>
      </w:r>
      <w:r>
        <w:rPr>
          <w:spacing w:val="-1"/>
          <w:sz w:val="23"/>
        </w:rPr>
        <w:t>inequality</w:t>
      </w:r>
      <w:r>
        <w:rPr>
          <w:spacing w:val="-16"/>
          <w:sz w:val="23"/>
        </w:rPr>
        <w:t> </w:t>
      </w:r>
      <w:r>
        <w:rPr>
          <w:spacing w:val="-1"/>
          <w:sz w:val="23"/>
        </w:rPr>
        <w:t>could</w:t>
      </w:r>
      <w:r>
        <w:rPr>
          <w:spacing w:val="-12"/>
          <w:sz w:val="23"/>
        </w:rPr>
        <w:t> </w:t>
      </w:r>
      <w:r>
        <w:rPr>
          <w:sz w:val="23"/>
        </w:rPr>
        <w:t>have</w:t>
      </w:r>
      <w:r>
        <w:rPr>
          <w:spacing w:val="-11"/>
          <w:sz w:val="23"/>
        </w:rPr>
        <w:t> </w:t>
      </w:r>
      <w:r>
        <w:rPr/>
        <w:t>a</w:t>
      </w:r>
      <w:r>
        <w:rPr>
          <w:spacing w:val="-16"/>
        </w:rPr>
        <w:t> </w:t>
      </w:r>
      <w:r>
        <w:rPr>
          <w:i/>
        </w:rPr>
        <w:t>direct</w:t>
      </w:r>
      <w:r>
        <w:rPr>
          <w:i/>
          <w:spacing w:val="-14"/>
        </w:rPr>
        <w:t> </w:t>
      </w:r>
      <w:r>
        <w:rPr>
          <w:i/>
        </w:rPr>
        <w:t>effect</w:t>
      </w:r>
      <w:r>
        <w:rPr>
          <w:i/>
          <w:spacing w:val="-13"/>
        </w:rPr>
        <w:t> </w:t>
      </w:r>
      <w:r>
        <w:rPr/>
        <w:t>on</w:t>
      </w:r>
      <w:r>
        <w:rPr>
          <w:spacing w:val="-15"/>
        </w:rPr>
        <w:t> </w:t>
      </w:r>
      <w:r>
        <w:rPr/>
        <w:t>poor</w:t>
      </w:r>
      <w:r>
        <w:rPr>
          <w:spacing w:val="-16"/>
        </w:rPr>
        <w:t> </w:t>
      </w:r>
      <w:r>
        <w:rPr>
          <w:sz w:val="23"/>
        </w:rPr>
        <w:t>health</w:t>
      </w:r>
      <w:r>
        <w:rPr>
          <w:spacing w:val="-11"/>
          <w:sz w:val="23"/>
        </w:rPr>
        <w:t> </w:t>
      </w:r>
      <w:r>
        <w:rPr>
          <w:sz w:val="23"/>
        </w:rPr>
        <w:t>outcome</w:t>
      </w:r>
      <w:r>
        <w:rPr>
          <w:spacing w:val="-11"/>
          <w:sz w:val="23"/>
        </w:rPr>
        <w:t> </w:t>
      </w:r>
      <w:r>
        <w:rPr/>
        <w:t>(illness)</w:t>
      </w:r>
      <w:r>
        <w:rPr>
          <w:spacing w:val="-15"/>
        </w:rPr>
        <w:t> </w:t>
      </w:r>
      <w:r>
        <w:rPr/>
        <w:t>by</w:t>
      </w:r>
      <w:r>
        <w:rPr>
          <w:spacing w:val="-20"/>
        </w:rPr>
        <w:t> </w:t>
      </w:r>
      <w:r>
        <w:rPr/>
        <w:t>affecting</w:t>
      </w:r>
      <w:r>
        <w:rPr>
          <w:spacing w:val="-17"/>
        </w:rPr>
        <w:t> </w:t>
      </w:r>
      <w:r>
        <w:rPr/>
        <w:t>Nigerian’s</w:t>
      </w:r>
      <w:r>
        <w:rPr>
          <w:spacing w:val="-15"/>
        </w:rPr>
        <w:t> </w:t>
      </w:r>
      <w:r>
        <w:rPr/>
        <w:t>psycho-</w:t>
      </w:r>
      <w:r>
        <w:rPr>
          <w:spacing w:val="-58"/>
        </w:rPr>
        <w:t> </w:t>
      </w:r>
      <w:r>
        <w:rPr/>
        <w:t>social wellbeing. This is because the perceptions of relative inequality in status differentials due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income</w:t>
      </w:r>
      <w:r>
        <w:rPr>
          <w:spacing w:val="-11"/>
        </w:rPr>
        <w:t> </w:t>
      </w:r>
      <w:r>
        <w:rPr/>
        <w:t>inequality</w:t>
      </w:r>
      <w:r>
        <w:rPr>
          <w:spacing w:val="-15"/>
        </w:rPr>
        <w:t> </w:t>
      </w:r>
      <w:r>
        <w:rPr/>
        <w:t>could</w:t>
      </w:r>
      <w:r>
        <w:rPr>
          <w:spacing w:val="-10"/>
        </w:rPr>
        <w:t> </w:t>
      </w:r>
      <w:r>
        <w:rPr/>
        <w:t>lead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negative</w:t>
      </w:r>
      <w:r>
        <w:rPr>
          <w:spacing w:val="-9"/>
        </w:rPr>
        <w:t> </w:t>
      </w:r>
      <w:r>
        <w:rPr/>
        <w:t>emotions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translate</w:t>
      </w:r>
      <w:r>
        <w:rPr>
          <w:spacing w:val="-8"/>
        </w:rPr>
        <w:t> </w:t>
      </w:r>
      <w:r>
        <w:rPr/>
        <w:t>into</w:t>
      </w:r>
      <w:r>
        <w:rPr>
          <w:spacing w:val="-10"/>
        </w:rPr>
        <w:t> </w:t>
      </w:r>
      <w:r>
        <w:rPr/>
        <w:t>poor</w:t>
      </w:r>
      <w:r>
        <w:rPr>
          <w:spacing w:val="-8"/>
        </w:rPr>
        <w:t> </w:t>
      </w:r>
      <w:r>
        <w:rPr/>
        <w:t>health</w:t>
      </w:r>
      <w:r>
        <w:rPr>
          <w:spacing w:val="-10"/>
        </w:rPr>
        <w:t> </w:t>
      </w:r>
      <w:r>
        <w:rPr/>
        <w:t>outcomes.</w:t>
      </w:r>
      <w:r>
        <w:rPr>
          <w:spacing w:val="-10"/>
        </w:rPr>
        <w:t> </w:t>
      </w:r>
      <w:r>
        <w:rPr/>
        <w:t>This</w:t>
      </w:r>
      <w:r>
        <w:rPr>
          <w:spacing w:val="-57"/>
        </w:rPr>
        <w:t> </w:t>
      </w:r>
      <w:r>
        <w:rPr/>
        <w:t>suggest</w:t>
      </w:r>
      <w:r>
        <w:rPr>
          <w:spacing w:val="-7"/>
        </w:rPr>
        <w:t> </w:t>
      </w:r>
      <w:r>
        <w:rPr/>
        <w:t>that,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income</w:t>
      </w:r>
      <w:r>
        <w:rPr>
          <w:spacing w:val="-7"/>
        </w:rPr>
        <w:t> </w:t>
      </w:r>
      <w:r>
        <w:rPr/>
        <w:t>disparity</w:t>
      </w:r>
      <w:r>
        <w:rPr>
          <w:spacing w:val="-11"/>
        </w:rPr>
        <w:t> </w:t>
      </w:r>
      <w:r>
        <w:rPr/>
        <w:t>increases,</w:t>
      </w:r>
      <w:r>
        <w:rPr>
          <w:spacing w:val="-6"/>
        </w:rPr>
        <w:t> </w:t>
      </w:r>
      <w:r>
        <w:rPr/>
        <w:t>psychosocial</w:t>
      </w:r>
      <w:r>
        <w:rPr>
          <w:spacing w:val="-6"/>
        </w:rPr>
        <w:t> </w:t>
      </w:r>
      <w:r>
        <w:rPr/>
        <w:t>stress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rise,</w:t>
      </w:r>
      <w:r>
        <w:rPr>
          <w:spacing w:val="-9"/>
        </w:rPr>
        <w:t> </w:t>
      </w:r>
      <w:r>
        <w:rPr/>
        <w:t>which</w:t>
      </w:r>
      <w:r>
        <w:rPr>
          <w:spacing w:val="-6"/>
        </w:rPr>
        <w:t> </w:t>
      </w:r>
      <w:r>
        <w:rPr/>
        <w:t>reduces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state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8"/>
        <w:jc w:val="both"/>
      </w:pPr>
      <w:r>
        <w:rPr/>
        <w:t>The result also implies that the widening income inequality in Nigeria show greater differences</w:t>
      </w:r>
      <w:r>
        <w:rPr>
          <w:spacing w:val="1"/>
        </w:rPr>
        <w:t> </w:t>
      </w:r>
      <w:r>
        <w:rPr/>
        <w:t>between citizens, produces higher level of competition, and competition are thought to increase</w:t>
      </w:r>
      <w:r>
        <w:rPr>
          <w:spacing w:val="1"/>
        </w:rPr>
        <w:t> </w:t>
      </w:r>
      <w:r>
        <w:rPr/>
        <w:t>frustration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stress</w:t>
      </w:r>
      <w:r>
        <w:rPr>
          <w:spacing w:val="-1"/>
        </w:rPr>
        <w:t> </w:t>
      </w:r>
      <w:r>
        <w:rPr/>
        <w:t>among</w:t>
      </w:r>
      <w:r>
        <w:rPr>
          <w:spacing w:val="-5"/>
        </w:rPr>
        <w:t> </w:t>
      </w:r>
      <w:r>
        <w:rPr/>
        <w:t>households.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surprising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 growing</w:t>
      </w:r>
      <w:r>
        <w:rPr>
          <w:spacing w:val="-5"/>
        </w:rPr>
        <w:t> </w:t>
      </w:r>
      <w:r>
        <w:rPr/>
        <w:t>body</w:t>
      </w:r>
      <w:r>
        <w:rPr>
          <w:spacing w:val="-6"/>
        </w:rPr>
        <w:t> </w:t>
      </w:r>
      <w:r>
        <w:rPr/>
        <w:t>of evidence</w:t>
      </w:r>
      <w:r>
        <w:rPr>
          <w:spacing w:val="-5"/>
        </w:rPr>
        <w:t> </w:t>
      </w:r>
      <w:r>
        <w:rPr/>
        <w:t>has</w:t>
      </w:r>
      <w:r>
        <w:rPr>
          <w:spacing w:val="-57"/>
        </w:rPr>
        <w:t> </w:t>
      </w:r>
      <w:r>
        <w:rPr/>
        <w:t>also demonstrated that income inequality is associated with several chronic health problems (see</w:t>
      </w:r>
      <w:r>
        <w:rPr>
          <w:spacing w:val="1"/>
        </w:rPr>
        <w:t> </w:t>
      </w:r>
      <w:r>
        <w:rPr/>
        <w:t>for example, Wilkinson, 1992, 1996; Liu, 2017; Patel, 2018; and Kim, 2019). These findings are</w:t>
      </w:r>
      <w:r>
        <w:rPr>
          <w:spacing w:val="1"/>
        </w:rPr>
        <w:t> </w:t>
      </w:r>
      <w:r>
        <w:rPr/>
        <w:t>also in line with Wilkinson’s perspective, that income inequality is detrimental poorer health</w:t>
      </w:r>
      <w:r>
        <w:rPr>
          <w:spacing w:val="1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(illness).</w:t>
      </w:r>
    </w:p>
    <w:p>
      <w:pPr>
        <w:pStyle w:val="BodyText"/>
        <w:spacing w:line="360" w:lineRule="auto" w:before="160"/>
        <w:ind w:left="120" w:right="111"/>
        <w:jc w:val="both"/>
      </w:pPr>
      <w:r>
        <w:rPr>
          <w:spacing w:val="-1"/>
        </w:rPr>
        <w:t>Again,</w:t>
      </w:r>
      <w:r>
        <w:rPr>
          <w:spacing w:val="-14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/>
        <w:t>study</w:t>
      </w:r>
      <w:r>
        <w:rPr>
          <w:spacing w:val="-22"/>
        </w:rPr>
        <w:t> </w:t>
      </w:r>
      <w:r>
        <w:rPr/>
        <w:t>further</w:t>
      </w:r>
      <w:r>
        <w:rPr>
          <w:spacing w:val="-16"/>
        </w:rPr>
        <w:t> </w:t>
      </w:r>
      <w:r>
        <w:rPr/>
        <w:t>shows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direct</w:t>
      </w:r>
      <w:r>
        <w:rPr>
          <w:spacing w:val="-14"/>
        </w:rPr>
        <w:t> </w:t>
      </w:r>
      <w:r>
        <w:rPr/>
        <w:t>effect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income</w:t>
      </w:r>
      <w:r>
        <w:rPr>
          <w:spacing w:val="-13"/>
        </w:rPr>
        <w:t> </w:t>
      </w:r>
      <w:r>
        <w:rPr>
          <w:sz w:val="23"/>
        </w:rPr>
        <w:t>inequality</w:t>
      </w:r>
      <w:r>
        <w:rPr>
          <w:spacing w:val="-16"/>
          <w:sz w:val="23"/>
        </w:rPr>
        <w:t> </w:t>
      </w:r>
      <w:r>
        <w:rPr/>
        <w:t>could</w:t>
      </w:r>
      <w:r>
        <w:rPr>
          <w:spacing w:val="-14"/>
        </w:rPr>
        <w:t> </w:t>
      </w:r>
      <w:r>
        <w:rPr/>
        <w:t>be</w:t>
      </w:r>
      <w:r>
        <w:rPr>
          <w:spacing w:val="-15"/>
        </w:rPr>
        <w:t> </w:t>
      </w:r>
      <w:r>
        <w:rPr>
          <w:sz w:val="23"/>
        </w:rPr>
        <w:t>through</w:t>
      </w:r>
      <w:r>
        <w:rPr>
          <w:spacing w:val="-12"/>
          <w:sz w:val="23"/>
        </w:rPr>
        <w:t> </w:t>
      </w:r>
      <w:r>
        <w:rPr>
          <w:sz w:val="23"/>
        </w:rPr>
        <w:t>increased</w:t>
      </w:r>
      <w:r>
        <w:rPr>
          <w:spacing w:val="-55"/>
          <w:sz w:val="23"/>
        </w:rPr>
        <w:t> </w:t>
      </w:r>
      <w:r>
        <w:rPr/>
        <w:t>social dysfunction, and reduced social trust and social cohesion, such as, theft, kidnapping issues,</w:t>
      </w:r>
      <w:r>
        <w:rPr>
          <w:spacing w:val="-57"/>
        </w:rPr>
        <w:t> </w:t>
      </w:r>
      <w:r>
        <w:rPr/>
        <w:t>high</w:t>
      </w:r>
      <w:r>
        <w:rPr>
          <w:spacing w:val="-6"/>
        </w:rPr>
        <w:t> </w:t>
      </w:r>
      <w:r>
        <w:rPr/>
        <w:t>homicide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crime</w:t>
      </w:r>
      <w:r>
        <w:rPr>
          <w:spacing w:val="-7"/>
        </w:rPr>
        <w:t> </w:t>
      </w:r>
      <w:r>
        <w:rPr/>
        <w:t>rates.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intensify</w:t>
      </w:r>
      <w:r>
        <w:rPr>
          <w:spacing w:val="-10"/>
        </w:rPr>
        <w:t> </w:t>
      </w:r>
      <w:r>
        <w:rPr/>
        <w:t>fear,</w:t>
      </w:r>
      <w:r>
        <w:rPr>
          <w:spacing w:val="-7"/>
        </w:rPr>
        <w:t> </w:t>
      </w:r>
      <w:r>
        <w:rPr/>
        <w:t>shock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insecurity</w:t>
      </w:r>
      <w:r>
        <w:rPr>
          <w:spacing w:val="-10"/>
        </w:rPr>
        <w:t> </w:t>
      </w:r>
      <w:r>
        <w:rPr/>
        <w:t>for</w:t>
      </w:r>
      <w:r>
        <w:rPr>
          <w:spacing w:val="-7"/>
        </w:rPr>
        <w:t> </w:t>
      </w:r>
      <w:r>
        <w:rPr/>
        <w:t>all</w:t>
      </w:r>
      <w:r>
        <w:rPr>
          <w:spacing w:val="-5"/>
        </w:rPr>
        <w:t> </w:t>
      </w:r>
      <w:r>
        <w:rPr/>
        <w:t>citizens.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these</w:t>
      </w:r>
      <w:r>
        <w:rPr>
          <w:spacing w:val="-57"/>
        </w:rPr>
        <w:t> </w:t>
      </w:r>
      <w:r>
        <w:rPr/>
        <w:t>worsen their health status. This then imply that widening income inequality has negative health-</w:t>
      </w:r>
      <w:r>
        <w:rPr>
          <w:spacing w:val="1"/>
        </w:rPr>
        <w:t> </w:t>
      </w:r>
      <w:r>
        <w:rPr/>
        <w:t>consequences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richest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poorest</w:t>
      </w:r>
      <w:r>
        <w:rPr>
          <w:spacing w:val="-6"/>
        </w:rPr>
        <w:t> </w:t>
      </w:r>
      <w:r>
        <w:rPr/>
        <w:t>people.</w:t>
      </w:r>
      <w:r>
        <w:rPr>
          <w:spacing w:val="-7"/>
        </w:rPr>
        <w:t> </w:t>
      </w:r>
      <w:r>
        <w:rPr/>
        <w:t>Some</w:t>
      </w:r>
      <w:r>
        <w:rPr>
          <w:spacing w:val="-7"/>
        </w:rPr>
        <w:t> </w:t>
      </w:r>
      <w:r>
        <w:rPr/>
        <w:t>studies</w:t>
      </w:r>
      <w:r>
        <w:rPr>
          <w:spacing w:val="-6"/>
        </w:rPr>
        <w:t> </w:t>
      </w:r>
      <w:r>
        <w:rPr/>
        <w:t>carried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Canada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South</w:t>
      </w:r>
      <w:r>
        <w:rPr>
          <w:spacing w:val="-14"/>
        </w:rPr>
        <w:t> </w:t>
      </w:r>
      <w:r>
        <w:rPr/>
        <w:t>Africa</w:t>
      </w:r>
      <w:r>
        <w:rPr>
          <w:spacing w:val="-16"/>
        </w:rPr>
        <w:t> </w:t>
      </w:r>
      <w:r>
        <w:rPr/>
        <w:t>by</w:t>
      </w:r>
      <w:r>
        <w:rPr>
          <w:spacing w:val="-17"/>
        </w:rPr>
        <w:t> </w:t>
      </w:r>
      <w:r>
        <w:rPr>
          <w:sz w:val="23"/>
        </w:rPr>
        <w:t>Liu</w:t>
      </w:r>
      <w:r>
        <w:rPr>
          <w:spacing w:val="-15"/>
          <w:sz w:val="23"/>
        </w:rPr>
        <w:t> </w:t>
      </w:r>
      <w:r>
        <w:rPr>
          <w:sz w:val="23"/>
        </w:rPr>
        <w:t>(2017)</w:t>
      </w:r>
      <w:r>
        <w:rPr>
          <w:spacing w:val="-11"/>
          <w:sz w:val="23"/>
        </w:rPr>
        <w:t> </w:t>
      </w:r>
      <w:r>
        <w:rPr/>
        <w:t>and</w:t>
      </w:r>
      <w:r>
        <w:rPr>
          <w:spacing w:val="-15"/>
        </w:rPr>
        <w:t> </w:t>
      </w:r>
      <w:r>
        <w:rPr>
          <w:sz w:val="23"/>
        </w:rPr>
        <w:t>Adjaye-Gbewonjo</w:t>
      </w:r>
      <w:r>
        <w:rPr>
          <w:spacing w:val="-12"/>
          <w:sz w:val="23"/>
        </w:rPr>
        <w:t> </w:t>
      </w:r>
      <w:r>
        <w:rPr>
          <w:sz w:val="23"/>
        </w:rPr>
        <w:t>(2018),</w:t>
      </w:r>
      <w:r>
        <w:rPr>
          <w:spacing w:val="-12"/>
          <w:sz w:val="23"/>
        </w:rPr>
        <w:t> </w:t>
      </w:r>
      <w:r>
        <w:rPr/>
        <w:t>respectively,</w:t>
      </w:r>
      <w:r>
        <w:rPr>
          <w:spacing w:val="-14"/>
        </w:rPr>
        <w:t> </w:t>
      </w:r>
      <w:r>
        <w:rPr/>
        <w:t>show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income</w:t>
      </w:r>
      <w:r>
        <w:rPr>
          <w:spacing w:val="-16"/>
        </w:rPr>
        <w:t> </w:t>
      </w:r>
      <w:r>
        <w:rPr/>
        <w:t>inequality</w:t>
      </w:r>
      <w:r>
        <w:rPr>
          <w:spacing w:val="-58"/>
        </w:rPr>
        <w:t> </w:t>
      </w:r>
      <w:r>
        <w:rPr/>
        <w:t>hurts everyone, while the non-rich individuals suffer most. They receive little protection from the</w:t>
      </w:r>
      <w:r>
        <w:rPr>
          <w:spacing w:val="-57"/>
        </w:rPr>
        <w:t> </w:t>
      </w:r>
      <w:r>
        <w:rPr/>
        <w:t>police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legal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cannot</w:t>
      </w:r>
      <w:r>
        <w:rPr>
          <w:spacing w:val="-2"/>
        </w:rPr>
        <w:t> </w:t>
      </w:r>
      <w:r>
        <w:rPr/>
        <w:t>afford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pay</w:t>
      </w:r>
      <w:r>
        <w:rPr>
          <w:spacing w:val="-8"/>
        </w:rPr>
        <w:t> </w:t>
      </w:r>
      <w:r>
        <w:rPr/>
        <w:t>for</w:t>
      </w:r>
      <w:r>
        <w:rPr>
          <w:spacing w:val="-4"/>
        </w:rPr>
        <w:t> </w:t>
      </w:r>
      <w:r>
        <w:rPr/>
        <w:t>private</w:t>
      </w:r>
      <w:r>
        <w:rPr>
          <w:spacing w:val="-3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measures.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fear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shock</w:t>
      </w:r>
      <w:r>
        <w:rPr>
          <w:spacing w:val="-57"/>
        </w:rPr>
        <w:t> </w:t>
      </w:r>
      <w:r>
        <w:rPr/>
        <w:t>related</w:t>
      </w:r>
      <w:r>
        <w:rPr>
          <w:spacing w:val="-1"/>
        </w:rPr>
        <w:t> </w:t>
      </w:r>
      <w:r>
        <w:rPr/>
        <w:t>with rising</w:t>
      </w:r>
      <w:r>
        <w:rPr>
          <w:spacing w:val="-4"/>
        </w:rPr>
        <w:t> </w:t>
      </w:r>
      <w:r>
        <w:rPr/>
        <w:t>income</w:t>
      </w:r>
      <w:r>
        <w:rPr>
          <w:spacing w:val="-1"/>
        </w:rPr>
        <w:t> </w:t>
      </w:r>
      <w:r>
        <w:rPr/>
        <w:t>inequality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to high-blood</w:t>
      </w:r>
      <w:r>
        <w:rPr>
          <w:spacing w:val="-1"/>
        </w:rPr>
        <w:t> </w:t>
      </w:r>
      <w:r>
        <w:rPr/>
        <w:t>pressure, stroke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heart</w:t>
      </w:r>
      <w:r>
        <w:rPr>
          <w:spacing w:val="1"/>
        </w:rPr>
        <w:t> </w:t>
      </w:r>
      <w:r>
        <w:rPr/>
        <w:t>failure.</w:t>
      </w:r>
    </w:p>
    <w:p>
      <w:pPr>
        <w:pStyle w:val="BodyText"/>
        <w:spacing w:line="360" w:lineRule="auto" w:before="164"/>
        <w:ind w:left="120" w:right="114"/>
        <w:jc w:val="both"/>
      </w:pPr>
      <w:r>
        <w:rPr/>
        <w:t>On the other hand, the results also shown that household’s characteristics mediate the association</w:t>
      </w:r>
      <w:r>
        <w:rPr>
          <w:spacing w:val="-57"/>
        </w:rPr>
        <w:t> </w:t>
      </w:r>
      <w:r>
        <w:rPr>
          <w:spacing w:val="-1"/>
        </w:rPr>
        <w:t>between</w:t>
      </w:r>
      <w:r>
        <w:rPr>
          <w:spacing w:val="-15"/>
        </w:rPr>
        <w:t> </w:t>
      </w:r>
      <w:r>
        <w:rPr>
          <w:spacing w:val="-1"/>
        </w:rPr>
        <w:t>income</w:t>
      </w:r>
      <w:r>
        <w:rPr>
          <w:spacing w:val="-16"/>
        </w:rPr>
        <w:t> </w:t>
      </w:r>
      <w:r>
        <w:rPr/>
        <w:t>disparity</w:t>
      </w:r>
      <w:r>
        <w:rPr>
          <w:spacing w:val="-17"/>
        </w:rPr>
        <w:t> </w:t>
      </w:r>
      <w:r>
        <w:rPr/>
        <w:t>and</w:t>
      </w:r>
      <w:r>
        <w:rPr>
          <w:spacing w:val="-15"/>
        </w:rPr>
        <w:t> </w:t>
      </w:r>
      <w:r>
        <w:rPr/>
        <w:t>health.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>
          <w:sz w:val="23"/>
        </w:rPr>
        <w:t>income</w:t>
      </w:r>
      <w:r>
        <w:rPr>
          <w:spacing w:val="-14"/>
          <w:sz w:val="23"/>
        </w:rPr>
        <w:t> </w:t>
      </w:r>
      <w:r>
        <w:rPr>
          <w:sz w:val="23"/>
        </w:rPr>
        <w:t>inequality-health</w:t>
      </w:r>
      <w:r>
        <w:rPr>
          <w:spacing w:val="-10"/>
          <w:sz w:val="23"/>
        </w:rPr>
        <w:t> </w:t>
      </w:r>
      <w:r>
        <w:rPr>
          <w:i/>
        </w:rPr>
        <w:t>indirect</w:t>
      </w:r>
      <w:r>
        <w:rPr>
          <w:i/>
          <w:spacing w:val="-14"/>
        </w:rPr>
        <w:t> </w:t>
      </w:r>
      <w:r>
        <w:rPr/>
        <w:t>links.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>
          <w:sz w:val="23"/>
        </w:rPr>
        <w:t>study’s</w:t>
      </w:r>
      <w:r>
        <w:rPr>
          <w:spacing w:val="-55"/>
          <w:sz w:val="23"/>
        </w:rPr>
        <w:t> </w:t>
      </w:r>
      <w:r>
        <w:rPr/>
        <w:t>results indicated that the indirect effects of rising income inequality pass-through households’</w:t>
      </w:r>
      <w:r>
        <w:rPr>
          <w:spacing w:val="1"/>
        </w:rPr>
        <w:t> </w:t>
      </w:r>
      <w:r>
        <w:rPr/>
        <w:t>characteristics. This could be explained by the fact that people may try to cope with psychosocial</w:t>
      </w:r>
      <w:r>
        <w:rPr>
          <w:spacing w:val="-57"/>
        </w:rPr>
        <w:t> </w:t>
      </w:r>
      <w:r>
        <w:rPr>
          <w:spacing w:val="-1"/>
        </w:rPr>
        <w:t>stress</w:t>
      </w:r>
      <w:r>
        <w:rPr>
          <w:spacing w:val="-10"/>
        </w:rPr>
        <w:t> </w:t>
      </w:r>
      <w:r>
        <w:rPr>
          <w:spacing w:val="-1"/>
        </w:rPr>
        <w:t>by</w:t>
      </w:r>
      <w:r>
        <w:rPr>
          <w:spacing w:val="-15"/>
        </w:rPr>
        <w:t> </w:t>
      </w:r>
      <w:r>
        <w:rPr>
          <w:spacing w:val="-1"/>
          <w:sz w:val="23"/>
        </w:rPr>
        <w:t>seeking</w:t>
      </w:r>
      <w:r>
        <w:rPr>
          <w:spacing w:val="-9"/>
          <w:sz w:val="23"/>
        </w:rPr>
        <w:t> </w:t>
      </w:r>
      <w:r>
        <w:rPr/>
        <w:t>rewards</w:t>
      </w:r>
      <w:r>
        <w:rPr>
          <w:spacing w:val="-6"/>
        </w:rPr>
        <w:t> </w:t>
      </w:r>
      <w:r>
        <w:rPr>
          <w:sz w:val="23"/>
        </w:rPr>
        <w:t>from</w:t>
      </w:r>
      <w:r>
        <w:rPr>
          <w:spacing w:val="-9"/>
          <w:sz w:val="23"/>
        </w:rPr>
        <w:t> </w:t>
      </w:r>
      <w:r>
        <w:rPr>
          <w:sz w:val="23"/>
        </w:rPr>
        <w:t>other</w:t>
      </w:r>
      <w:r>
        <w:rPr>
          <w:spacing w:val="-9"/>
          <w:sz w:val="23"/>
        </w:rPr>
        <w:t> </w:t>
      </w:r>
      <w:r>
        <w:rPr/>
        <w:t>sources,</w:t>
      </w:r>
      <w:r>
        <w:rPr>
          <w:spacing w:val="-9"/>
        </w:rPr>
        <w:t> </w:t>
      </w:r>
      <w:r>
        <w:rPr>
          <w:sz w:val="23"/>
        </w:rPr>
        <w:t>but</w:t>
      </w:r>
      <w:r>
        <w:rPr>
          <w:spacing w:val="-10"/>
          <w:sz w:val="23"/>
        </w:rPr>
        <w:t> </w:t>
      </w:r>
      <w:r>
        <w:rPr>
          <w:sz w:val="23"/>
        </w:rPr>
        <w:t>as</w:t>
      </w:r>
      <w:r>
        <w:rPr>
          <w:spacing w:val="-13"/>
          <w:sz w:val="23"/>
        </w:rPr>
        <w:t> </w:t>
      </w:r>
      <w:r>
        <w:rPr>
          <w:sz w:val="23"/>
        </w:rPr>
        <w:t>they</w:t>
      </w:r>
      <w:r>
        <w:rPr>
          <w:spacing w:val="-10"/>
          <w:sz w:val="23"/>
        </w:rPr>
        <w:t> </w:t>
      </w:r>
      <w:r>
        <w:rPr>
          <w:sz w:val="23"/>
        </w:rPr>
        <w:t>become</w:t>
      </w:r>
      <w:r>
        <w:rPr>
          <w:spacing w:val="-8"/>
          <w:sz w:val="23"/>
        </w:rPr>
        <w:t> </w:t>
      </w:r>
      <w:r>
        <w:rPr/>
        <w:t>more</w:t>
      </w:r>
      <w:r>
        <w:rPr>
          <w:spacing w:val="-11"/>
        </w:rPr>
        <w:t> </w:t>
      </w:r>
      <w:r>
        <w:rPr/>
        <w:t>susceptible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>
          <w:sz w:val="23"/>
        </w:rPr>
        <w:t>unhealthy</w:t>
      </w:r>
      <w:r>
        <w:rPr>
          <w:spacing w:val="-12"/>
          <w:sz w:val="23"/>
        </w:rPr>
        <w:t> </w:t>
      </w:r>
      <w:r>
        <w:rPr/>
        <w:t>food</w:t>
      </w:r>
      <w:r>
        <w:rPr>
          <w:spacing w:val="-57"/>
        </w:rPr>
        <w:t> </w:t>
      </w:r>
      <w:r>
        <w:rPr/>
        <w:t>or</w:t>
      </w:r>
      <w:r>
        <w:rPr>
          <w:spacing w:val="-6"/>
        </w:rPr>
        <w:t> </w:t>
      </w:r>
      <w:r>
        <w:rPr/>
        <w:t>additions,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results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more</w:t>
      </w:r>
      <w:r>
        <w:rPr>
          <w:spacing w:val="-6"/>
        </w:rPr>
        <w:t> </w:t>
      </w:r>
      <w:r>
        <w:rPr/>
        <w:t>health-related</w:t>
      </w:r>
      <w:r>
        <w:rPr>
          <w:spacing w:val="-4"/>
        </w:rPr>
        <w:t> </w:t>
      </w:r>
      <w:r>
        <w:rPr/>
        <w:t>problems,</w:t>
      </w:r>
      <w:r>
        <w:rPr>
          <w:spacing w:val="-3"/>
        </w:rPr>
        <w:t> </w:t>
      </w:r>
      <w:r>
        <w:rPr/>
        <w:t>such</w:t>
      </w:r>
      <w:r>
        <w:rPr>
          <w:spacing w:val="-4"/>
        </w:rPr>
        <w:t> </w:t>
      </w:r>
      <w:r>
        <w:rPr/>
        <w:t>as,</w:t>
      </w:r>
      <w:r>
        <w:rPr>
          <w:spacing w:val="-4"/>
        </w:rPr>
        <w:t> </w:t>
      </w:r>
      <w:r>
        <w:rPr/>
        <w:t>diabetes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lung</w:t>
      </w:r>
      <w:r>
        <w:rPr>
          <w:spacing w:val="-6"/>
        </w:rPr>
        <w:t> </w:t>
      </w:r>
      <w:r>
        <w:rPr/>
        <w:t>diseases.</w:t>
      </w:r>
      <w:r>
        <w:rPr>
          <w:spacing w:val="-1"/>
        </w:rPr>
        <w:t> </w:t>
      </w:r>
      <w:r>
        <w:rPr/>
        <w:t>It</w:t>
      </w:r>
      <w:r>
        <w:rPr>
          <w:spacing w:val="-58"/>
        </w:rPr>
        <w:t> </w:t>
      </w:r>
      <w:r>
        <w:rPr>
          <w:spacing w:val="-1"/>
          <w:sz w:val="23"/>
        </w:rPr>
        <w:t>suggests</w:t>
      </w:r>
      <w:r>
        <w:rPr>
          <w:spacing w:val="-13"/>
          <w:sz w:val="23"/>
        </w:rPr>
        <w:t> </w:t>
      </w:r>
      <w:r>
        <w:rPr>
          <w:spacing w:val="-1"/>
          <w:sz w:val="23"/>
        </w:rPr>
        <w:t>that</w:t>
      </w:r>
      <w:r>
        <w:rPr>
          <w:spacing w:val="-11"/>
          <w:sz w:val="23"/>
        </w:rPr>
        <w:t> </w:t>
      </w:r>
      <w:r>
        <w:rPr>
          <w:spacing w:val="-1"/>
        </w:rPr>
        <w:t>energy-supplied</w:t>
      </w:r>
      <w:r>
        <w:rPr>
          <w:spacing w:val="-13"/>
        </w:rPr>
        <w:t> </w:t>
      </w:r>
      <w:r>
        <w:rPr>
          <w:sz w:val="23"/>
        </w:rPr>
        <w:t>from</w:t>
      </w:r>
      <w:r>
        <w:rPr>
          <w:spacing w:val="-12"/>
          <w:sz w:val="23"/>
        </w:rPr>
        <w:t> </w:t>
      </w:r>
      <w:r>
        <w:rPr/>
        <w:t>carbohydrates</w:t>
      </w:r>
      <w:r>
        <w:rPr>
          <w:spacing w:val="-14"/>
        </w:rPr>
        <w:t> </w:t>
      </w:r>
      <w:r>
        <w:rPr/>
        <w:t>–</w:t>
      </w:r>
      <w:r>
        <w:rPr>
          <w:spacing w:val="-12"/>
        </w:rPr>
        <w:t> </w:t>
      </w:r>
      <w:r>
        <w:rPr/>
        <w:t>rice</w:t>
      </w:r>
      <w:r>
        <w:rPr>
          <w:spacing w:val="-14"/>
        </w:rPr>
        <w:t> </w:t>
      </w:r>
      <w:r>
        <w:rPr>
          <w:sz w:val="23"/>
        </w:rPr>
        <w:t>and</w:t>
      </w:r>
      <w:r>
        <w:rPr>
          <w:spacing w:val="-12"/>
          <w:sz w:val="23"/>
        </w:rPr>
        <w:t> </w:t>
      </w:r>
      <w:r>
        <w:rPr/>
        <w:t>flour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>
          <w:sz w:val="23"/>
        </w:rPr>
        <w:t>and</w:t>
      </w:r>
      <w:r>
        <w:rPr>
          <w:spacing w:val="-11"/>
          <w:sz w:val="23"/>
        </w:rPr>
        <w:t> </w:t>
      </w:r>
      <w:r>
        <w:rPr/>
        <w:t>basic</w:t>
      </w:r>
      <w:r>
        <w:rPr>
          <w:spacing w:val="-15"/>
        </w:rPr>
        <w:t> </w:t>
      </w:r>
      <w:r>
        <w:rPr/>
        <w:t>protein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meat/fish</w:t>
      </w:r>
      <w:r>
        <w:rPr>
          <w:spacing w:val="-58"/>
        </w:rPr>
        <w:t> </w:t>
      </w:r>
      <w:r>
        <w:rPr>
          <w:spacing w:val="-1"/>
        </w:rPr>
        <w:t>would</w:t>
      </w:r>
      <w:r>
        <w:rPr>
          <w:spacing w:val="-13"/>
        </w:rPr>
        <w:t> </w:t>
      </w:r>
      <w:r>
        <w:rPr>
          <w:spacing w:val="-1"/>
          <w:sz w:val="23"/>
        </w:rPr>
        <w:t>improve</w:t>
      </w:r>
      <w:r>
        <w:rPr>
          <w:spacing w:val="-8"/>
          <w:sz w:val="23"/>
        </w:rPr>
        <w:t> </w:t>
      </w:r>
      <w:r>
        <w:rPr/>
        <w:t>health</w:t>
      </w:r>
      <w:r>
        <w:rPr>
          <w:spacing w:val="-12"/>
        </w:rPr>
        <w:t> </w:t>
      </w:r>
      <w:r>
        <w:rPr/>
        <w:t>status,</w:t>
      </w:r>
      <w:r>
        <w:rPr>
          <w:spacing w:val="-12"/>
        </w:rPr>
        <w:t> </w:t>
      </w:r>
      <w:r>
        <w:rPr/>
        <w:t>however,</w:t>
      </w:r>
      <w:r>
        <w:rPr>
          <w:spacing w:val="-13"/>
        </w:rPr>
        <w:t> </w:t>
      </w:r>
      <w:r>
        <w:rPr/>
        <w:t>households</w:t>
      </w:r>
      <w:r>
        <w:rPr>
          <w:spacing w:val="-10"/>
        </w:rPr>
        <w:t> </w:t>
      </w:r>
      <w:r>
        <w:rPr>
          <w:sz w:val="23"/>
        </w:rPr>
        <w:t>without</w:t>
      </w:r>
      <w:r>
        <w:rPr>
          <w:spacing w:val="-11"/>
          <w:sz w:val="23"/>
        </w:rPr>
        <w:t> </w:t>
      </w:r>
      <w:r>
        <w:rPr/>
        <w:t>these</w:t>
      </w:r>
      <w:r>
        <w:rPr>
          <w:spacing w:val="-14"/>
        </w:rPr>
        <w:t> </w:t>
      </w:r>
      <w:r>
        <w:rPr/>
        <w:t>healthy</w:t>
      </w:r>
      <w:r>
        <w:rPr>
          <w:spacing w:val="-17"/>
        </w:rPr>
        <w:t> </w:t>
      </w:r>
      <w:r>
        <w:rPr/>
        <w:t>foods</w:t>
      </w:r>
      <w:r>
        <w:rPr>
          <w:spacing w:val="-12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rising</w:t>
      </w:r>
      <w:r>
        <w:rPr>
          <w:spacing w:val="-14"/>
        </w:rPr>
        <w:t> </w:t>
      </w:r>
      <w:r>
        <w:rPr/>
        <w:t>income</w:t>
      </w:r>
      <w:r>
        <w:rPr>
          <w:spacing w:val="-58"/>
        </w:rPr>
        <w:t> </w:t>
      </w:r>
      <w:r>
        <w:rPr>
          <w:spacing w:val="-1"/>
        </w:rPr>
        <w:t>disparity</w:t>
      </w:r>
      <w:r>
        <w:rPr>
          <w:spacing w:val="-19"/>
        </w:rPr>
        <w:t> </w:t>
      </w:r>
      <w:r>
        <w:rPr>
          <w:spacing w:val="-1"/>
          <w:sz w:val="23"/>
        </w:rPr>
        <w:t>that</w:t>
      </w:r>
      <w:r>
        <w:rPr>
          <w:spacing w:val="-11"/>
          <w:sz w:val="23"/>
        </w:rPr>
        <w:t> </w:t>
      </w:r>
      <w:r>
        <w:rPr/>
        <w:t>reduce</w:t>
      </w:r>
      <w:r>
        <w:rPr>
          <w:spacing w:val="-16"/>
        </w:rPr>
        <w:t> </w:t>
      </w:r>
      <w:r>
        <w:rPr>
          <w:sz w:val="23"/>
        </w:rPr>
        <w:t>their</w:t>
      </w:r>
      <w:r>
        <w:rPr>
          <w:spacing w:val="-12"/>
          <w:sz w:val="23"/>
        </w:rPr>
        <w:t> </w:t>
      </w:r>
      <w:r>
        <w:rPr/>
        <w:t>purchasing-power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>
          <w:sz w:val="23"/>
        </w:rPr>
        <w:t>their</w:t>
      </w:r>
      <w:r>
        <w:rPr>
          <w:spacing w:val="-10"/>
          <w:sz w:val="23"/>
        </w:rPr>
        <w:t> </w:t>
      </w:r>
      <w:r>
        <w:rPr/>
        <w:t>incomes</w:t>
      </w:r>
      <w:r>
        <w:rPr>
          <w:spacing w:val="-15"/>
        </w:rPr>
        <w:t> </w:t>
      </w:r>
      <w:r>
        <w:rPr/>
        <w:t>will</w:t>
      </w:r>
      <w:r>
        <w:rPr>
          <w:spacing w:val="-14"/>
        </w:rPr>
        <w:t> </w:t>
      </w:r>
      <w:r>
        <w:rPr/>
        <w:t>experience</w:t>
      </w:r>
      <w:r>
        <w:rPr>
          <w:spacing w:val="-15"/>
        </w:rPr>
        <w:t> </w:t>
      </w:r>
      <w:r>
        <w:rPr/>
        <w:t>poor</w:t>
      </w:r>
      <w:r>
        <w:rPr>
          <w:spacing w:val="-16"/>
        </w:rPr>
        <w:t> </w:t>
      </w:r>
      <w:r>
        <w:rPr/>
        <w:t>health</w:t>
      </w:r>
      <w:r>
        <w:rPr>
          <w:spacing w:val="-15"/>
        </w:rPr>
        <w:t> </w:t>
      </w:r>
      <w:r>
        <w:rPr/>
        <w:t>outcomes.</w:t>
      </w:r>
    </w:p>
    <w:p>
      <w:pPr>
        <w:pStyle w:val="BodyText"/>
        <w:spacing w:line="360" w:lineRule="auto" w:before="160"/>
        <w:ind w:left="120" w:right="114"/>
        <w:jc w:val="both"/>
      </w:pPr>
      <w:r>
        <w:rPr>
          <w:spacing w:val="-1"/>
        </w:rPr>
        <w:t>Other</w:t>
      </w:r>
      <w:r>
        <w:rPr>
          <w:spacing w:val="-11"/>
        </w:rPr>
        <w:t> </w:t>
      </w:r>
      <w:r>
        <w:rPr>
          <w:spacing w:val="-1"/>
        </w:rPr>
        <w:t>mechanisms</w:t>
      </w:r>
      <w:r>
        <w:rPr>
          <w:spacing w:val="-10"/>
        </w:rPr>
        <w:t> </w:t>
      </w:r>
      <w:r>
        <w:rPr/>
        <w:t>mediating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effect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income</w:t>
      </w:r>
      <w:r>
        <w:rPr>
          <w:spacing w:val="-8"/>
        </w:rPr>
        <w:t> </w:t>
      </w:r>
      <w:r>
        <w:rPr/>
        <w:t>disparity</w:t>
      </w:r>
      <w:r>
        <w:rPr>
          <w:spacing w:val="-15"/>
        </w:rPr>
        <w:t> </w:t>
      </w:r>
      <w:r>
        <w:rPr/>
        <w:t>on</w:t>
      </w:r>
      <w:r>
        <w:rPr>
          <w:spacing w:val="-10"/>
        </w:rPr>
        <w:t> </w:t>
      </w:r>
      <w:r>
        <w:rPr/>
        <w:t>health</w:t>
      </w:r>
      <w:r>
        <w:rPr>
          <w:spacing w:val="-9"/>
        </w:rPr>
        <w:t> </w:t>
      </w:r>
      <w:r>
        <w:rPr/>
        <w:t>outcome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more</w:t>
      </w:r>
      <w:r>
        <w:rPr>
          <w:spacing w:val="-9"/>
        </w:rPr>
        <w:t> </w:t>
      </w:r>
      <w:r>
        <w:rPr/>
        <w:t>education,</w:t>
      </w:r>
      <w:r>
        <w:rPr>
          <w:spacing w:val="-58"/>
        </w:rPr>
        <w:t> </w:t>
      </w:r>
      <w:r>
        <w:rPr/>
        <w:t>possession of treated-mosquito net, access to pipe-borne drinking water, borehole or well water,</w:t>
      </w:r>
      <w:r>
        <w:rPr>
          <w:spacing w:val="1"/>
        </w:rPr>
        <w:t> </w:t>
      </w:r>
      <w:r>
        <w:rPr/>
        <w:t>water or modern toilet and seeking appropriate healthcare. However, with income inequality, the</w:t>
      </w:r>
      <w:r>
        <w:rPr>
          <w:spacing w:val="1"/>
        </w:rPr>
        <w:t> </w:t>
      </w:r>
      <w:r>
        <w:rPr/>
        <w:t>risk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ill-health</w:t>
      </w:r>
      <w:r>
        <w:rPr>
          <w:spacing w:val="-4"/>
        </w:rPr>
        <w:t> </w:t>
      </w:r>
      <w:r>
        <w:rPr/>
        <w:t>increased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households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lack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facilities.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consistent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Hill</w:t>
      </w:r>
      <w:r>
        <w:rPr>
          <w:spacing w:val="-58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(2019) that</w:t>
      </w:r>
      <w:r>
        <w:rPr>
          <w:spacing w:val="-1"/>
        </w:rPr>
        <w:t> </w:t>
      </w:r>
      <w:r>
        <w:rPr/>
        <w:t>pollution mediate</w:t>
      </w:r>
      <w:r>
        <w:rPr>
          <w:spacing w:val="-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inequality-health effect in</w:t>
      </w:r>
      <w:r>
        <w:rPr>
          <w:spacing w:val="-1"/>
        </w:rPr>
        <w:t> </w:t>
      </w:r>
      <w:r>
        <w:rPr/>
        <w:t>United States.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Heading4"/>
        <w:numPr>
          <w:ilvl w:val="1"/>
          <w:numId w:val="15"/>
        </w:numPr>
        <w:tabs>
          <w:tab w:pos="661" w:val="left" w:leader="none"/>
        </w:tabs>
        <w:spacing w:line="240" w:lineRule="auto" w:before="79" w:after="0"/>
        <w:ind w:left="660" w:right="0" w:hanging="541"/>
        <w:jc w:val="both"/>
      </w:pPr>
      <w:r>
        <w:rPr/>
        <w:t>Estimates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Income</w:t>
      </w:r>
      <w:r>
        <w:rPr>
          <w:spacing w:val="-3"/>
        </w:rPr>
        <w:t> </w:t>
      </w:r>
      <w:r>
        <w:rPr/>
        <w:t>Inequality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Health-Seeking</w:t>
      </w:r>
      <w:r>
        <w:rPr>
          <w:spacing w:val="-1"/>
        </w:rPr>
        <w:t> </w:t>
      </w:r>
      <w:r>
        <w:rPr/>
        <w:t>Behaviour</w:t>
      </w:r>
    </w:p>
    <w:p>
      <w:pPr>
        <w:pStyle w:val="Heading5"/>
        <w:numPr>
          <w:ilvl w:val="2"/>
          <w:numId w:val="15"/>
        </w:numPr>
        <w:tabs>
          <w:tab w:pos="841" w:val="left" w:leader="none"/>
        </w:tabs>
        <w:spacing w:line="240" w:lineRule="auto" w:before="137" w:after="0"/>
        <w:ind w:left="840" w:right="0" w:hanging="721"/>
        <w:jc w:val="both"/>
      </w:pPr>
      <w:bookmarkStart w:name="_TOC_250011" w:id="66"/>
      <w:r>
        <w:rPr/>
        <w:t>Preliminary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NGHPS</w:t>
      </w:r>
      <w:r>
        <w:rPr>
          <w:spacing w:val="-2"/>
        </w:rPr>
        <w:t> </w:t>
      </w:r>
      <w:r>
        <w:rPr/>
        <w:t>(All</w:t>
      </w:r>
      <w:r>
        <w:rPr>
          <w:spacing w:val="-1"/>
        </w:rPr>
        <w:t> </w:t>
      </w:r>
      <w:bookmarkEnd w:id="66"/>
      <w:r>
        <w:rPr/>
        <w:t>Waves)</w:t>
      </w:r>
    </w:p>
    <w:p>
      <w:pPr>
        <w:pStyle w:val="BodyText"/>
        <w:spacing w:line="360" w:lineRule="auto" w:before="134"/>
        <w:ind w:left="120" w:right="119"/>
        <w:jc w:val="both"/>
      </w:pPr>
      <w:r>
        <w:rPr/>
        <w:t>The</w:t>
      </w:r>
      <w:r>
        <w:rPr>
          <w:spacing w:val="-6"/>
        </w:rPr>
        <w:t> </w:t>
      </w:r>
      <w:r>
        <w:rPr/>
        <w:t>reliability</w:t>
      </w:r>
      <w:r>
        <w:rPr>
          <w:spacing w:val="-9"/>
        </w:rPr>
        <w:t> </w:t>
      </w:r>
      <w:r>
        <w:rPr/>
        <w:t>coefficients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Cronbach’s</w:t>
      </w:r>
      <w:r>
        <w:rPr>
          <w:spacing w:val="-4"/>
        </w:rPr>
        <w:t> </w:t>
      </w:r>
      <w:r>
        <w:rPr/>
        <w:t>Alpha</w:t>
      </w:r>
      <w:r>
        <w:rPr>
          <w:spacing w:val="-6"/>
        </w:rPr>
        <w:t> </w:t>
      </w:r>
      <w:r>
        <w:rPr/>
        <w:t>tests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all</w:t>
      </w:r>
      <w:r>
        <w:rPr>
          <w:spacing w:val="-3"/>
        </w:rPr>
        <w:t> </w:t>
      </w:r>
      <w:r>
        <w:rPr/>
        <w:t>NGHPS</w:t>
      </w:r>
      <w:r>
        <w:rPr>
          <w:spacing w:val="-5"/>
        </w:rPr>
        <w:t> </w:t>
      </w:r>
      <w:r>
        <w:rPr/>
        <w:t>Waves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0.861</w:t>
      </w:r>
      <w:r>
        <w:rPr>
          <w:spacing w:val="-5"/>
        </w:rPr>
        <w:t> </w:t>
      </w:r>
      <w:r>
        <w:rPr/>
        <w:t>(see</w:t>
      </w:r>
      <w:r>
        <w:rPr>
          <w:spacing w:val="-57"/>
        </w:rPr>
        <w:t> </w:t>
      </w:r>
      <w:r>
        <w:rPr/>
        <w:t>Appendix Table K1). This result implies that the variables used for estimations by wave and as a</w:t>
      </w:r>
      <w:r>
        <w:rPr>
          <w:spacing w:val="1"/>
        </w:rPr>
        <w:t> </w:t>
      </w:r>
      <w:r>
        <w:rPr/>
        <w:t>group are</w:t>
      </w:r>
      <w:r>
        <w:rPr>
          <w:spacing w:val="-1"/>
        </w:rPr>
        <w:t> </w:t>
      </w:r>
      <w:r>
        <w:rPr/>
        <w:t>consistent.</w:t>
      </w:r>
      <w:r>
        <w:rPr>
          <w:spacing w:val="2"/>
        </w:rPr>
        <w:t> </w:t>
      </w:r>
      <w:r>
        <w:rPr/>
        <w:t>It</w:t>
      </w:r>
      <w:r>
        <w:rPr>
          <w:spacing w:val="3"/>
        </w:rPr>
        <w:t> </w:t>
      </w:r>
      <w:r>
        <w:rPr/>
        <w:t>also</w:t>
      </w:r>
      <w:r>
        <w:rPr>
          <w:spacing w:val="1"/>
        </w:rPr>
        <w:t> </w:t>
      </w:r>
      <w:r>
        <w:rPr/>
        <w:t>means</w:t>
      </w:r>
      <w:r>
        <w:rPr>
          <w:spacing w:val="-1"/>
        </w:rPr>
        <w:t> </w:t>
      </w:r>
      <w:r>
        <w:rPr/>
        <w:t>that the</w:t>
      </w:r>
      <w:r>
        <w:rPr>
          <w:spacing w:val="-2"/>
        </w:rPr>
        <w:t> </w:t>
      </w:r>
      <w:r>
        <w:rPr/>
        <w:t>responses are</w:t>
      </w:r>
      <w:r>
        <w:rPr>
          <w:spacing w:val="-3"/>
        </w:rPr>
        <w:t> </w:t>
      </w:r>
      <w:r>
        <w:rPr/>
        <w:t>highly</w:t>
      </w:r>
      <w:r>
        <w:rPr>
          <w:spacing w:val="-5"/>
        </w:rPr>
        <w:t> </w:t>
      </w:r>
      <w:r>
        <w:rPr/>
        <w:t>reliable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estimation.</w:t>
      </w:r>
    </w:p>
    <w:p>
      <w:pPr>
        <w:pStyle w:val="Heading5"/>
        <w:numPr>
          <w:ilvl w:val="2"/>
          <w:numId w:val="15"/>
        </w:numPr>
        <w:tabs>
          <w:tab w:pos="841" w:val="left" w:leader="none"/>
        </w:tabs>
        <w:spacing w:line="240" w:lineRule="auto" w:before="227" w:after="0"/>
        <w:ind w:left="840" w:right="0" w:hanging="721"/>
        <w:jc w:val="both"/>
      </w:pPr>
      <w:bookmarkStart w:name="_TOC_250010" w:id="67"/>
      <w:r>
        <w:rPr/>
        <w:t>Regression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NGHPS</w:t>
      </w:r>
      <w:r>
        <w:rPr>
          <w:spacing w:val="-2"/>
        </w:rPr>
        <w:t> </w:t>
      </w:r>
      <w:bookmarkEnd w:id="67"/>
      <w:r>
        <w:rPr/>
        <w:t>Waves</w:t>
      </w:r>
    </w:p>
    <w:p>
      <w:pPr>
        <w:pStyle w:val="BodyText"/>
        <w:spacing w:line="360" w:lineRule="auto" w:before="20"/>
        <w:ind w:left="120" w:right="116"/>
        <w:jc w:val="both"/>
      </w:pPr>
      <w:r>
        <w:rPr/>
        <w:t>The</w:t>
      </w:r>
      <w:r>
        <w:rPr>
          <w:spacing w:val="-14"/>
        </w:rPr>
        <w:t> </w:t>
      </w:r>
      <w:r>
        <w:rPr/>
        <w:t>study</w:t>
      </w:r>
      <w:r>
        <w:rPr>
          <w:spacing w:val="-16"/>
        </w:rPr>
        <w:t> </w:t>
      </w:r>
      <w:r>
        <w:rPr/>
        <w:t>then</w:t>
      </w:r>
      <w:r>
        <w:rPr>
          <w:spacing w:val="-11"/>
        </w:rPr>
        <w:t> </w:t>
      </w:r>
      <w:r>
        <w:rPr/>
        <w:t>presents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estimates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income</w:t>
      </w:r>
      <w:r>
        <w:rPr>
          <w:spacing w:val="-10"/>
        </w:rPr>
        <w:t> </w:t>
      </w:r>
      <w:r>
        <w:rPr/>
        <w:t>inequality</w:t>
      </w:r>
      <w:r>
        <w:rPr>
          <w:spacing w:val="-15"/>
        </w:rPr>
        <w:t> </w:t>
      </w:r>
      <w:r>
        <w:rPr/>
        <w:t>on</w:t>
      </w:r>
      <w:r>
        <w:rPr>
          <w:spacing w:val="-9"/>
        </w:rPr>
        <w:t> </w:t>
      </w:r>
      <w:r>
        <w:rPr/>
        <w:t>HSB</w:t>
      </w:r>
      <w:r>
        <w:rPr>
          <w:spacing w:val="-14"/>
        </w:rPr>
        <w:t> </w:t>
      </w:r>
      <w:r>
        <w:rPr/>
        <w:t>among</w:t>
      </w:r>
      <w:r>
        <w:rPr>
          <w:spacing w:val="-11"/>
        </w:rPr>
        <w:t> </w:t>
      </w:r>
      <w:r>
        <w:rPr/>
        <w:t>households</w:t>
      </w:r>
      <w:r>
        <w:rPr>
          <w:spacing w:val="-58"/>
        </w:rPr>
        <w:t> </w:t>
      </w:r>
      <w:r>
        <w:rPr/>
        <w:t>in Nigeria. The estimations from the panel logistic regressions – pool OLS, FE and RE models –</w:t>
      </w:r>
      <w:r>
        <w:rPr>
          <w:spacing w:val="1"/>
        </w:rPr>
        <w:t> </w:t>
      </w:r>
      <w:r>
        <w:rPr/>
        <w:t>are</w:t>
      </w:r>
      <w:r>
        <w:rPr>
          <w:spacing w:val="-10"/>
        </w:rPr>
        <w:t> </w:t>
      </w:r>
      <w:r>
        <w:rPr/>
        <w:t>presented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Tables</w:t>
      </w:r>
      <w:r>
        <w:rPr>
          <w:spacing w:val="-7"/>
        </w:rPr>
        <w:t> </w:t>
      </w:r>
      <w:r>
        <w:rPr/>
        <w:t>5.19,</w:t>
      </w:r>
      <w:r>
        <w:rPr>
          <w:spacing w:val="-8"/>
        </w:rPr>
        <w:t> </w:t>
      </w:r>
      <w:r>
        <w:rPr/>
        <w:t>5.20,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5.21,</w:t>
      </w:r>
      <w:r>
        <w:rPr>
          <w:spacing w:val="-7"/>
        </w:rPr>
        <w:t> </w:t>
      </w:r>
      <w:r>
        <w:rPr/>
        <w:t>respectively.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each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models,</w:t>
      </w:r>
      <w:r>
        <w:rPr>
          <w:spacing w:val="-8"/>
        </w:rPr>
        <w:t> </w:t>
      </w:r>
      <w:r>
        <w:rPr/>
        <w:t>column</w:t>
      </w:r>
      <w:r>
        <w:rPr>
          <w:spacing w:val="-8"/>
        </w:rPr>
        <w:t> </w:t>
      </w:r>
      <w:r>
        <w:rPr/>
        <w:t>1</w:t>
      </w:r>
      <w:r>
        <w:rPr>
          <w:spacing w:val="-9"/>
        </w:rPr>
        <w:t> </w:t>
      </w:r>
      <w:r>
        <w:rPr/>
        <w:t>shows</w:t>
      </w:r>
      <w:r>
        <w:rPr>
          <w:spacing w:val="-57"/>
        </w:rPr>
        <w:t> </w:t>
      </w:r>
      <w:r>
        <w:rPr/>
        <w:t>the explanatory variables, column 2 presents the coefficient of the estimates, while column 3 and</w:t>
      </w:r>
      <w:r>
        <w:rPr>
          <w:spacing w:val="1"/>
        </w:rPr>
        <w:t> </w:t>
      </w:r>
      <w:r>
        <w:rPr/>
        <w:t>4</w:t>
      </w:r>
      <w:r>
        <w:rPr>
          <w:spacing w:val="-1"/>
        </w:rPr>
        <w:t> </w:t>
      </w:r>
      <w:r>
        <w:rPr/>
        <w:t>indicate the</w:t>
      </w:r>
      <w:r>
        <w:rPr>
          <w:spacing w:val="-1"/>
        </w:rPr>
        <w:t> </w:t>
      </w:r>
      <w:r>
        <w:rPr/>
        <w:t>odd ratio and Wald tests, respectively.</w:t>
      </w:r>
    </w:p>
    <w:p>
      <w:pPr>
        <w:pStyle w:val="BodyText"/>
        <w:spacing w:line="360" w:lineRule="auto" w:before="208"/>
        <w:ind w:left="120" w:right="117"/>
        <w:jc w:val="both"/>
      </w:pP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Pooled</w:t>
      </w:r>
      <w:r>
        <w:rPr>
          <w:spacing w:val="-6"/>
        </w:rPr>
        <w:t> </w:t>
      </w:r>
      <w:r>
        <w:rPr/>
        <w:t>OLS</w:t>
      </w:r>
      <w:r>
        <w:rPr>
          <w:spacing w:val="-3"/>
        </w:rPr>
        <w:t> </w:t>
      </w:r>
      <w:r>
        <w:rPr/>
        <w:t>estimates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presented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7"/>
        </w:rPr>
        <w:t> </w:t>
      </w:r>
      <w:r>
        <w:rPr/>
        <w:t>5.19</w:t>
      </w:r>
      <w:r>
        <w:rPr>
          <w:spacing w:val="-4"/>
        </w:rPr>
        <w:t> </w:t>
      </w:r>
      <w:r>
        <w:rPr/>
        <w:t>(see</w:t>
      </w:r>
      <w:r>
        <w:rPr>
          <w:spacing w:val="-5"/>
        </w:rPr>
        <w:t> </w:t>
      </w:r>
      <w:r>
        <w:rPr/>
        <w:t>Appendix</w:t>
      </w:r>
      <w:r>
        <w:rPr>
          <w:spacing w:val="-3"/>
        </w:rPr>
        <w:t> </w:t>
      </w:r>
      <w:r>
        <w:rPr/>
        <w:t>Table</w:t>
      </w:r>
      <w:r>
        <w:rPr>
          <w:spacing w:val="-7"/>
        </w:rPr>
        <w:t> </w:t>
      </w:r>
      <w:r>
        <w:rPr/>
        <w:t>K2),</w:t>
      </w:r>
      <w:r>
        <w:rPr>
          <w:spacing w:val="-7"/>
        </w:rPr>
        <w:t> </w:t>
      </w:r>
      <w:r>
        <w:rPr/>
        <w:t>households’</w:t>
      </w:r>
      <w:r>
        <w:rPr>
          <w:spacing w:val="-57"/>
        </w:rPr>
        <w:t> </w:t>
      </w:r>
      <w:r>
        <w:rPr/>
        <w:t>size is negatively related with appropriate healthcare consultation. From the estimations, it was</w:t>
      </w:r>
      <w:r>
        <w:rPr>
          <w:spacing w:val="1"/>
        </w:rPr>
        <w:t> </w:t>
      </w:r>
      <w:r>
        <w:rPr/>
        <w:t>found that anytime income disparity rises, increase in household’s size has more likelihood of</w:t>
      </w:r>
      <w:r>
        <w:rPr>
          <w:spacing w:val="1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seeking</w:t>
      </w:r>
      <w:r>
        <w:rPr>
          <w:spacing w:val="-2"/>
        </w:rPr>
        <w:t> </w:t>
      </w:r>
      <w:r>
        <w:rPr/>
        <w:t>inappropriate</w:t>
      </w:r>
      <w:r>
        <w:rPr>
          <w:spacing w:val="-1"/>
        </w:rPr>
        <w:t> </w:t>
      </w:r>
      <w:r>
        <w:rPr/>
        <w:t>healthcare</w:t>
      </w:r>
      <w:r>
        <w:rPr>
          <w:spacing w:val="-2"/>
        </w:rPr>
        <w:t> </w:t>
      </w:r>
      <w:r>
        <w:rPr/>
        <w:t>services.</w:t>
      </w:r>
      <w:r>
        <w:rPr>
          <w:spacing w:val="-1"/>
        </w:rPr>
        <w:t> </w:t>
      </w:r>
      <w:r>
        <w:rPr/>
        <w:t>Specifically,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any</w:t>
      </w:r>
      <w:r>
        <w:rPr>
          <w:spacing w:val="-5"/>
        </w:rPr>
        <w:t> </w:t>
      </w:r>
      <w:r>
        <w:rPr/>
        <w:t>new</w:t>
      </w:r>
      <w:r>
        <w:rPr>
          <w:spacing w:val="-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member</w:t>
      </w:r>
      <w:r>
        <w:rPr>
          <w:spacing w:val="-57"/>
        </w:rPr>
        <w:t> </w:t>
      </w:r>
      <w:r>
        <w:rPr/>
        <w:t>to the family size, the possibility of seeking healthcare from traditionalist or self-medication</w:t>
      </w:r>
      <w:r>
        <w:rPr>
          <w:spacing w:val="1"/>
        </w:rPr>
        <w:t> </w:t>
      </w:r>
      <w:r>
        <w:rPr/>
        <w:t>increased by 52% significantly. The negative effect of income inequality on appropriate HSB</w:t>
      </w:r>
      <w:r>
        <w:rPr>
          <w:spacing w:val="1"/>
        </w:rPr>
        <w:t> </w:t>
      </w:r>
      <w:r>
        <w:rPr/>
        <w:t>meets </w:t>
      </w:r>
      <w:r>
        <w:rPr>
          <w:i/>
        </w:rPr>
        <w:t>a priori </w:t>
      </w:r>
      <w:r>
        <w:rPr/>
        <w:t>expectation. The findings suggest that rising income disparity is likely to weaken</w:t>
      </w:r>
      <w:r>
        <w:rPr>
          <w:spacing w:val="1"/>
        </w:rPr>
        <w:t> </w:t>
      </w:r>
      <w:r>
        <w:rPr/>
        <w:t>the purchasing-power of household’s income to meet the timely health needs of its member,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ill-health.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Grossman’s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purchasing-power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income would</w:t>
      </w:r>
      <w:r>
        <w:rPr>
          <w:spacing w:val="-1"/>
        </w:rPr>
        <w:t> </w:t>
      </w:r>
      <w:r>
        <w:rPr/>
        <w:t>lead to more demand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medical-care services.</w:t>
      </w:r>
    </w:p>
    <w:p>
      <w:pPr>
        <w:pStyle w:val="BodyText"/>
        <w:spacing w:line="360" w:lineRule="auto" w:before="138"/>
        <w:ind w:left="120" w:right="114"/>
        <w:jc w:val="both"/>
      </w:pPr>
      <w:r>
        <w:rPr/>
        <w:t>Table 5.19 further show that, literacy level explains medical consultation in times of illnesses for</w:t>
      </w:r>
      <w:r>
        <w:rPr>
          <w:spacing w:val="1"/>
        </w:rPr>
        <w:t> </w:t>
      </w:r>
      <w:r>
        <w:rPr/>
        <w:t>households’ members. It was found that, household’s heads with no basic education will likely</w:t>
      </w:r>
      <w:r>
        <w:rPr>
          <w:spacing w:val="1"/>
        </w:rPr>
        <w:t> </w:t>
      </w:r>
      <w:r>
        <w:rPr/>
        <w:t>seek inappropriate healthcare services, as income disparity is rising. But, for those with primary,</w:t>
      </w:r>
      <w:r>
        <w:rPr>
          <w:spacing w:val="1"/>
        </w:rPr>
        <w:t> </w:t>
      </w:r>
      <w:r>
        <w:rPr/>
        <w:t>secondary and higher degrees, it was found that they will seek appropriate medical-care. That is,</w:t>
      </w:r>
      <w:r>
        <w:rPr>
          <w:spacing w:val="1"/>
        </w:rPr>
        <w:t> </w:t>
      </w:r>
      <w:r>
        <w:rPr/>
        <w:t>educational level is statistically significant and positively related with appropriate HSB. This</w:t>
      </w:r>
      <w:r>
        <w:rPr>
          <w:spacing w:val="1"/>
        </w:rPr>
        <w:t> </w:t>
      </w:r>
      <w:r>
        <w:rPr/>
        <w:t>implies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family</w:t>
      </w:r>
      <w:r>
        <w:rPr>
          <w:spacing w:val="-15"/>
        </w:rPr>
        <w:t> </w:t>
      </w:r>
      <w:r>
        <w:rPr/>
        <w:t>head</w:t>
      </w:r>
      <w:r>
        <w:rPr>
          <w:spacing w:val="-11"/>
        </w:rPr>
        <w:t> </w:t>
      </w:r>
      <w:r>
        <w:rPr/>
        <w:t>becomes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educated,</w:t>
      </w:r>
      <w:r>
        <w:rPr>
          <w:spacing w:val="-11"/>
        </w:rPr>
        <w:t> </w:t>
      </w:r>
      <w:r>
        <w:rPr/>
        <w:t>even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presence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income</w:t>
      </w:r>
      <w:r>
        <w:rPr>
          <w:spacing w:val="-11"/>
        </w:rPr>
        <w:t> </w:t>
      </w:r>
      <w:r>
        <w:rPr/>
        <w:t>disparities,</w:t>
      </w:r>
      <w:r>
        <w:rPr>
          <w:spacing w:val="-58"/>
        </w:rPr>
        <w:t> </w:t>
      </w:r>
      <w:r>
        <w:rPr/>
        <w:t>there is higher chances of members consulting appropriate healthcare services. This shows that</w:t>
      </w:r>
      <w:r>
        <w:rPr>
          <w:spacing w:val="1"/>
        </w:rPr>
        <w:t> </w:t>
      </w:r>
      <w:r>
        <w:rPr/>
        <w:t>higher educational achievement of household head remains one of the mediator between income</w:t>
      </w:r>
      <w:r>
        <w:rPr>
          <w:spacing w:val="1"/>
        </w:rPr>
        <w:t> </w:t>
      </w:r>
      <w:r>
        <w:rPr/>
        <w:t>disparity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HSB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cannot be</w:t>
      </w:r>
      <w:r>
        <w:rPr>
          <w:spacing w:val="-1"/>
        </w:rPr>
        <w:t> </w:t>
      </w:r>
      <w:r>
        <w:rPr/>
        <w:t>avoided. This</w:t>
      </w:r>
      <w:r>
        <w:rPr>
          <w:spacing w:val="-1"/>
        </w:rPr>
        <w:t> </w:t>
      </w:r>
      <w:r>
        <w:rPr/>
        <w:t>finding</w:t>
      </w:r>
      <w:r>
        <w:rPr>
          <w:spacing w:val="-2"/>
        </w:rPr>
        <w:t> </w:t>
      </w:r>
      <w:r>
        <w:rPr/>
        <w:t>is corroborated</w:t>
      </w:r>
      <w:r>
        <w:rPr>
          <w:spacing w:val="-1"/>
        </w:rPr>
        <w:t> </w:t>
      </w:r>
      <w:r>
        <w:rPr/>
        <w:t>with a</w:t>
      </w:r>
      <w:r>
        <w:rPr>
          <w:spacing w:val="-2"/>
        </w:rPr>
        <w:t> </w:t>
      </w:r>
      <w:r>
        <w:rPr/>
        <w:t>study</w:t>
      </w:r>
      <w:r>
        <w:rPr>
          <w:spacing w:val="-8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22"/>
        <w:jc w:val="both"/>
      </w:pPr>
      <w:r>
        <w:rPr/>
        <w:t>South-Western China which found evidence to support quality education for better healthcare</w:t>
      </w:r>
      <w:r>
        <w:rPr>
          <w:spacing w:val="1"/>
        </w:rPr>
        <w:t> </w:t>
      </w:r>
      <w:r>
        <w:rPr/>
        <w:t>seeking</w:t>
      </w:r>
      <w:r>
        <w:rPr>
          <w:spacing w:val="-1"/>
        </w:rPr>
        <w:t> </w:t>
      </w:r>
      <w:r>
        <w:rPr/>
        <w:t>(Rochelle, 2017).</w:t>
      </w:r>
    </w:p>
    <w:p>
      <w:pPr>
        <w:pStyle w:val="Heading4"/>
        <w:spacing w:before="118" w:after="4"/>
        <w:ind w:left="107" w:right="108"/>
        <w:jc w:val="center"/>
      </w:pPr>
      <w:r>
        <w:rPr/>
        <w:t>Table</w:t>
      </w:r>
      <w:r>
        <w:rPr>
          <w:spacing w:val="-2"/>
        </w:rPr>
        <w:t> </w:t>
      </w:r>
      <w:r>
        <w:rPr/>
        <w:t>5.19</w:t>
      </w:r>
      <w:r>
        <w:rPr>
          <w:spacing w:val="-2"/>
        </w:rPr>
        <w:t> </w:t>
      </w:r>
      <w:r>
        <w:rPr/>
        <w:t>POLS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(NGHPS</w:t>
      </w:r>
      <w:r>
        <w:rPr>
          <w:spacing w:val="-2"/>
        </w:rPr>
        <w:t> </w:t>
      </w:r>
      <w:r>
        <w:rPr/>
        <w:t>Waves)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1"/>
        <w:gridCol w:w="2161"/>
        <w:gridCol w:w="1352"/>
        <w:gridCol w:w="1529"/>
      </w:tblGrid>
      <w:tr>
        <w:trPr>
          <w:trHeight w:val="251" w:hRule="atLeast"/>
        </w:trPr>
        <w:tc>
          <w:tcPr>
            <w:tcW w:w="9183" w:type="dxa"/>
            <w:gridSpan w:val="4"/>
          </w:tcPr>
          <w:p>
            <w:pPr>
              <w:pStyle w:val="TableParagraph"/>
              <w:spacing w:line="232" w:lineRule="exact"/>
              <w:ind w:left="880"/>
              <w:jc w:val="left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Dependent</w:t>
            </w:r>
            <w:r>
              <w:rPr>
                <w:rFonts w:asci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Variable:</w:t>
            </w:r>
            <w:r>
              <w:rPr>
                <w:rFonts w:ascii="Times New Roman"/>
                <w:i/>
                <w:spacing w:val="-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Appropriate</w:t>
            </w:r>
            <w:r>
              <w:rPr>
                <w:rFonts w:ascii="Times New Roman"/>
                <w:i/>
                <w:spacing w:val="-4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Medical-care</w:t>
            </w:r>
            <w:r>
              <w:rPr>
                <w:rFonts w:ascii="Times New Roman"/>
                <w:i/>
                <w:spacing w:val="-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Consultations</w:t>
            </w:r>
            <w:r>
              <w:rPr>
                <w:rFonts w:asci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(in</w:t>
            </w:r>
            <w:r>
              <w:rPr>
                <w:rFonts w:ascii="Times New Roman"/>
                <w:i/>
                <w:spacing w:val="-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times</w:t>
            </w:r>
            <w:r>
              <w:rPr>
                <w:rFonts w:ascii="Times New Roman"/>
                <w:i/>
                <w:spacing w:val="-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of</w:t>
            </w:r>
            <w:r>
              <w:rPr>
                <w:rFonts w:ascii="Times New Roman"/>
                <w:i/>
                <w:spacing w:val="-4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illnesses)</w:t>
            </w:r>
          </w:p>
        </w:tc>
      </w:tr>
      <w:tr>
        <w:trPr>
          <w:trHeight w:val="254" w:hRule="atLeast"/>
        </w:trPr>
        <w:tc>
          <w:tcPr>
            <w:tcW w:w="4141" w:type="dxa"/>
          </w:tcPr>
          <w:p>
            <w:pPr>
              <w:pStyle w:val="TableParagraph"/>
              <w:spacing w:line="233" w:lineRule="exact" w:before="1"/>
              <w:ind w:left="1407" w:right="139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VARIABLES</w:t>
            </w:r>
          </w:p>
        </w:tc>
        <w:tc>
          <w:tcPr>
            <w:tcW w:w="2161" w:type="dxa"/>
          </w:tcPr>
          <w:p>
            <w:pPr>
              <w:pStyle w:val="TableParagraph"/>
              <w:spacing w:line="234" w:lineRule="exact"/>
              <w:ind w:left="152" w:right="144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Coefficient</w:t>
            </w:r>
          </w:p>
        </w:tc>
        <w:tc>
          <w:tcPr>
            <w:tcW w:w="1352" w:type="dxa"/>
          </w:tcPr>
          <w:p>
            <w:pPr>
              <w:pStyle w:val="TableParagraph"/>
              <w:spacing w:line="234" w:lineRule="exact"/>
              <w:ind w:left="118" w:right="115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Odd Ratios</w:t>
            </w:r>
          </w:p>
        </w:tc>
        <w:tc>
          <w:tcPr>
            <w:tcW w:w="1529" w:type="dxa"/>
          </w:tcPr>
          <w:p>
            <w:pPr>
              <w:pStyle w:val="TableParagraph"/>
              <w:spacing w:line="234" w:lineRule="exact"/>
              <w:ind w:left="154" w:right="152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Wald</w:t>
            </w:r>
            <w:r>
              <w:rPr>
                <w:rFonts w:ascii="Times New Roman"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Test (z)</w:t>
            </w:r>
          </w:p>
        </w:tc>
      </w:tr>
      <w:tr>
        <w:trPr>
          <w:trHeight w:val="635" w:hRule="atLeast"/>
        </w:trPr>
        <w:tc>
          <w:tcPr>
            <w:tcW w:w="4141" w:type="dxa"/>
            <w:vMerge w:val="restart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HOUSEHOLD</w:t>
            </w:r>
            <w:r>
              <w:rPr>
                <w:rFonts w:ascii="Times New Roman"/>
                <w:b/>
                <w:i/>
                <w:spacing w:val="-5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CHARACTERISTICS</w:t>
            </w:r>
          </w:p>
          <w:p>
            <w:pPr>
              <w:pStyle w:val="TableParagraph"/>
              <w:spacing w:line="237" w:lineRule="auto" w:before="3"/>
              <w:ind w:left="107" w:right="271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Family Size</w:t>
            </w:r>
            <w:r>
              <w:rPr>
                <w:rFonts w:ascii="Times New Roman"/>
                <w:b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Literacy Level</w:t>
            </w:r>
            <w:r>
              <w:rPr>
                <w:rFonts w:ascii="Times New Roman"/>
                <w:b/>
                <w:i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None</w:t>
            </w:r>
          </w:p>
          <w:p>
            <w:pPr>
              <w:pStyle w:val="TableParagraph"/>
              <w:ind w:left="218" w:right="201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Primary Education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Secondary Education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Tertiary</w:t>
            </w:r>
          </w:p>
          <w:p>
            <w:pPr>
              <w:pStyle w:val="TableParagraph"/>
              <w:spacing w:line="237" w:lineRule="auto" w:before="7"/>
              <w:ind w:left="218" w:right="3245" w:hanging="11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Gender</w:t>
            </w:r>
            <w:r>
              <w:rPr>
                <w:rFonts w:ascii="Times New Roman"/>
                <w:b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Male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Female</w:t>
            </w:r>
          </w:p>
          <w:p>
            <w:pPr>
              <w:pStyle w:val="TableParagraph"/>
              <w:spacing w:line="237" w:lineRule="auto" w:before="7"/>
              <w:ind w:left="218" w:right="2701" w:hanging="11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Marital Status</w:t>
            </w:r>
            <w:r>
              <w:rPr>
                <w:rFonts w:ascii="Times New Roman"/>
                <w:b/>
                <w:i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Married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Single Parent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Widowed</w:t>
            </w:r>
          </w:p>
          <w:p>
            <w:pPr>
              <w:pStyle w:val="TableParagraph"/>
              <w:spacing w:before="4"/>
              <w:ind w:left="27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Never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Married</w:t>
            </w:r>
          </w:p>
          <w:p>
            <w:pPr>
              <w:pStyle w:val="TableParagraph"/>
              <w:spacing w:line="251" w:lineRule="exact" w:before="4"/>
              <w:ind w:left="107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Does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your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spouse live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with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you?</w:t>
            </w:r>
          </w:p>
          <w:p>
            <w:pPr>
              <w:pStyle w:val="TableParagraph"/>
              <w:ind w:left="273" w:right="349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Yes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No</w:t>
            </w:r>
          </w:p>
        </w:tc>
        <w:tc>
          <w:tcPr>
            <w:tcW w:w="2161" w:type="dxa"/>
            <w:tcBorders>
              <w:bottom w:val="nil"/>
            </w:tcBorders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-0.7294***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(0.0390)</w:t>
            </w:r>
          </w:p>
        </w:tc>
        <w:tc>
          <w:tcPr>
            <w:tcW w:w="1352" w:type="dxa"/>
            <w:tcBorders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0.4822</w:t>
            </w:r>
          </w:p>
        </w:tc>
        <w:tc>
          <w:tcPr>
            <w:tcW w:w="1529" w:type="dxa"/>
            <w:tcBorders>
              <w:bottom w:val="nil"/>
            </w:tcBorders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-18.69</w:t>
            </w:r>
          </w:p>
        </w:tc>
      </w:tr>
      <w:tr>
        <w:trPr>
          <w:trHeight w:val="370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106"/>
              <w:ind w:left="150" w:right="14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-0.0272 (0.0211)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 w:before="123"/>
              <w:ind w:left="120" w:right="1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0.9732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106"/>
              <w:ind w:left="152" w:right="15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-1.29</w:t>
            </w:r>
          </w:p>
        </w:tc>
      </w:tr>
      <w:tr>
        <w:trPr>
          <w:trHeight w:val="244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1.6877***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(0.0657)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5.4070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25.69</w:t>
            </w:r>
          </w:p>
        </w:tc>
      </w:tr>
      <w:tr>
        <w:trPr>
          <w:trHeight w:val="244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0.8328***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(0.0290)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2.3229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28.67</w:t>
            </w:r>
          </w:p>
        </w:tc>
      </w:tr>
      <w:tr>
        <w:trPr>
          <w:trHeight w:val="365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0.8412***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(0.0279)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2.3191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30.15</w:t>
            </w:r>
          </w:p>
        </w:tc>
      </w:tr>
      <w:tr>
        <w:trPr>
          <w:trHeight w:val="370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106"/>
              <w:ind w:left="150" w:right="14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-0.1117 (0.0564)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 w:before="123"/>
              <w:ind w:left="120" w:right="1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0.8943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 w:before="106"/>
              <w:ind w:left="152" w:right="15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-1.98</w:t>
            </w:r>
          </w:p>
        </w:tc>
      </w:tr>
      <w:tr>
        <w:trPr>
          <w:trHeight w:val="371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0.1782***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(0.0460)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1.1951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3.87</w:t>
            </w:r>
          </w:p>
        </w:tc>
      </w:tr>
      <w:tr>
        <w:trPr>
          <w:trHeight w:val="369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110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0.2822***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(0.0137)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124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1.3260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110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20.55</w:t>
            </w:r>
          </w:p>
        </w:tc>
      </w:tr>
      <w:tr>
        <w:trPr>
          <w:trHeight w:val="243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-0.2359***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(0.0458)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0.7899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-5.15</w:t>
            </w:r>
          </w:p>
        </w:tc>
      </w:tr>
      <w:tr>
        <w:trPr>
          <w:trHeight w:val="243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-0.0444***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(0.0089)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0.9566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-5.02</w:t>
            </w:r>
          </w:p>
        </w:tc>
      </w:tr>
      <w:tr>
        <w:trPr>
          <w:trHeight w:val="369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-0.1296***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(0.0608)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0.8784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-2.13</w:t>
            </w:r>
          </w:p>
        </w:tc>
      </w:tr>
      <w:tr>
        <w:trPr>
          <w:trHeight w:val="369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110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0.1121***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(0.0481)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124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1.1186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110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2.33</w:t>
            </w:r>
          </w:p>
        </w:tc>
      </w:tr>
      <w:tr>
        <w:trPr>
          <w:trHeight w:val="252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-2.0865***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(0.0445)</w:t>
            </w:r>
          </w:p>
        </w:tc>
        <w:tc>
          <w:tcPr>
            <w:tcW w:w="1352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0.1241</w:t>
            </w:r>
          </w:p>
        </w:tc>
        <w:tc>
          <w:tcPr>
            <w:tcW w:w="1529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-46.86</w:t>
            </w:r>
          </w:p>
        </w:tc>
      </w:tr>
      <w:tr>
        <w:trPr>
          <w:trHeight w:val="2040" w:hRule="atLeast"/>
        </w:trPr>
        <w:tc>
          <w:tcPr>
            <w:tcW w:w="4141" w:type="dxa"/>
          </w:tcPr>
          <w:p>
            <w:pPr>
              <w:pStyle w:val="TableParagraph"/>
              <w:spacing w:line="250" w:lineRule="exact"/>
              <w:ind w:left="107"/>
              <w:jc w:val="left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HOUSEHOLDS’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TOTAL</w:t>
            </w:r>
            <w:r>
              <w:rPr>
                <w:rFonts w:ascii="Times New Roman" w:hAnsi="Times New Roman"/>
                <w:b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INCOME</w:t>
            </w:r>
          </w:p>
          <w:p>
            <w:pPr>
              <w:pStyle w:val="TableParagraph"/>
              <w:ind w:left="107" w:right="128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Wages and Salaries Incomes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Business Enterprises or Trades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Farming or Livestock Incomes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Remittances</w:t>
            </w:r>
          </w:p>
          <w:p>
            <w:pPr>
              <w:pStyle w:val="TableParagraph"/>
              <w:ind w:left="107" w:right="167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Pensions and Grants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Dividend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Investment</w:t>
            </w: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Income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Properties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Owned</w:t>
            </w:r>
          </w:p>
        </w:tc>
        <w:tc>
          <w:tcPr>
            <w:tcW w:w="2161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3" w:lineRule="exact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0.7286*** (0.0439)</w:t>
            </w:r>
          </w:p>
          <w:p>
            <w:pPr>
              <w:pStyle w:val="TableParagraph"/>
              <w:spacing w:line="253" w:lineRule="exact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0.0166*** (0.0019)</w:t>
            </w:r>
          </w:p>
          <w:p>
            <w:pPr>
              <w:pStyle w:val="TableParagraph"/>
              <w:spacing w:line="252" w:lineRule="exact" w:before="2"/>
              <w:ind w:left="263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1.5200**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(0.0366)</w:t>
            </w:r>
          </w:p>
          <w:p>
            <w:pPr>
              <w:pStyle w:val="TableParagraph"/>
              <w:spacing w:line="252" w:lineRule="exact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0.4131*** (0.0301)</w:t>
            </w:r>
          </w:p>
          <w:p>
            <w:pPr>
              <w:pStyle w:val="TableParagraph"/>
              <w:spacing w:line="252" w:lineRule="exact" w:before="1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0.4356*** (0.0510)</w:t>
            </w:r>
          </w:p>
          <w:p>
            <w:pPr>
              <w:pStyle w:val="TableParagraph"/>
              <w:spacing w:line="252" w:lineRule="exact"/>
              <w:ind w:left="172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-1.8083***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(0.0552)</w:t>
            </w:r>
          </w:p>
          <w:p>
            <w:pPr>
              <w:pStyle w:val="TableParagraph"/>
              <w:spacing w:line="233" w:lineRule="exact" w:before="2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0.5374*** (0.0419)</w:t>
            </w:r>
          </w:p>
        </w:tc>
        <w:tc>
          <w:tcPr>
            <w:tcW w:w="1352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3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2.0722</w:t>
            </w:r>
          </w:p>
          <w:p>
            <w:pPr>
              <w:pStyle w:val="TableParagraph"/>
              <w:spacing w:line="253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1.0169</w:t>
            </w:r>
          </w:p>
          <w:p>
            <w:pPr>
              <w:pStyle w:val="TableParagraph"/>
              <w:spacing w:line="252" w:lineRule="exact" w:before="2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4.5722</w:t>
            </w:r>
          </w:p>
          <w:p>
            <w:pPr>
              <w:pStyle w:val="TableParagraph"/>
              <w:spacing w:line="252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1.5115</w:t>
            </w:r>
          </w:p>
          <w:p>
            <w:pPr>
              <w:pStyle w:val="TableParagraph"/>
              <w:spacing w:line="252" w:lineRule="exact" w:before="1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1.5459</w:t>
            </w:r>
          </w:p>
          <w:p>
            <w:pPr>
              <w:pStyle w:val="TableParagraph"/>
              <w:spacing w:line="252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0.1639</w:t>
            </w:r>
          </w:p>
          <w:p>
            <w:pPr>
              <w:pStyle w:val="TableParagraph"/>
              <w:spacing w:line="233" w:lineRule="exact" w:before="2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1.7116</w:t>
            </w:r>
          </w:p>
        </w:tc>
        <w:tc>
          <w:tcPr>
            <w:tcW w:w="1529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3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16.60</w:t>
            </w:r>
          </w:p>
          <w:p>
            <w:pPr>
              <w:pStyle w:val="TableParagraph"/>
              <w:spacing w:line="253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8.81</w:t>
            </w:r>
          </w:p>
          <w:p>
            <w:pPr>
              <w:pStyle w:val="TableParagraph"/>
              <w:spacing w:line="252" w:lineRule="exact" w:before="2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41.55</w:t>
            </w:r>
          </w:p>
          <w:p>
            <w:pPr>
              <w:pStyle w:val="TableParagraph"/>
              <w:spacing w:line="252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13.71</w:t>
            </w:r>
          </w:p>
          <w:p>
            <w:pPr>
              <w:pStyle w:val="TableParagraph"/>
              <w:spacing w:line="252" w:lineRule="exact" w:before="1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8.53</w:t>
            </w:r>
          </w:p>
          <w:p>
            <w:pPr>
              <w:pStyle w:val="TableParagraph"/>
              <w:spacing w:line="252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-32.76</w:t>
            </w:r>
          </w:p>
          <w:p>
            <w:pPr>
              <w:pStyle w:val="TableParagraph"/>
              <w:spacing w:line="233" w:lineRule="exact" w:before="2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12.82</w:t>
            </w:r>
          </w:p>
        </w:tc>
      </w:tr>
      <w:tr>
        <w:trPr>
          <w:trHeight w:val="774" w:hRule="atLeast"/>
        </w:trPr>
        <w:tc>
          <w:tcPr>
            <w:tcW w:w="4141" w:type="dxa"/>
          </w:tcPr>
          <w:p>
            <w:pPr>
              <w:pStyle w:val="TableParagraph"/>
              <w:spacing w:line="250" w:lineRule="exact"/>
              <w:ind w:left="107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INCOME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INEQUALITY</w:t>
            </w:r>
          </w:p>
          <w:p>
            <w:pPr>
              <w:pStyle w:val="TableParagraph"/>
              <w:ind w:left="107" w:right="255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Gini-Coefficient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Constant</w:t>
            </w:r>
          </w:p>
        </w:tc>
        <w:tc>
          <w:tcPr>
            <w:tcW w:w="2161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2" w:lineRule="exact"/>
              <w:ind w:left="172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-0.0446***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(0.1570)</w:t>
            </w:r>
          </w:p>
          <w:p>
            <w:pPr>
              <w:pStyle w:val="TableParagraph"/>
              <w:spacing w:line="235" w:lineRule="exact"/>
              <w:ind w:left="172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-2.5823***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(0.1018)</w:t>
            </w:r>
          </w:p>
        </w:tc>
        <w:tc>
          <w:tcPr>
            <w:tcW w:w="135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0.9564</w:t>
            </w:r>
          </w:p>
          <w:p>
            <w:pPr>
              <w:pStyle w:val="TableParagraph"/>
              <w:spacing w:line="250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0.0756</w:t>
            </w:r>
          </w:p>
        </w:tc>
        <w:tc>
          <w:tcPr>
            <w:tcW w:w="1529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2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-4.82</w:t>
            </w:r>
          </w:p>
          <w:p>
            <w:pPr>
              <w:pStyle w:val="TableParagraph"/>
              <w:spacing w:line="235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-25.36</w:t>
            </w:r>
          </w:p>
        </w:tc>
      </w:tr>
      <w:tr>
        <w:trPr>
          <w:trHeight w:val="247" w:hRule="atLeast"/>
        </w:trPr>
        <w:tc>
          <w:tcPr>
            <w:tcW w:w="4141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Number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Observations</w:t>
            </w:r>
          </w:p>
        </w:tc>
        <w:tc>
          <w:tcPr>
            <w:tcW w:w="2161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53" w:right="14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71,942</w:t>
            </w:r>
          </w:p>
        </w:tc>
        <w:tc>
          <w:tcPr>
            <w:tcW w:w="1352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29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43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LR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chi</w:t>
            </w:r>
            <w:r>
              <w:rPr>
                <w:rFonts w:ascii="Times New Roman"/>
                <w:sz w:val="22"/>
                <w:vertAlign w:val="superscript"/>
              </w:rPr>
              <w:t>2</w:t>
            </w:r>
            <w:r>
              <w:rPr>
                <w:rFonts w:ascii="Times New Roman"/>
                <w:sz w:val="22"/>
                <w:vertAlign w:val="baseline"/>
              </w:rPr>
              <w:t> (21)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1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56,829.85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Probability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3" w:right="14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0.0000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4141" w:type="dxa"/>
            <w:tcBorders>
              <w:top w:val="nil"/>
            </w:tcBorders>
          </w:tcPr>
          <w:p>
            <w:pPr>
              <w:pStyle w:val="TableParagraph"/>
              <w:spacing w:line="229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Pseudo R</w:t>
            </w:r>
            <w:r>
              <w:rPr>
                <w:rFonts w:ascii="Times New Roman"/>
                <w:sz w:val="22"/>
                <w:vertAlign w:val="superscript"/>
              </w:rPr>
              <w:t>2</w:t>
            </w:r>
          </w:p>
        </w:tc>
        <w:tc>
          <w:tcPr>
            <w:tcW w:w="2161" w:type="dxa"/>
            <w:tcBorders>
              <w:top w:val="nil"/>
            </w:tcBorders>
          </w:tcPr>
          <w:p>
            <w:pPr>
              <w:pStyle w:val="TableParagraph"/>
              <w:spacing w:line="229" w:lineRule="exact"/>
              <w:ind w:left="153" w:right="14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0.6247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02" w:lineRule="exact" w:before="0"/>
        <w:ind w:left="120" w:right="0" w:firstLine="0"/>
        <w:jc w:val="left"/>
        <w:rPr>
          <w:sz w:val="18"/>
        </w:rPr>
      </w:pPr>
      <w:r>
        <w:rPr>
          <w:sz w:val="18"/>
        </w:rPr>
        <w:t>NOTE:</w:t>
      </w:r>
      <w:r>
        <w:rPr>
          <w:spacing w:val="-2"/>
          <w:sz w:val="18"/>
        </w:rPr>
        <w:t> </w:t>
      </w:r>
      <w:r>
        <w:rPr>
          <w:sz w:val="18"/>
        </w:rPr>
        <w:t>1.</w:t>
      </w:r>
      <w:r>
        <w:rPr>
          <w:spacing w:val="3"/>
          <w:sz w:val="18"/>
        </w:rPr>
        <w:t> </w:t>
      </w:r>
      <w:r>
        <w:rPr>
          <w:sz w:val="18"/>
        </w:rPr>
        <w:t>*Significant</w:t>
      </w:r>
      <w:r>
        <w:rPr>
          <w:spacing w:val="-2"/>
          <w:sz w:val="18"/>
        </w:rPr>
        <w:t> </w:t>
      </w:r>
      <w:r>
        <w:rPr>
          <w:sz w:val="18"/>
        </w:rPr>
        <w:t>at</w:t>
      </w:r>
      <w:r>
        <w:rPr>
          <w:spacing w:val="-1"/>
          <w:sz w:val="18"/>
        </w:rPr>
        <w:t> </w:t>
      </w:r>
      <w:r>
        <w:rPr>
          <w:sz w:val="18"/>
        </w:rPr>
        <w:t>10%,</w:t>
      </w:r>
      <w:r>
        <w:rPr>
          <w:spacing w:val="-2"/>
          <w:sz w:val="18"/>
        </w:rPr>
        <w:t> </w:t>
      </w:r>
      <w:r>
        <w:rPr>
          <w:sz w:val="18"/>
        </w:rPr>
        <w:t>**</w:t>
      </w:r>
      <w:r>
        <w:rPr>
          <w:spacing w:val="-2"/>
          <w:sz w:val="18"/>
        </w:rPr>
        <w:t> </w:t>
      </w:r>
      <w:r>
        <w:rPr>
          <w:sz w:val="18"/>
        </w:rPr>
        <w:t>significant</w:t>
      </w:r>
      <w:r>
        <w:rPr>
          <w:spacing w:val="-1"/>
          <w:sz w:val="18"/>
        </w:rPr>
        <w:t> </w:t>
      </w:r>
      <w:r>
        <w:rPr>
          <w:sz w:val="18"/>
        </w:rPr>
        <w:t>at</w:t>
      </w:r>
      <w:r>
        <w:rPr>
          <w:spacing w:val="-2"/>
          <w:sz w:val="18"/>
        </w:rPr>
        <w:t> </w:t>
      </w:r>
      <w:r>
        <w:rPr>
          <w:sz w:val="18"/>
        </w:rPr>
        <w:t>5%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***</w:t>
      </w:r>
      <w:r>
        <w:rPr>
          <w:spacing w:val="-5"/>
          <w:sz w:val="18"/>
        </w:rPr>
        <w:t> </w:t>
      </w:r>
      <w:r>
        <w:rPr>
          <w:sz w:val="18"/>
        </w:rPr>
        <w:t>significant</w:t>
      </w:r>
      <w:r>
        <w:rPr>
          <w:spacing w:val="-1"/>
          <w:sz w:val="18"/>
        </w:rPr>
        <w:t> </w:t>
      </w:r>
      <w:r>
        <w:rPr>
          <w:sz w:val="18"/>
        </w:rPr>
        <w:t>at</w:t>
      </w:r>
      <w:r>
        <w:rPr>
          <w:spacing w:val="-2"/>
          <w:sz w:val="18"/>
        </w:rPr>
        <w:t> </w:t>
      </w:r>
      <w:r>
        <w:rPr>
          <w:sz w:val="18"/>
        </w:rPr>
        <w:t>1%</w:t>
      </w:r>
    </w:p>
    <w:p>
      <w:pPr>
        <w:spacing w:line="205" w:lineRule="exact" w:before="0"/>
        <w:ind w:left="120" w:right="0" w:firstLine="0"/>
        <w:jc w:val="left"/>
        <w:rPr>
          <w:sz w:val="18"/>
        </w:rPr>
      </w:pPr>
      <w:r>
        <w:rPr>
          <w:sz w:val="18"/>
        </w:rPr>
        <w:t>2.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parentheses</w:t>
      </w:r>
      <w:r>
        <w:rPr>
          <w:spacing w:val="-1"/>
          <w:sz w:val="18"/>
        </w:rPr>
        <w:t> </w:t>
      </w:r>
      <w:r>
        <w:rPr>
          <w:sz w:val="18"/>
        </w:rPr>
        <w:t>denotes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robust</w:t>
      </w:r>
      <w:r>
        <w:rPr>
          <w:spacing w:val="-1"/>
          <w:sz w:val="18"/>
        </w:rPr>
        <w:t> </w:t>
      </w:r>
      <w:r>
        <w:rPr>
          <w:sz w:val="18"/>
        </w:rPr>
        <w:t>standard errors</w:t>
      </w:r>
      <w:r>
        <w:rPr>
          <w:spacing w:val="-1"/>
          <w:sz w:val="18"/>
        </w:rPr>
        <w:t> </w:t>
      </w:r>
      <w:r>
        <w:rPr>
          <w:sz w:val="18"/>
        </w:rPr>
        <w:t>for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estimates</w:t>
      </w:r>
    </w:p>
    <w:p>
      <w:pPr>
        <w:spacing w:line="229" w:lineRule="exact" w:before="0"/>
        <w:ind w:left="120" w:right="0" w:firstLine="0"/>
        <w:jc w:val="left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2"/>
          <w:sz w:val="20"/>
        </w:rPr>
        <w:t> </w:t>
      </w:r>
      <w:r>
        <w:rPr>
          <w:sz w:val="20"/>
        </w:rPr>
        <w:t>Researcher’s</w:t>
      </w:r>
      <w:r>
        <w:rPr>
          <w:spacing w:val="-1"/>
          <w:sz w:val="20"/>
        </w:rPr>
        <w:t> </w:t>
      </w:r>
      <w:r>
        <w:rPr>
          <w:sz w:val="20"/>
        </w:rPr>
        <w:t>Computation</w:t>
      </w:r>
      <w:r>
        <w:rPr>
          <w:spacing w:val="-3"/>
          <w:sz w:val="20"/>
        </w:rPr>
        <w:t> </w:t>
      </w:r>
      <w:r>
        <w:rPr>
          <w:sz w:val="20"/>
        </w:rPr>
        <w:t>using</w:t>
      </w:r>
      <w:r>
        <w:rPr>
          <w:spacing w:val="-3"/>
          <w:sz w:val="20"/>
        </w:rPr>
        <w:t> </w:t>
      </w:r>
      <w:r>
        <w:rPr>
          <w:sz w:val="20"/>
        </w:rPr>
        <w:t>Stata</w:t>
      </w:r>
      <w:r>
        <w:rPr>
          <w:spacing w:val="-2"/>
          <w:sz w:val="20"/>
        </w:rPr>
        <w:t> </w:t>
      </w:r>
      <w:r>
        <w:rPr>
          <w:sz w:val="20"/>
        </w:rPr>
        <w:t>13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20" w:right="116"/>
        <w:jc w:val="both"/>
      </w:pP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estimation,</w:t>
      </w:r>
      <w:r>
        <w:rPr>
          <w:spacing w:val="-14"/>
        </w:rPr>
        <w:t> </w:t>
      </w:r>
      <w:r>
        <w:rPr>
          <w:spacing w:val="-1"/>
        </w:rPr>
        <w:t>gender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marital</w:t>
      </w:r>
      <w:r>
        <w:rPr>
          <w:spacing w:val="-14"/>
        </w:rPr>
        <w:t> </w:t>
      </w:r>
      <w:r>
        <w:rPr/>
        <w:t>status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respondents</w:t>
      </w:r>
      <w:r>
        <w:rPr>
          <w:spacing w:val="-14"/>
        </w:rPr>
        <w:t> </w:t>
      </w:r>
      <w:r>
        <w:rPr/>
        <w:t>were</w:t>
      </w:r>
      <w:r>
        <w:rPr>
          <w:spacing w:val="-12"/>
        </w:rPr>
        <w:t> </w:t>
      </w:r>
      <w:r>
        <w:rPr/>
        <w:t>good</w:t>
      </w:r>
      <w:r>
        <w:rPr>
          <w:spacing w:val="-12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variables.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gender,</w:t>
      </w:r>
      <w:r>
        <w:rPr>
          <w:spacing w:val="-57"/>
        </w:rPr>
        <w:t> </w:t>
      </w:r>
      <w:r>
        <w:rPr/>
        <w:t>female was signed positive as expected. The result shows that female uses appropriate healthcare</w:t>
      </w:r>
      <w:r>
        <w:rPr>
          <w:spacing w:val="-57"/>
        </w:rPr>
        <w:t> </w:t>
      </w:r>
      <w:r>
        <w:rPr/>
        <w:t>services</w:t>
      </w:r>
      <w:r>
        <w:rPr>
          <w:spacing w:val="-9"/>
        </w:rPr>
        <w:t> </w:t>
      </w:r>
      <w:r>
        <w:rPr/>
        <w:t>during</w:t>
      </w:r>
      <w:r>
        <w:rPr>
          <w:spacing w:val="-10"/>
        </w:rPr>
        <w:t> </w:t>
      </w:r>
      <w:r>
        <w:rPr/>
        <w:t>illness</w:t>
      </w:r>
      <w:r>
        <w:rPr>
          <w:spacing w:val="-9"/>
        </w:rPr>
        <w:t> </w:t>
      </w:r>
      <w:r>
        <w:rPr/>
        <w:t>significantly.</w:t>
      </w:r>
      <w:r>
        <w:rPr>
          <w:spacing w:val="-7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estimate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male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inverse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insignificant.</w:t>
      </w:r>
      <w:r>
        <w:rPr>
          <w:spacing w:val="-57"/>
        </w:rPr>
        <w:t> </w:t>
      </w:r>
      <w:r>
        <w:rPr/>
        <w:t>This</w:t>
      </w:r>
      <w:r>
        <w:rPr>
          <w:spacing w:val="3"/>
        </w:rPr>
        <w:t> </w:t>
      </w:r>
      <w:r>
        <w:rPr/>
        <w:t>implies that</w:t>
      </w:r>
      <w:r>
        <w:rPr>
          <w:spacing w:val="4"/>
        </w:rPr>
        <w:t> </w:t>
      </w:r>
      <w:r>
        <w:rPr/>
        <w:t>females</w:t>
      </w:r>
      <w:r>
        <w:rPr>
          <w:spacing w:val="2"/>
        </w:rPr>
        <w:t> </w:t>
      </w:r>
      <w:r>
        <w:rPr/>
        <w:t>tend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use</w:t>
      </w:r>
      <w:r>
        <w:rPr>
          <w:spacing w:val="2"/>
        </w:rPr>
        <w:t> </w:t>
      </w:r>
      <w:r>
        <w:rPr/>
        <w:t>orthodox</w:t>
      </w:r>
      <w:r>
        <w:rPr>
          <w:spacing w:val="6"/>
        </w:rPr>
        <w:t> </w:t>
      </w:r>
      <w:r>
        <w:rPr/>
        <w:t>healthcare,</w:t>
      </w:r>
      <w:r>
        <w:rPr>
          <w:spacing w:val="3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their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counterpart.</w:t>
      </w:r>
      <w:r>
        <w:rPr>
          <w:spacing w:val="5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5"/>
        <w:jc w:val="both"/>
      </w:pPr>
      <w:r>
        <w:rPr/>
        <w:t>addition, it means male often seek inappropriate medical-care services in times of illness. This is</w:t>
      </w:r>
      <w:r>
        <w:rPr>
          <w:spacing w:val="1"/>
        </w:rPr>
        <w:t> </w:t>
      </w:r>
      <w:r>
        <w:rPr/>
        <w:t>counter-intuitive to the expectation that both male and female seek medical-care services in times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ill-health.</w:t>
      </w:r>
      <w:r>
        <w:rPr>
          <w:spacing w:val="-9"/>
        </w:rPr>
        <w:t> </w:t>
      </w:r>
      <w:r>
        <w:rPr/>
        <w:t>This</w:t>
      </w:r>
      <w:r>
        <w:rPr>
          <w:spacing w:val="-6"/>
        </w:rPr>
        <w:t> </w:t>
      </w:r>
      <w:r>
        <w:rPr/>
        <w:t>could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explained</w:t>
      </w:r>
      <w:r>
        <w:rPr>
          <w:spacing w:val="-9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8"/>
        </w:rPr>
        <w:t> </w:t>
      </w:r>
      <w:r>
        <w:rPr/>
        <w:t>characteristic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traditional</w:t>
      </w:r>
      <w:r>
        <w:rPr>
          <w:spacing w:val="-8"/>
        </w:rPr>
        <w:t> </w:t>
      </w:r>
      <w:r>
        <w:rPr/>
        <w:t>Nigerian</w:t>
      </w:r>
      <w:r>
        <w:rPr>
          <w:spacing w:val="-9"/>
        </w:rPr>
        <w:t> </w:t>
      </w:r>
      <w:r>
        <w:rPr/>
        <w:t>society</w:t>
      </w:r>
      <w:r>
        <w:rPr>
          <w:spacing w:val="-11"/>
        </w:rPr>
        <w:t> </w:t>
      </w:r>
      <w:r>
        <w:rPr/>
        <w:t>where</w:t>
      </w:r>
      <w:r>
        <w:rPr>
          <w:spacing w:val="-58"/>
        </w:rPr>
        <w:t> </w:t>
      </w:r>
      <w:r>
        <w:rPr/>
        <w:t>males are the major bread winners for their entire household. This factor perhaps may contribute</w:t>
      </w:r>
      <w:r>
        <w:rPr>
          <w:spacing w:val="1"/>
        </w:rPr>
        <w:t> </w:t>
      </w:r>
      <w:r>
        <w:rPr/>
        <w:t>to their inability</w:t>
      </w:r>
      <w:r>
        <w:rPr>
          <w:spacing w:val="-8"/>
        </w:rPr>
        <w:t> </w:t>
      </w:r>
      <w:r>
        <w:rPr/>
        <w:t>to seek timely</w:t>
      </w:r>
      <w:r>
        <w:rPr>
          <w:spacing w:val="-5"/>
        </w:rPr>
        <w:t> </w:t>
      </w:r>
      <w:r>
        <w:rPr/>
        <w:t>medical-care.</w:t>
      </w:r>
    </w:p>
    <w:p>
      <w:pPr>
        <w:pStyle w:val="BodyText"/>
        <w:spacing w:line="360" w:lineRule="auto" w:before="184"/>
        <w:ind w:left="120" w:right="110"/>
        <w:jc w:val="both"/>
      </w:pPr>
      <w:r>
        <w:rPr/>
        <w:t>From the same Table 5.19, the effects of being married was found to be positive and significantly</w:t>
      </w:r>
      <w:r>
        <w:rPr>
          <w:spacing w:val="-57"/>
        </w:rPr>
        <w:t> </w:t>
      </w:r>
      <w:r>
        <w:rPr/>
        <w:t>related to appropriate healthcare services (even in the presence of rising income disparity). The</w:t>
      </w:r>
      <w:r>
        <w:rPr>
          <w:spacing w:val="1"/>
        </w:rPr>
        <w:t> </w:t>
      </w:r>
      <w:r>
        <w:rPr/>
        <w:t>estimation shows that being married associated with seeking appropriate healthcare by 33%. But,</w:t>
      </w:r>
      <w:r>
        <w:rPr>
          <w:spacing w:val="-57"/>
        </w:rPr>
        <w:t> </w:t>
      </w:r>
      <w:r>
        <w:rPr/>
        <w:t>being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single</w:t>
      </w:r>
      <w:r>
        <w:rPr>
          <w:spacing w:val="-4"/>
        </w:rPr>
        <w:t> </w:t>
      </w:r>
      <w:r>
        <w:rPr/>
        <w:t>parent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significantly</w:t>
      </w:r>
      <w:r>
        <w:rPr>
          <w:spacing w:val="-9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inappropriate</w:t>
      </w:r>
      <w:r>
        <w:rPr>
          <w:spacing w:val="-4"/>
        </w:rPr>
        <w:t> </w:t>
      </w:r>
      <w:r>
        <w:rPr/>
        <w:t>medical-care.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z w:val="23"/>
        </w:rPr>
        <w:t>estimates</w:t>
      </w:r>
      <w:r>
        <w:rPr>
          <w:spacing w:val="-1"/>
          <w:sz w:val="23"/>
        </w:rPr>
        <w:t> </w:t>
      </w:r>
      <w:r>
        <w:rPr/>
        <w:t>for</w:t>
      </w:r>
      <w:r>
        <w:rPr>
          <w:spacing w:val="-58"/>
        </w:rPr>
        <w:t> </w:t>
      </w:r>
      <w:r>
        <w:rPr/>
        <w:t>being </w:t>
      </w:r>
      <w:r>
        <w:rPr>
          <w:sz w:val="23"/>
        </w:rPr>
        <w:t>widowed/widower </w:t>
      </w:r>
      <w:r>
        <w:rPr/>
        <w:t>and never married also relate with </w:t>
      </w:r>
      <w:r>
        <w:rPr>
          <w:sz w:val="23"/>
        </w:rPr>
        <w:t>inappropriate </w:t>
      </w:r>
      <w:r>
        <w:rPr/>
        <w:t>HSB positively. The</w:t>
      </w:r>
      <w:r>
        <w:rPr>
          <w:spacing w:val="1"/>
        </w:rPr>
        <w:t> </w:t>
      </w:r>
      <w:r>
        <w:rPr/>
        <w:t>results also show that if couple live together, they seek appropriate healthcare compared to when</w:t>
      </w:r>
      <w:r>
        <w:rPr>
          <w:spacing w:val="1"/>
        </w:rPr>
        <w:t> </w:t>
      </w:r>
      <w:r>
        <w:rPr>
          <w:spacing w:val="-1"/>
        </w:rPr>
        <w:t>they</w:t>
      </w:r>
      <w:r>
        <w:rPr>
          <w:spacing w:val="-12"/>
        </w:rPr>
        <w:t> </w:t>
      </w:r>
      <w:r>
        <w:rPr/>
        <w:t>are</w:t>
      </w:r>
      <w:r>
        <w:rPr>
          <w:spacing w:val="-11"/>
        </w:rPr>
        <w:t> </w:t>
      </w:r>
      <w:r>
        <w:rPr/>
        <w:t>living</w:t>
      </w:r>
      <w:r>
        <w:rPr>
          <w:spacing w:val="-10"/>
        </w:rPr>
        <w:t> </w:t>
      </w:r>
      <w:r>
        <w:rPr/>
        <w:t>apart.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/>
        <w:t>justified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8"/>
        </w:rPr>
        <w:t> </w:t>
      </w:r>
      <w:r>
        <w:rPr/>
        <w:t>fact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married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cohabiting</w:t>
      </w:r>
      <w:r>
        <w:rPr>
          <w:spacing w:val="-10"/>
        </w:rPr>
        <w:t> </w:t>
      </w:r>
      <w:r>
        <w:rPr/>
        <w:t>couples</w:t>
      </w:r>
      <w:r>
        <w:rPr>
          <w:spacing w:val="-10"/>
        </w:rPr>
        <w:t> </w:t>
      </w:r>
      <w:r>
        <w:rPr/>
        <w:t>make</w:t>
      </w:r>
      <w:r>
        <w:rPr>
          <w:spacing w:val="-9"/>
        </w:rPr>
        <w:t> </w:t>
      </w:r>
      <w:r>
        <w:rPr/>
        <w:t>decisions</w:t>
      </w:r>
      <w:r>
        <w:rPr>
          <w:spacing w:val="-57"/>
        </w:rPr>
        <w:t> </w:t>
      </w:r>
      <w:r>
        <w:rPr>
          <w:spacing w:val="-1"/>
        </w:rPr>
        <w:t>together</w:t>
      </w:r>
      <w:r>
        <w:rPr>
          <w:spacing w:val="-14"/>
        </w:rPr>
        <w:t> </w:t>
      </w:r>
      <w:r>
        <w:rPr>
          <w:spacing w:val="-1"/>
        </w:rPr>
        <w:t>(sometimes</w:t>
      </w:r>
      <w:r>
        <w:rPr>
          <w:spacing w:val="-13"/>
        </w:rPr>
        <w:t> </w:t>
      </w:r>
      <w:r>
        <w:rPr/>
        <w:t>pool</w:t>
      </w:r>
      <w:r>
        <w:rPr>
          <w:spacing w:val="-12"/>
        </w:rPr>
        <w:t> </w:t>
      </w:r>
      <w:r>
        <w:rPr/>
        <w:t>resources</w:t>
      </w:r>
      <w:r>
        <w:rPr>
          <w:spacing w:val="-13"/>
        </w:rPr>
        <w:t> </w:t>
      </w:r>
      <w:r>
        <w:rPr/>
        <w:t>together)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several</w:t>
      </w:r>
      <w:r>
        <w:rPr>
          <w:spacing w:val="-13"/>
        </w:rPr>
        <w:t> </w:t>
      </w:r>
      <w:r>
        <w:rPr/>
        <w:t>domains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life,</w:t>
      </w:r>
      <w:r>
        <w:rPr>
          <w:spacing w:val="-13"/>
        </w:rPr>
        <w:t> </w:t>
      </w:r>
      <w:r>
        <w:rPr/>
        <w:t>often</w:t>
      </w:r>
      <w:r>
        <w:rPr>
          <w:spacing w:val="-12"/>
        </w:rPr>
        <w:t> </w:t>
      </w:r>
      <w:r>
        <w:rPr/>
        <w:t>including</w:t>
      </w:r>
      <w:r>
        <w:rPr>
          <w:spacing w:val="-14"/>
        </w:rPr>
        <w:t> </w:t>
      </w:r>
      <w:r>
        <w:rPr/>
        <w:t>healthcare.</w:t>
      </w:r>
    </w:p>
    <w:p>
      <w:pPr>
        <w:pStyle w:val="BodyText"/>
        <w:spacing w:line="360" w:lineRule="auto" w:before="186"/>
        <w:ind w:left="120" w:right="114"/>
        <w:jc w:val="both"/>
      </w:pPr>
      <w:r>
        <w:rPr/>
        <w:t>For the effect of various household’s incomes, wages and salaries, enterprises/trading, farming or</w:t>
      </w:r>
      <w:r>
        <w:rPr>
          <w:spacing w:val="-57"/>
        </w:rPr>
        <w:t> </w:t>
      </w:r>
      <w:r>
        <w:rPr/>
        <w:t>livestock</w:t>
      </w:r>
      <w:r>
        <w:rPr>
          <w:spacing w:val="-9"/>
        </w:rPr>
        <w:t> </w:t>
      </w:r>
      <w:r>
        <w:rPr/>
        <w:t>incomes,</w:t>
      </w:r>
      <w:r>
        <w:rPr>
          <w:spacing w:val="-8"/>
        </w:rPr>
        <w:t> </w:t>
      </w:r>
      <w:r>
        <w:rPr/>
        <w:t>pension,</w:t>
      </w:r>
      <w:r>
        <w:rPr>
          <w:spacing w:val="-9"/>
        </w:rPr>
        <w:t> </w:t>
      </w:r>
      <w:r>
        <w:rPr/>
        <w:t>remittances,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incomes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properties</w:t>
      </w:r>
      <w:r>
        <w:rPr>
          <w:spacing w:val="-8"/>
        </w:rPr>
        <w:t> </w:t>
      </w:r>
      <w:r>
        <w:rPr/>
        <w:t>owned</w:t>
      </w:r>
      <w:r>
        <w:rPr>
          <w:spacing w:val="-9"/>
        </w:rPr>
        <w:t> </w:t>
      </w:r>
      <w:r>
        <w:rPr/>
        <w:t>were</w:t>
      </w:r>
      <w:r>
        <w:rPr>
          <w:spacing w:val="-10"/>
        </w:rPr>
        <w:t> </w:t>
      </w:r>
      <w:r>
        <w:rPr/>
        <w:t>all</w:t>
      </w:r>
      <w:r>
        <w:rPr>
          <w:spacing w:val="-8"/>
        </w:rPr>
        <w:t> </w:t>
      </w:r>
      <w:r>
        <w:rPr/>
        <w:t>positive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significant</w:t>
      </w:r>
      <w:r>
        <w:rPr>
          <w:spacing w:val="-14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seeking</w:t>
      </w:r>
      <w:r>
        <w:rPr>
          <w:spacing w:val="-17"/>
        </w:rPr>
        <w:t> </w:t>
      </w:r>
      <w:r>
        <w:rPr/>
        <w:t>appropriate</w:t>
      </w:r>
      <w:r>
        <w:rPr>
          <w:spacing w:val="-14"/>
        </w:rPr>
        <w:t> </w:t>
      </w:r>
      <w:r>
        <w:rPr/>
        <w:t>healthcare</w:t>
      </w:r>
      <w:r>
        <w:rPr>
          <w:spacing w:val="-15"/>
        </w:rPr>
        <w:t> </w:t>
      </w:r>
      <w:r>
        <w:rPr/>
        <w:t>services.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positive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significant</w:t>
      </w:r>
      <w:r>
        <w:rPr>
          <w:spacing w:val="-13"/>
        </w:rPr>
        <w:t> </w:t>
      </w:r>
      <w:r>
        <w:rPr/>
        <w:t>income-effect</w:t>
      </w:r>
      <w:r>
        <w:rPr>
          <w:spacing w:val="-58"/>
        </w:rPr>
        <w:t> </w:t>
      </w:r>
      <w:r>
        <w:rPr/>
        <w:t>on appropriate HSB as income inequality is widening was as expected, and hence not surprising.</w:t>
      </w:r>
      <w:r>
        <w:rPr>
          <w:spacing w:val="1"/>
        </w:rPr>
        <w:t> </w:t>
      </w:r>
      <w:r>
        <w:rPr/>
        <w:t>The findings suggest that households with more purchasing-power are likely to consult medical</w:t>
      </w:r>
      <w:r>
        <w:rPr>
          <w:spacing w:val="1"/>
        </w:rPr>
        <w:t> </w:t>
      </w:r>
      <w:r>
        <w:rPr/>
        <w:t>doctors and nurses for healthcare services. A similar income-effect was established in existing</w:t>
      </w:r>
      <w:r>
        <w:rPr>
          <w:spacing w:val="1"/>
        </w:rPr>
        <w:t> </w:t>
      </w:r>
      <w:r>
        <w:rPr/>
        <w:t>empirical literature such as, Bayar (2016) and Nonvignon </w:t>
      </w:r>
      <w:r>
        <w:rPr>
          <w:i/>
        </w:rPr>
        <w:t>et al. </w:t>
      </w:r>
      <w:r>
        <w:rPr/>
        <w:t>(2017). However, dividend from</w:t>
      </w:r>
      <w:r>
        <w:rPr>
          <w:spacing w:val="1"/>
        </w:rPr>
        <w:t> </w:t>
      </w:r>
      <w:r>
        <w:rPr/>
        <w:t>investments was found inverse and significant. The reason for this was not clearly known as it is</w:t>
      </w:r>
      <w:r>
        <w:rPr>
          <w:spacing w:val="1"/>
        </w:rPr>
        <w:t> </w:t>
      </w:r>
      <w:r>
        <w:rPr/>
        <w:t>counter-intuitive to the study’s expectation. Perhaps capital gain/dividends are the biggest drivers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income inequality.</w:t>
      </w:r>
    </w:p>
    <w:p>
      <w:pPr>
        <w:pStyle w:val="BodyText"/>
        <w:spacing w:line="360" w:lineRule="auto" w:before="138"/>
        <w:ind w:left="120" w:right="111"/>
        <w:jc w:val="both"/>
      </w:pPr>
      <w:r>
        <w:rPr/>
        <w:t>The effects of Gini-coefficient’s estimate on healthcare seeking is negative and significant at 1%</w:t>
      </w:r>
      <w:r>
        <w:rPr>
          <w:spacing w:val="1"/>
        </w:rPr>
        <w:t> </w:t>
      </w:r>
      <w:r>
        <w:rPr/>
        <w:t>level,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line</w:t>
      </w:r>
      <w:r>
        <w:rPr>
          <w:spacing w:val="-11"/>
        </w:rPr>
        <w:t> </w:t>
      </w:r>
      <w:r>
        <w:rPr/>
        <w:t>with</w:t>
      </w:r>
      <w:r>
        <w:rPr>
          <w:spacing w:val="-9"/>
        </w:rPr>
        <w:t> </w:t>
      </w:r>
      <w:r>
        <w:rPr>
          <w:i/>
        </w:rPr>
        <w:t>a</w:t>
      </w:r>
      <w:r>
        <w:rPr>
          <w:i/>
          <w:spacing w:val="-8"/>
        </w:rPr>
        <w:t> </w:t>
      </w:r>
      <w:r>
        <w:rPr>
          <w:i/>
        </w:rPr>
        <w:t>priori</w:t>
      </w:r>
      <w:r>
        <w:rPr/>
        <w:t>.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specific</w:t>
      </w:r>
      <w:r>
        <w:rPr>
          <w:spacing w:val="-12"/>
        </w:rPr>
        <w:t> </w:t>
      </w:r>
      <w:r>
        <w:rPr/>
        <w:t>terms,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percentage-point</w:t>
      </w:r>
      <w:r>
        <w:rPr>
          <w:spacing w:val="-9"/>
        </w:rPr>
        <w:t> </w:t>
      </w:r>
      <w:r>
        <w:rPr/>
        <w:t>increase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income</w:t>
      </w:r>
      <w:r>
        <w:rPr>
          <w:spacing w:val="-11"/>
        </w:rPr>
        <w:t> </w:t>
      </w:r>
      <w:r>
        <w:rPr/>
        <w:t>inequality</w:t>
      </w:r>
      <w:r>
        <w:rPr>
          <w:spacing w:val="-14"/>
        </w:rPr>
        <w:t> </w:t>
      </w:r>
      <w:r>
        <w:rPr/>
        <w:t>have</w:t>
      </w:r>
      <w:r>
        <w:rPr>
          <w:spacing w:val="-57"/>
        </w:rPr>
        <w:t> </w:t>
      </w:r>
      <w:r>
        <w:rPr/>
        <w:t>the likelihood to reduce access to appropriate </w:t>
      </w:r>
      <w:r>
        <w:rPr>
          <w:sz w:val="23"/>
        </w:rPr>
        <w:t>medical-care </w:t>
      </w:r>
      <w:r>
        <w:rPr/>
        <w:t>utilization by 4.36% points. This may</w:t>
      </w:r>
      <w:r>
        <w:rPr>
          <w:spacing w:val="1"/>
        </w:rPr>
        <w:t> </w:t>
      </w:r>
      <w:r>
        <w:rPr/>
        <w:t>be attributed to the fact that when those at the top of income quintile buy their health services</w:t>
      </w:r>
      <w:r>
        <w:rPr>
          <w:spacing w:val="1"/>
        </w:rPr>
        <w:t> </w:t>
      </w:r>
      <w:r>
        <w:rPr/>
        <w:t>individually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privately,</w:t>
      </w:r>
      <w:r>
        <w:rPr>
          <w:spacing w:val="-1"/>
        </w:rPr>
        <w:t> </w:t>
      </w:r>
      <w:r>
        <w:rPr/>
        <w:t>they</w:t>
      </w:r>
      <w:r>
        <w:rPr>
          <w:spacing w:val="-7"/>
        </w:rPr>
        <w:t> </w:t>
      </w:r>
      <w:r>
        <w:rPr/>
        <w:t>have</w:t>
      </w:r>
      <w:r>
        <w:rPr>
          <w:spacing w:val="-4"/>
        </w:rPr>
        <w:t> </w:t>
      </w:r>
      <w:r>
        <w:rPr/>
        <w:t>less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stake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4"/>
        </w:rPr>
        <w:t> </w:t>
      </w:r>
      <w:r>
        <w:rPr/>
        <w:t>provision of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wider</w:t>
      </w:r>
      <w:r>
        <w:rPr>
          <w:spacing w:val="-11"/>
        </w:rPr>
        <w:t> </w:t>
      </w:r>
      <w:r>
        <w:rPr>
          <w:spacing w:val="-1"/>
        </w:rPr>
        <w:t>population.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way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richest</w:t>
      </w:r>
      <w:r>
        <w:rPr>
          <w:spacing w:val="-9"/>
        </w:rPr>
        <w:t> </w:t>
      </w:r>
      <w:r>
        <w:rPr/>
        <w:t>capture</w:t>
      </w:r>
      <w:r>
        <w:rPr>
          <w:spacing w:val="-11"/>
        </w:rPr>
        <w:t> </w:t>
      </w:r>
      <w:r>
        <w:rPr/>
        <w:t>opportunities,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then</w:t>
      </w:r>
      <w:r>
        <w:rPr>
          <w:spacing w:val="-7"/>
        </w:rPr>
        <w:t> </w:t>
      </w:r>
      <w:r>
        <w:rPr/>
        <w:t>become</w:t>
      </w:r>
      <w:r>
        <w:rPr>
          <w:spacing w:val="-10"/>
        </w:rPr>
        <w:t> </w:t>
      </w:r>
      <w:r>
        <w:rPr/>
        <w:t>closed</w:t>
      </w:r>
      <w:r>
        <w:rPr>
          <w:spacing w:val="-10"/>
        </w:rPr>
        <w:t> </w:t>
      </w:r>
      <w:r>
        <w:rPr/>
        <w:t>off</w:t>
      </w:r>
      <w:r>
        <w:rPr>
          <w:spacing w:val="-8"/>
        </w:rPr>
        <w:t> </w:t>
      </w:r>
      <w:r>
        <w:rPr/>
        <w:t>from</w:t>
      </w:r>
      <w:r>
        <w:rPr>
          <w:spacing w:val="-58"/>
        </w:rPr>
        <w:t> </w:t>
      </w:r>
      <w:r>
        <w:rPr/>
        <w:t>those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do not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the means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pay. All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threaten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efficiency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sustainability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5"/>
        <w:jc w:val="both"/>
      </w:pP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public</w:t>
      </w:r>
      <w:r>
        <w:rPr>
          <w:spacing w:val="-11"/>
        </w:rPr>
        <w:t> </w:t>
      </w:r>
      <w:r>
        <w:rPr/>
        <w:t>health</w:t>
      </w:r>
      <w:r>
        <w:rPr>
          <w:spacing w:val="-10"/>
        </w:rPr>
        <w:t> </w:t>
      </w:r>
      <w:r>
        <w:rPr>
          <w:sz w:val="23"/>
        </w:rPr>
        <w:t>facilities,</w:t>
      </w:r>
      <w:r>
        <w:rPr>
          <w:spacing w:val="-5"/>
          <w:sz w:val="23"/>
        </w:rPr>
        <w:t> </w:t>
      </w:r>
      <w:r>
        <w:rPr/>
        <w:t>while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>
          <w:sz w:val="23"/>
        </w:rPr>
        <w:t>majority</w:t>
      </w:r>
      <w:r>
        <w:rPr>
          <w:spacing w:val="-11"/>
          <w:sz w:val="23"/>
        </w:rPr>
        <w:t> </w:t>
      </w:r>
      <w:r>
        <w:rPr/>
        <w:t>with</w:t>
      </w:r>
      <w:r>
        <w:rPr>
          <w:spacing w:val="-9"/>
        </w:rPr>
        <w:t> </w:t>
      </w:r>
      <w:r>
        <w:rPr/>
        <w:t>lower</w:t>
      </w:r>
      <w:r>
        <w:rPr>
          <w:spacing w:val="-11"/>
        </w:rPr>
        <w:t> </w:t>
      </w:r>
      <w:r>
        <w:rPr/>
        <w:t>incomes</w:t>
      </w:r>
      <w:r>
        <w:rPr>
          <w:spacing w:val="-9"/>
        </w:rPr>
        <w:t> </w:t>
      </w:r>
      <w:r>
        <w:rPr>
          <w:sz w:val="23"/>
        </w:rPr>
        <w:t>cannot</w:t>
      </w:r>
      <w:r>
        <w:rPr>
          <w:spacing w:val="-9"/>
          <w:sz w:val="23"/>
        </w:rPr>
        <w:t> </w:t>
      </w:r>
      <w:r>
        <w:rPr/>
        <w:t>afford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pay</w:t>
      </w:r>
      <w:r>
        <w:rPr>
          <w:spacing w:val="-15"/>
        </w:rPr>
        <w:t> </w:t>
      </w:r>
      <w:r>
        <w:rPr/>
        <w:t>for</w:t>
      </w:r>
      <w:r>
        <w:rPr>
          <w:spacing w:val="-10"/>
        </w:rPr>
        <w:t> </w:t>
      </w:r>
      <w:r>
        <w:rPr>
          <w:sz w:val="23"/>
        </w:rPr>
        <w:t>private</w:t>
      </w:r>
      <w:r>
        <w:rPr>
          <w:spacing w:val="-55"/>
          <w:sz w:val="23"/>
        </w:rPr>
        <w:t> </w:t>
      </w:r>
      <w:r>
        <w:rPr>
          <w:sz w:val="23"/>
        </w:rPr>
        <w:t>medical </w:t>
      </w:r>
      <w:r>
        <w:rPr/>
        <w:t>costs. This in turn, encourage self-medication and seeking healthcare from inappropriate</w:t>
      </w:r>
      <w:r>
        <w:rPr>
          <w:spacing w:val="1"/>
        </w:rPr>
        <w:t> </w:t>
      </w:r>
      <w:r>
        <w:rPr>
          <w:spacing w:val="-1"/>
        </w:rPr>
        <w:t>sources,</w:t>
      </w:r>
      <w:r>
        <w:rPr>
          <w:spacing w:val="-15"/>
        </w:rPr>
        <w:t> </w:t>
      </w:r>
      <w:r>
        <w:rPr>
          <w:spacing w:val="-1"/>
        </w:rPr>
        <w:t>such</w:t>
      </w:r>
      <w:r>
        <w:rPr>
          <w:spacing w:val="-15"/>
        </w:rPr>
        <w:t> </w:t>
      </w:r>
      <w:r>
        <w:rPr/>
        <w:t>as,</w:t>
      </w:r>
      <w:r>
        <w:rPr>
          <w:spacing w:val="-12"/>
        </w:rPr>
        <w:t> </w:t>
      </w:r>
      <w:r>
        <w:rPr/>
        <w:t>traditional</w:t>
      </w:r>
      <w:r>
        <w:rPr>
          <w:spacing w:val="-15"/>
        </w:rPr>
        <w:t> </w:t>
      </w:r>
      <w:r>
        <w:rPr/>
        <w:t>healer,</w:t>
      </w:r>
      <w:r>
        <w:rPr>
          <w:spacing w:val="-16"/>
        </w:rPr>
        <w:t> </w:t>
      </w:r>
      <w:r>
        <w:rPr/>
        <w:t>patent</w:t>
      </w:r>
      <w:r>
        <w:rPr>
          <w:spacing w:val="-13"/>
        </w:rPr>
        <w:t> </w:t>
      </w:r>
      <w:r>
        <w:rPr/>
        <w:t>vendor,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spiritualist.</w:t>
      </w:r>
      <w:r>
        <w:rPr>
          <w:spacing w:val="-14"/>
        </w:rPr>
        <w:t> </w:t>
      </w:r>
      <w:r>
        <w:rPr/>
        <w:t>There</w:t>
      </w:r>
      <w:r>
        <w:rPr>
          <w:spacing w:val="-17"/>
        </w:rPr>
        <w:t> </w:t>
      </w:r>
      <w:r>
        <w:rPr/>
        <w:t>is</w:t>
      </w:r>
      <w:r>
        <w:rPr>
          <w:spacing w:val="-11"/>
        </w:rPr>
        <w:t> </w:t>
      </w:r>
      <w:r>
        <w:rPr/>
        <w:t>also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growing</w:t>
      </w:r>
      <w:r>
        <w:rPr>
          <w:spacing w:val="-15"/>
        </w:rPr>
        <w:t> </w:t>
      </w:r>
      <w:r>
        <w:rPr/>
        <w:t>evidence</w:t>
      </w:r>
      <w:r>
        <w:rPr>
          <w:spacing w:val="-57"/>
        </w:rPr>
        <w:t> </w:t>
      </w:r>
      <w:r>
        <w:rPr/>
        <w:t>(see,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example,</w:t>
      </w:r>
      <w:r>
        <w:rPr>
          <w:spacing w:val="-8"/>
        </w:rPr>
        <w:t> </w:t>
      </w:r>
      <w:r>
        <w:rPr/>
        <w:t>Fagbemigbe,</w:t>
      </w:r>
      <w:r>
        <w:rPr>
          <w:spacing w:val="-9"/>
        </w:rPr>
        <w:t> </w:t>
      </w:r>
      <w:r>
        <w:rPr/>
        <w:t>2015;</w:t>
      </w:r>
      <w:r>
        <w:rPr>
          <w:spacing w:val="-5"/>
        </w:rPr>
        <w:t> </w:t>
      </w:r>
      <w:r>
        <w:rPr/>
        <w:t>Abiola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7"/>
        </w:rPr>
        <w:t> </w:t>
      </w:r>
      <w:r>
        <w:rPr/>
        <w:t>2018:381)</w:t>
      </w:r>
      <w:r>
        <w:rPr>
          <w:spacing w:val="-9"/>
        </w:rPr>
        <w:t> </w:t>
      </w:r>
      <w:r>
        <w:rPr/>
        <w:t>that</w:t>
      </w:r>
      <w:r>
        <w:rPr>
          <w:spacing w:val="-5"/>
        </w:rPr>
        <w:t> </w:t>
      </w:r>
      <w:r>
        <w:rPr/>
        <w:t>citizens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likely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seek</w:t>
      </w:r>
      <w:r>
        <w:rPr>
          <w:spacing w:val="-58"/>
        </w:rPr>
        <w:t> </w:t>
      </w:r>
      <w:r>
        <w:rPr/>
        <w:t>treatment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low-cost</w:t>
      </w:r>
      <w:r>
        <w:rPr>
          <w:spacing w:val="-6"/>
        </w:rPr>
        <w:t> </w:t>
      </w:r>
      <w:r>
        <w:rPr/>
        <w:t>public</w:t>
      </w:r>
      <w:r>
        <w:rPr>
          <w:spacing w:val="-8"/>
        </w:rPr>
        <w:t> </w:t>
      </w:r>
      <w:r>
        <w:rPr/>
        <w:t>providers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Nigeria.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reinforces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role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efficient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accessible public health facilities.</w:t>
      </w:r>
    </w:p>
    <w:p>
      <w:pPr>
        <w:pStyle w:val="BodyText"/>
        <w:spacing w:line="360" w:lineRule="auto" w:before="185"/>
        <w:ind w:left="120" w:right="116"/>
        <w:jc w:val="both"/>
      </w:pPr>
      <w:r>
        <w:rPr/>
        <w:t>Similar result was found for constant variable. The negative sign of constant value is significant.</w:t>
      </w:r>
      <w:r>
        <w:rPr>
          <w:spacing w:val="1"/>
        </w:rPr>
        <w:t> </w:t>
      </w:r>
      <w:r>
        <w:rPr/>
        <w:t>This however suggests that there may be other factors that threatens appropriate HSB of citizens.</w:t>
      </w:r>
      <w:r>
        <w:rPr>
          <w:spacing w:val="-57"/>
        </w:rPr>
        <w:t> </w:t>
      </w:r>
      <w:r>
        <w:rPr/>
        <w:t>These may include, corruption and inefficiency. In overall, the model is highly significant at p &lt;</w:t>
      </w:r>
      <w:r>
        <w:rPr>
          <w:spacing w:val="1"/>
        </w:rPr>
        <w:t> </w:t>
      </w:r>
      <w:r>
        <w:rPr>
          <w:spacing w:val="-1"/>
        </w:rPr>
        <w:t>0.0001,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62%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z w:val="23"/>
        </w:rPr>
        <w:t>Pseudo</w:t>
      </w:r>
      <w:r>
        <w:rPr>
          <w:spacing w:val="-15"/>
          <w:sz w:val="23"/>
        </w:rPr>
        <w:t> </w:t>
      </w:r>
      <w:r>
        <w:rPr>
          <w:sz w:val="23"/>
        </w:rPr>
        <w:t>R</w:t>
      </w:r>
      <w:r>
        <w:rPr>
          <w:sz w:val="23"/>
          <w:vertAlign w:val="superscript"/>
        </w:rPr>
        <w:t>2</w:t>
      </w:r>
      <w:r>
        <w:rPr>
          <w:vertAlign w:val="baseline"/>
        </w:rPr>
        <w:t>.</w:t>
      </w:r>
      <w:r>
        <w:rPr>
          <w:spacing w:val="-14"/>
          <w:vertAlign w:val="baseline"/>
        </w:rPr>
        <w:t> </w:t>
      </w:r>
      <w:r>
        <w:rPr>
          <w:vertAlign w:val="baseline"/>
        </w:rPr>
        <w:t>These</w:t>
      </w:r>
      <w:r>
        <w:rPr>
          <w:spacing w:val="-16"/>
          <w:vertAlign w:val="baseline"/>
        </w:rPr>
        <w:t> </w:t>
      </w:r>
      <w:r>
        <w:rPr>
          <w:vertAlign w:val="baseline"/>
        </w:rPr>
        <w:t>suggest</w:t>
      </w:r>
      <w:r>
        <w:rPr>
          <w:spacing w:val="-13"/>
          <w:vertAlign w:val="baseline"/>
        </w:rPr>
        <w:t> </w:t>
      </w:r>
      <w:r>
        <w:rPr>
          <w:vertAlign w:val="baseline"/>
        </w:rPr>
        <w:t>that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5"/>
          <w:vertAlign w:val="baseline"/>
        </w:rPr>
        <w:t> </w:t>
      </w:r>
      <w:r>
        <w:rPr>
          <w:sz w:val="23"/>
          <w:vertAlign w:val="baseline"/>
        </w:rPr>
        <w:t>POLS</w:t>
      </w:r>
      <w:r>
        <w:rPr>
          <w:spacing w:val="-12"/>
          <w:sz w:val="23"/>
          <w:vertAlign w:val="baseline"/>
        </w:rPr>
        <w:t> </w:t>
      </w:r>
      <w:r>
        <w:rPr>
          <w:vertAlign w:val="baseline"/>
        </w:rPr>
        <w:t>model</w:t>
      </w:r>
      <w:r>
        <w:rPr>
          <w:spacing w:val="-15"/>
          <w:vertAlign w:val="baseline"/>
        </w:rPr>
        <w:t> </w:t>
      </w:r>
      <w:r>
        <w:rPr>
          <w:vertAlign w:val="baseline"/>
        </w:rPr>
        <w:t>has</w:t>
      </w:r>
      <w:r>
        <w:rPr>
          <w:spacing w:val="-12"/>
          <w:vertAlign w:val="baseline"/>
        </w:rPr>
        <w:t> </w:t>
      </w:r>
      <w:r>
        <w:rPr>
          <w:vertAlign w:val="baseline"/>
        </w:rPr>
        <w:t>a</w:t>
      </w:r>
      <w:r>
        <w:rPr>
          <w:spacing w:val="-15"/>
          <w:vertAlign w:val="baseline"/>
        </w:rPr>
        <w:t> </w:t>
      </w:r>
      <w:r>
        <w:rPr>
          <w:vertAlign w:val="baseline"/>
        </w:rPr>
        <w:t>strong</w:t>
      </w:r>
      <w:r>
        <w:rPr>
          <w:spacing w:val="-16"/>
          <w:vertAlign w:val="baseline"/>
        </w:rPr>
        <w:t> </w:t>
      </w:r>
      <w:r>
        <w:rPr>
          <w:vertAlign w:val="baseline"/>
        </w:rPr>
        <w:t>explaining</w:t>
      </w:r>
      <w:r>
        <w:rPr>
          <w:spacing w:val="-16"/>
          <w:vertAlign w:val="baseline"/>
        </w:rPr>
        <w:t> </w:t>
      </w:r>
      <w:r>
        <w:rPr>
          <w:vertAlign w:val="baseline"/>
        </w:rPr>
        <w:t>power.</w:t>
      </w:r>
    </w:p>
    <w:p>
      <w:pPr>
        <w:pStyle w:val="BodyText"/>
        <w:spacing w:line="360" w:lineRule="auto" w:before="162"/>
        <w:ind w:left="120" w:right="112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second</w:t>
      </w:r>
      <w:r>
        <w:rPr>
          <w:spacing w:val="-12"/>
        </w:rPr>
        <w:t> </w:t>
      </w:r>
      <w:r>
        <w:rPr>
          <w:spacing w:val="-1"/>
        </w:rPr>
        <w:t>model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Fixed</w:t>
      </w:r>
      <w:r>
        <w:rPr>
          <w:spacing w:val="-11"/>
        </w:rPr>
        <w:t> </w:t>
      </w:r>
      <w:r>
        <w:rPr>
          <w:spacing w:val="-1"/>
        </w:rPr>
        <w:t>Effect</w:t>
      </w:r>
      <w:r>
        <w:rPr>
          <w:spacing w:val="-12"/>
        </w:rPr>
        <w:t> </w:t>
      </w:r>
      <w:r>
        <w:rPr/>
        <w:t>(FE)</w:t>
      </w:r>
      <w:r>
        <w:rPr>
          <w:spacing w:val="-11"/>
        </w:rPr>
        <w:t> </w:t>
      </w:r>
      <w:r>
        <w:rPr/>
        <w:t>estimation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presented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Table</w:t>
      </w:r>
      <w:r>
        <w:rPr>
          <w:spacing w:val="-13"/>
        </w:rPr>
        <w:t> </w:t>
      </w:r>
      <w:r>
        <w:rPr/>
        <w:t>5.20.</w:t>
      </w:r>
      <w:r>
        <w:rPr>
          <w:spacing w:val="-8"/>
        </w:rPr>
        <w:t> </w:t>
      </w:r>
      <w:r>
        <w:rPr/>
        <w:t>Like</w:t>
      </w:r>
      <w:r>
        <w:rPr>
          <w:spacing w:val="-12"/>
        </w:rPr>
        <w:t> </w:t>
      </w:r>
      <w:r>
        <w:rPr/>
        <w:t>POL</w:t>
      </w:r>
      <w:r>
        <w:rPr>
          <w:spacing w:val="-15"/>
        </w:rPr>
        <w:t> </w:t>
      </w:r>
      <w:r>
        <w:rPr/>
        <w:t>regression,</w:t>
      </w:r>
      <w:r>
        <w:rPr>
          <w:spacing w:val="-58"/>
        </w:rPr>
        <w:t> </w:t>
      </w:r>
      <w:r>
        <w:rPr/>
        <w:t>the signs of several of the </w:t>
      </w:r>
      <w:r>
        <w:rPr>
          <w:sz w:val="23"/>
        </w:rPr>
        <w:t>explanatory </w:t>
      </w:r>
      <w:r>
        <w:rPr/>
        <w:t>variables are as expected, though some are not. For</w:t>
      </w:r>
      <w:r>
        <w:rPr>
          <w:spacing w:val="1"/>
        </w:rPr>
        <w:t> </w:t>
      </w:r>
      <w:r>
        <w:rPr/>
        <w:t>household’s size, the estimate shows an inverse and significant effect of rising household’s</w:t>
      </w:r>
      <w:r>
        <w:rPr>
          <w:spacing w:val="1"/>
        </w:rPr>
        <w:t> </w:t>
      </w:r>
      <w:r>
        <w:rPr/>
        <w:t>membership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appropriate</w:t>
      </w:r>
      <w:r>
        <w:rPr>
          <w:spacing w:val="-9"/>
        </w:rPr>
        <w:t> </w:t>
      </w:r>
      <w:r>
        <w:rPr/>
        <w:t>HSB.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another</w:t>
      </w:r>
      <w:r>
        <w:rPr>
          <w:spacing w:val="-10"/>
        </w:rPr>
        <w:t> </w:t>
      </w:r>
      <w:r>
        <w:rPr/>
        <w:t>words,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presence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rising</w:t>
      </w:r>
      <w:r>
        <w:rPr>
          <w:spacing w:val="-8"/>
        </w:rPr>
        <w:t> </w:t>
      </w:r>
      <w:r>
        <w:rPr/>
        <w:t>income</w:t>
      </w:r>
      <w:r>
        <w:rPr>
          <w:spacing w:val="-10"/>
        </w:rPr>
        <w:t> </w:t>
      </w:r>
      <w:r>
        <w:rPr/>
        <w:t>disparity,</w:t>
      </w:r>
      <w:r>
        <w:rPr>
          <w:spacing w:val="-9"/>
        </w:rPr>
        <w:t> </w:t>
      </w:r>
      <w:r>
        <w:rPr/>
        <w:t>any</w:t>
      </w:r>
      <w:r>
        <w:rPr>
          <w:spacing w:val="-58"/>
        </w:rPr>
        <w:t> </w:t>
      </w:r>
      <w:r>
        <w:rPr/>
        <w:t>addition in family size will lead to inappropriate HSB by 7.5%. This result is not surprising as it</w:t>
      </w:r>
      <w:r>
        <w:rPr>
          <w:spacing w:val="1"/>
        </w:rPr>
        <w:t> </w:t>
      </w:r>
      <w:r>
        <w:rPr/>
        <w:t>is</w:t>
      </w:r>
      <w:r>
        <w:rPr>
          <w:spacing w:val="-6"/>
        </w:rPr>
        <w:t> </w:t>
      </w:r>
      <w:r>
        <w:rPr/>
        <w:t>consistent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POLS</w:t>
      </w:r>
      <w:r>
        <w:rPr>
          <w:spacing w:val="-5"/>
        </w:rPr>
        <w:t> </w:t>
      </w:r>
      <w:r>
        <w:rPr/>
        <w:t>finding,</w:t>
      </w:r>
      <w:r>
        <w:rPr>
          <w:spacing w:val="-3"/>
        </w:rPr>
        <w:t> </w:t>
      </w:r>
      <w:r>
        <w:rPr>
          <w:i/>
        </w:rPr>
        <w:t>a</w:t>
      </w:r>
      <w:r>
        <w:rPr>
          <w:i/>
          <w:spacing w:val="-6"/>
        </w:rPr>
        <w:t> </w:t>
      </w:r>
      <w:r>
        <w:rPr>
          <w:i/>
        </w:rPr>
        <w:t>priori</w:t>
      </w:r>
      <w:r>
        <w:rPr>
          <w:i/>
          <w:spacing w:val="-4"/>
        </w:rPr>
        <w:t> </w:t>
      </w:r>
      <w:r>
        <w:rPr/>
        <w:t>expectation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Grossman’s</w:t>
      </w:r>
      <w:r>
        <w:rPr>
          <w:spacing w:val="-7"/>
        </w:rPr>
        <w:t> </w:t>
      </w:r>
      <w:r>
        <w:rPr/>
        <w:t>ideas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largest</w:t>
      </w:r>
      <w:r>
        <w:rPr>
          <w:spacing w:val="-6"/>
        </w:rPr>
        <w:t> </w:t>
      </w:r>
      <w:r>
        <w:rPr/>
        <w:t>family</w:t>
      </w:r>
      <w:r>
        <w:rPr>
          <w:spacing w:val="-57"/>
        </w:rPr>
        <w:t> </w:t>
      </w:r>
      <w:r>
        <w:rPr/>
        <w:t>sizes,</w:t>
      </w:r>
      <w:r>
        <w:rPr>
          <w:spacing w:val="-1"/>
        </w:rPr>
        <w:t> </w:t>
      </w:r>
      <w:r>
        <w:rPr/>
        <w:t>and fewest resources associated with seeking</w:t>
      </w:r>
      <w:r>
        <w:rPr>
          <w:spacing w:val="-3"/>
        </w:rPr>
        <w:t> </w:t>
      </w:r>
      <w:r>
        <w:rPr/>
        <w:t>inappropriate medical-care.</w:t>
      </w:r>
    </w:p>
    <w:p>
      <w:pPr>
        <w:pStyle w:val="BodyText"/>
        <w:spacing w:line="360" w:lineRule="auto" w:before="160"/>
        <w:ind w:left="120" w:right="114"/>
        <w:jc w:val="both"/>
      </w:pPr>
      <w:r>
        <w:rPr/>
        <w:t>A</w:t>
      </w:r>
      <w:r>
        <w:rPr>
          <w:spacing w:val="-12"/>
        </w:rPr>
        <w:t> </w:t>
      </w:r>
      <w:r>
        <w:rPr/>
        <w:t>close</w:t>
      </w:r>
      <w:r>
        <w:rPr>
          <w:spacing w:val="-10"/>
        </w:rPr>
        <w:t> </w:t>
      </w:r>
      <w:r>
        <w:rPr/>
        <w:t>inspection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Table</w:t>
      </w:r>
      <w:r>
        <w:rPr>
          <w:spacing w:val="-12"/>
        </w:rPr>
        <w:t> </w:t>
      </w:r>
      <w:r>
        <w:rPr/>
        <w:t>5.20</w:t>
      </w:r>
      <w:r>
        <w:rPr>
          <w:spacing w:val="-9"/>
        </w:rPr>
        <w:t> </w:t>
      </w:r>
      <w:r>
        <w:rPr/>
        <w:t>further</w:t>
      </w:r>
      <w:r>
        <w:rPr>
          <w:spacing w:val="-11"/>
        </w:rPr>
        <w:t> </w:t>
      </w:r>
      <w:r>
        <w:rPr/>
        <w:t>shows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household</w:t>
      </w:r>
      <w:r>
        <w:rPr>
          <w:spacing w:val="-9"/>
        </w:rPr>
        <w:t> </w:t>
      </w:r>
      <w:r>
        <w:rPr/>
        <w:t>heads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no</w:t>
      </w:r>
      <w:r>
        <w:rPr>
          <w:spacing w:val="-8"/>
        </w:rPr>
        <w:t> </w:t>
      </w:r>
      <w:r>
        <w:rPr/>
        <w:t>basic</w:t>
      </w:r>
      <w:r>
        <w:rPr>
          <w:spacing w:val="-10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relate</w:t>
      </w:r>
      <w:r>
        <w:rPr>
          <w:spacing w:val="-57"/>
        </w:rPr>
        <w:t> </w:t>
      </w:r>
      <w:r>
        <w:rPr/>
        <w:t>inversely and significantly with seeking appropriate healthcare services in FE model. This result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contrary</w:t>
      </w:r>
      <w:r>
        <w:rPr>
          <w:spacing w:val="-15"/>
        </w:rPr>
        <w:t> </w:t>
      </w:r>
      <w:r>
        <w:rPr/>
        <w:t>to</w:t>
      </w:r>
      <w:r>
        <w:rPr>
          <w:spacing w:val="-9"/>
        </w:rPr>
        <w:t> </w:t>
      </w:r>
      <w:r>
        <w:rPr>
          <w:sz w:val="23"/>
        </w:rPr>
        <w:t>POLS</w:t>
      </w:r>
      <w:r>
        <w:rPr>
          <w:spacing w:val="-6"/>
          <w:sz w:val="23"/>
        </w:rPr>
        <w:t> </w:t>
      </w:r>
      <w:r>
        <w:rPr>
          <w:sz w:val="23"/>
        </w:rPr>
        <w:t>finding</w:t>
      </w:r>
      <w:r>
        <w:rPr/>
        <w:t>,</w:t>
      </w:r>
      <w:r>
        <w:rPr>
          <w:spacing w:val="-10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line</w:t>
      </w:r>
      <w:r>
        <w:rPr>
          <w:spacing w:val="-6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z w:val="23"/>
        </w:rPr>
        <w:t>study’s</w:t>
      </w:r>
      <w:r>
        <w:rPr>
          <w:spacing w:val="-7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-8"/>
          <w:sz w:val="23"/>
        </w:rPr>
        <w:t> </w:t>
      </w:r>
      <w:r>
        <w:rPr>
          <w:i/>
          <w:sz w:val="23"/>
        </w:rPr>
        <w:t>priori</w:t>
      </w:r>
      <w:r>
        <w:rPr>
          <w:i/>
          <w:spacing w:val="-6"/>
          <w:sz w:val="23"/>
        </w:rPr>
        <w:t> </w:t>
      </w:r>
      <w:r>
        <w:rPr/>
        <w:t>expectation.</w:t>
      </w:r>
      <w:r>
        <w:rPr>
          <w:spacing w:val="-9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other</w:t>
      </w:r>
      <w:r>
        <w:rPr>
          <w:spacing w:val="-57"/>
        </w:rPr>
        <w:t> </w:t>
      </w:r>
      <w:r>
        <w:rPr/>
        <w:t>hand, those heads with primary, secondary and higher educational qualifications were mostly</w:t>
      </w:r>
      <w:r>
        <w:rPr>
          <w:spacing w:val="1"/>
        </w:rPr>
        <w:t> </w:t>
      </w:r>
      <w:r>
        <w:rPr/>
        <w:t>statistically significant and positively related. This reinforce the POLS result that, as the head of</w:t>
      </w:r>
      <w:r>
        <w:rPr>
          <w:spacing w:val="1"/>
        </w:rPr>
        <w:t> </w:t>
      </w:r>
      <w:r>
        <w:rPr/>
        <w:t>household</w:t>
      </w:r>
      <w:r>
        <w:rPr>
          <w:spacing w:val="-4"/>
        </w:rPr>
        <w:t> </w:t>
      </w:r>
      <w:r>
        <w:rPr/>
        <w:t>become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educated,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household</w:t>
      </w:r>
      <w:r>
        <w:rPr>
          <w:spacing w:val="-4"/>
        </w:rPr>
        <w:t> </w:t>
      </w:r>
      <w:r>
        <w:rPr/>
        <w:t>might</w:t>
      </w:r>
      <w:r>
        <w:rPr>
          <w:spacing w:val="-3"/>
        </w:rPr>
        <w:t> </w:t>
      </w:r>
      <w:r>
        <w:rPr/>
        <w:t>consult</w:t>
      </w:r>
      <w:r>
        <w:rPr>
          <w:spacing w:val="-4"/>
        </w:rPr>
        <w:t> </w:t>
      </w:r>
      <w:r>
        <w:rPr/>
        <w:t>orthodox</w:t>
      </w:r>
      <w:r>
        <w:rPr>
          <w:spacing w:val="-2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services.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likelihood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using</w:t>
      </w:r>
      <w:r>
        <w:rPr>
          <w:spacing w:val="-14"/>
        </w:rPr>
        <w:t> </w:t>
      </w:r>
      <w:r>
        <w:rPr/>
        <w:t>appropriate</w:t>
      </w:r>
      <w:r>
        <w:rPr>
          <w:spacing w:val="-15"/>
        </w:rPr>
        <w:t> </w:t>
      </w:r>
      <w:r>
        <w:rPr/>
        <w:t>medical-care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9%</w:t>
      </w:r>
      <w:r>
        <w:rPr>
          <w:spacing w:val="-13"/>
        </w:rPr>
        <w:t> </w:t>
      </w:r>
      <w:r>
        <w:rPr/>
        <w:t>for</w:t>
      </w:r>
      <w:r>
        <w:rPr>
          <w:spacing w:val="-16"/>
        </w:rPr>
        <w:t> </w:t>
      </w:r>
      <w:r>
        <w:rPr/>
        <w:t>those</w:t>
      </w:r>
      <w:r>
        <w:rPr>
          <w:spacing w:val="-12"/>
        </w:rPr>
        <w:t> </w:t>
      </w:r>
      <w:r>
        <w:rPr/>
        <w:t>with</w:t>
      </w:r>
      <w:r>
        <w:rPr>
          <w:spacing w:val="-14"/>
        </w:rPr>
        <w:t> </w:t>
      </w:r>
      <w:r>
        <w:rPr/>
        <w:t>higher</w:t>
      </w:r>
      <w:r>
        <w:rPr>
          <w:spacing w:val="-13"/>
        </w:rPr>
        <w:t> </w:t>
      </w:r>
      <w:r>
        <w:rPr/>
        <w:t>educational</w:t>
      </w:r>
      <w:r>
        <w:rPr>
          <w:spacing w:val="-14"/>
        </w:rPr>
        <w:t> </w:t>
      </w:r>
      <w:r>
        <w:rPr/>
        <w:t>qualifications.</w:t>
      </w:r>
    </w:p>
    <w:p>
      <w:pPr>
        <w:pStyle w:val="BodyText"/>
        <w:spacing w:line="360" w:lineRule="auto" w:before="163"/>
        <w:ind w:left="120" w:right="115"/>
        <w:jc w:val="both"/>
      </w:pPr>
      <w:r>
        <w:rPr/>
        <w:t>In</w:t>
      </w:r>
      <w:r>
        <w:rPr>
          <w:spacing w:val="-2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gender,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female</w:t>
      </w:r>
      <w:r>
        <w:rPr>
          <w:spacing w:val="-5"/>
        </w:rPr>
        <w:t> </w:t>
      </w:r>
      <w:r>
        <w:rPr/>
        <w:t>seek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appropriate</w:t>
      </w:r>
      <w:r>
        <w:rPr>
          <w:spacing w:val="-3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than</w:t>
      </w:r>
      <w:r>
        <w:rPr>
          <w:spacing w:val="-58"/>
        </w:rPr>
        <w:t> </w:t>
      </w:r>
      <w:r>
        <w:rPr>
          <w:spacing w:val="-1"/>
        </w:rPr>
        <w:t>male</w:t>
      </w:r>
      <w:r>
        <w:rPr>
          <w:spacing w:val="-9"/>
        </w:rPr>
        <w:t> </w:t>
      </w:r>
      <w:r>
        <w:rPr>
          <w:spacing w:val="-1"/>
        </w:rPr>
        <w:t>significantly.</w:t>
      </w:r>
      <w:r>
        <w:rPr>
          <w:spacing w:val="-7"/>
        </w:rPr>
        <w:t> </w:t>
      </w:r>
      <w:r>
        <w:rPr/>
        <w:t>Contrary</w:t>
      </w:r>
      <w:r>
        <w:rPr>
          <w:spacing w:val="-15"/>
        </w:rPr>
        <w:t> </w:t>
      </w:r>
      <w:r>
        <w:rPr/>
        <w:t>to</w:t>
      </w:r>
      <w:r>
        <w:rPr>
          <w:spacing w:val="-7"/>
        </w:rPr>
        <w:t> </w:t>
      </w:r>
      <w:r>
        <w:rPr/>
        <w:t>POLS,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male</w:t>
      </w:r>
      <w:r>
        <w:rPr>
          <w:spacing w:val="-9"/>
        </w:rPr>
        <w:t> </w:t>
      </w:r>
      <w:r>
        <w:rPr/>
        <w:t>estimate</w:t>
      </w:r>
      <w:r>
        <w:rPr>
          <w:spacing w:val="-8"/>
        </w:rPr>
        <w:t> </w:t>
      </w:r>
      <w:r>
        <w:rPr/>
        <w:t>is</w:t>
      </w:r>
      <w:r>
        <w:rPr>
          <w:spacing w:val="-4"/>
        </w:rPr>
        <w:t> </w:t>
      </w:r>
      <w:r>
        <w:rPr/>
        <w:t>negative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significant,</w:t>
      </w:r>
      <w:r>
        <w:rPr>
          <w:spacing w:val="-6"/>
        </w:rPr>
        <w:t> </w:t>
      </w:r>
      <w:r>
        <w:rPr/>
        <w:t>supporting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results in Umuna (2012) that the clinics are not man-friendly and there are barely any men who</w:t>
      </w:r>
      <w:r>
        <w:rPr>
          <w:spacing w:val="1"/>
        </w:rPr>
        <w:t> </w:t>
      </w:r>
      <w:r>
        <w:rPr>
          <w:spacing w:val="-1"/>
        </w:rPr>
        <w:t>come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seek</w:t>
      </w:r>
      <w:r>
        <w:rPr>
          <w:spacing w:val="-12"/>
        </w:rPr>
        <w:t> </w:t>
      </w:r>
      <w:r>
        <w:rPr/>
        <w:t>care.</w:t>
      </w:r>
      <w:r>
        <w:rPr>
          <w:spacing w:val="-12"/>
        </w:rPr>
        <w:t> </w:t>
      </w:r>
      <w:r>
        <w:rPr/>
        <w:t>Nevertheless,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effects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being</w:t>
      </w:r>
      <w:r>
        <w:rPr>
          <w:spacing w:val="-14"/>
        </w:rPr>
        <w:t> </w:t>
      </w:r>
      <w:r>
        <w:rPr/>
        <w:t>married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positive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statistically</w:t>
      </w:r>
      <w:r>
        <w:rPr>
          <w:spacing w:val="-17"/>
        </w:rPr>
        <w:t> </w:t>
      </w:r>
      <w:r>
        <w:rPr/>
        <w:t>significant</w:t>
      </w:r>
      <w:r>
        <w:rPr>
          <w:spacing w:val="-57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>
          <w:spacing w:val="-1"/>
        </w:rPr>
        <w:t>healthcare</w:t>
      </w:r>
      <w:r>
        <w:rPr>
          <w:spacing w:val="-15"/>
        </w:rPr>
        <w:t> </w:t>
      </w:r>
      <w:r>
        <w:rPr/>
        <w:t>consultation.</w:t>
      </w:r>
      <w:r>
        <w:rPr>
          <w:spacing w:val="-12"/>
        </w:rPr>
        <w:t> </w:t>
      </w:r>
      <w:r>
        <w:rPr/>
        <w:t>It</w:t>
      </w:r>
      <w:r>
        <w:rPr>
          <w:spacing w:val="-11"/>
        </w:rPr>
        <w:t> </w:t>
      </w:r>
      <w:r>
        <w:rPr/>
        <w:t>was</w:t>
      </w:r>
      <w:r>
        <w:rPr>
          <w:spacing w:val="-13"/>
        </w:rPr>
        <w:t> </w:t>
      </w:r>
      <w:r>
        <w:rPr/>
        <w:t>revealed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likelihood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seeking</w:t>
      </w:r>
      <w:r>
        <w:rPr>
          <w:spacing w:val="-17"/>
        </w:rPr>
        <w:t> </w:t>
      </w:r>
      <w:r>
        <w:rPr/>
        <w:t>medical-care</w:t>
      </w:r>
      <w:r>
        <w:rPr>
          <w:spacing w:val="-15"/>
        </w:rPr>
        <w:t> </w:t>
      </w:r>
      <w:r>
        <w:rPr/>
        <w:t>by</w:t>
      </w:r>
      <w:r>
        <w:rPr>
          <w:spacing w:val="-20"/>
        </w:rPr>
        <w:t> </w:t>
      </w:r>
      <w:r>
        <w:rPr/>
        <w:t>married</w:t>
      </w:r>
      <w:r>
        <w:rPr>
          <w:spacing w:val="-57"/>
        </w:rPr>
        <w:t> </w:t>
      </w:r>
      <w:r>
        <w:rPr/>
        <w:t>couple</w:t>
      </w:r>
      <w:r>
        <w:rPr>
          <w:spacing w:val="-1"/>
        </w:rPr>
        <w:t> </w:t>
      </w:r>
      <w:r>
        <w:rPr/>
        <w:t>is 2%.</w:t>
      </w:r>
      <w:r>
        <w:rPr>
          <w:spacing w:val="1"/>
        </w:rPr>
        <w:t> </w:t>
      </w:r>
      <w:r>
        <w:rPr/>
        <w:t>A possible</w:t>
      </w:r>
      <w:r>
        <w:rPr>
          <w:spacing w:val="1"/>
        </w:rPr>
        <w:t> </w:t>
      </w:r>
      <w:r>
        <w:rPr/>
        <w:t>explanation for this is, if</w:t>
      </w:r>
      <w:r>
        <w:rPr>
          <w:spacing w:val="1"/>
        </w:rPr>
        <w:t> </w:t>
      </w:r>
      <w:r>
        <w:rPr/>
        <w:t>rising</w:t>
      </w:r>
      <w:r>
        <w:rPr>
          <w:spacing w:val="-2"/>
        </w:rPr>
        <w:t> </w:t>
      </w:r>
      <w:r>
        <w:rPr/>
        <w:t>income</w:t>
      </w:r>
      <w:r>
        <w:rPr>
          <w:spacing w:val="2"/>
        </w:rPr>
        <w:t> </w:t>
      </w:r>
      <w:r>
        <w:rPr/>
        <w:t>disparity</w:t>
      </w:r>
      <w:r>
        <w:rPr>
          <w:spacing w:val="-3"/>
        </w:rPr>
        <w:t> </w:t>
      </w:r>
      <w:r>
        <w:rPr/>
        <w:t>means less purchasing-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4"/>
        <w:jc w:val="both"/>
      </w:pPr>
      <w:r>
        <w:rPr>
          <w:spacing w:val="-1"/>
        </w:rPr>
        <w:t>power,</w:t>
      </w:r>
      <w:r>
        <w:rPr>
          <w:spacing w:val="-13"/>
        </w:rPr>
        <w:t> </w:t>
      </w:r>
      <w:r>
        <w:rPr>
          <w:spacing w:val="-1"/>
          <w:sz w:val="23"/>
        </w:rPr>
        <w:t>couple</w:t>
      </w:r>
      <w:r>
        <w:rPr>
          <w:spacing w:val="-11"/>
          <w:sz w:val="23"/>
        </w:rPr>
        <w:t> </w:t>
      </w:r>
      <w:r>
        <w:rPr/>
        <w:t>could</w:t>
      </w:r>
      <w:r>
        <w:rPr>
          <w:spacing w:val="-12"/>
        </w:rPr>
        <w:t> </w:t>
      </w:r>
      <w:r>
        <w:rPr/>
        <w:t>pool</w:t>
      </w:r>
      <w:r>
        <w:rPr>
          <w:spacing w:val="-14"/>
        </w:rPr>
        <w:t> </w:t>
      </w:r>
      <w:r>
        <w:rPr/>
        <w:t>their</w:t>
      </w:r>
      <w:r>
        <w:rPr>
          <w:spacing w:val="-13"/>
        </w:rPr>
        <w:t> </w:t>
      </w:r>
      <w:r>
        <w:rPr/>
        <w:t>resources</w:t>
      </w:r>
      <w:r>
        <w:rPr>
          <w:spacing w:val="-11"/>
        </w:rPr>
        <w:t> </w:t>
      </w:r>
      <w:r>
        <w:rPr>
          <w:sz w:val="23"/>
        </w:rPr>
        <w:t>together</w:t>
      </w:r>
      <w:r>
        <w:rPr>
          <w:spacing w:val="-14"/>
          <w:sz w:val="23"/>
        </w:rPr>
        <w:t> </w:t>
      </w:r>
      <w:r>
        <w:rPr/>
        <w:t>to</w:t>
      </w:r>
      <w:r>
        <w:rPr>
          <w:spacing w:val="-13"/>
        </w:rPr>
        <w:t> </w:t>
      </w:r>
      <w:r>
        <w:rPr/>
        <w:t>seek</w:t>
      </w:r>
      <w:r>
        <w:rPr>
          <w:spacing w:val="-12"/>
        </w:rPr>
        <w:t> </w:t>
      </w:r>
      <w:r>
        <w:rPr/>
        <w:t>more</w:t>
      </w:r>
      <w:r>
        <w:rPr>
          <w:spacing w:val="-13"/>
        </w:rPr>
        <w:t> </w:t>
      </w:r>
      <w:r>
        <w:rPr>
          <w:sz w:val="23"/>
        </w:rPr>
        <w:t>orthodoxy</w:t>
      </w:r>
      <w:r>
        <w:rPr>
          <w:spacing w:val="-15"/>
          <w:sz w:val="23"/>
        </w:rPr>
        <w:t> </w:t>
      </w:r>
      <w:r>
        <w:rPr/>
        <w:t>healthcare</w:t>
      </w:r>
      <w:r>
        <w:rPr>
          <w:spacing w:val="-14"/>
        </w:rPr>
        <w:t> </w:t>
      </w:r>
      <w:r>
        <w:rPr/>
        <w:t>services.</w:t>
      </w:r>
      <w:r>
        <w:rPr>
          <w:spacing w:val="-11"/>
        </w:rPr>
        <w:t> </w:t>
      </w:r>
      <w:r>
        <w:rPr>
          <w:sz w:val="23"/>
        </w:rPr>
        <w:t>Being</w:t>
      </w:r>
      <w:r>
        <w:rPr>
          <w:spacing w:val="-55"/>
          <w:sz w:val="23"/>
        </w:rPr>
        <w:t> </w:t>
      </w:r>
      <w:r>
        <w:rPr/>
        <w:t>a single parent is significant but inversely related with seeking appropriate medical-care. The</w:t>
      </w:r>
      <w:r>
        <w:rPr>
          <w:spacing w:val="1"/>
        </w:rPr>
        <w:t> </w:t>
      </w:r>
      <w:r>
        <w:rPr/>
        <w:t>results for being widowed/widower connect with orthodox healthcare seeking positively and</w:t>
      </w:r>
      <w:r>
        <w:rPr>
          <w:spacing w:val="1"/>
        </w:rPr>
        <w:t> </w:t>
      </w:r>
      <w:r>
        <w:rPr>
          <w:sz w:val="23"/>
        </w:rPr>
        <w:t>significantly</w:t>
      </w:r>
      <w:r>
        <w:rPr/>
        <w:t>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finding</w:t>
      </w:r>
      <w:r>
        <w:rPr>
          <w:spacing w:val="-9"/>
        </w:rPr>
        <w:t> </w:t>
      </w:r>
      <w:r>
        <w:rPr/>
        <w:t>also</w:t>
      </w:r>
      <w:r>
        <w:rPr>
          <w:spacing w:val="-10"/>
        </w:rPr>
        <w:t> </w:t>
      </w:r>
      <w:r>
        <w:rPr/>
        <w:t>indicates</w:t>
      </w:r>
      <w:r>
        <w:rPr>
          <w:spacing w:val="-12"/>
        </w:rPr>
        <w:t> </w:t>
      </w:r>
      <w:r>
        <w:rPr/>
        <w:t>negative</w:t>
      </w:r>
      <w:r>
        <w:rPr>
          <w:spacing w:val="-10"/>
        </w:rPr>
        <w:t> </w:t>
      </w:r>
      <w:r>
        <w:rPr/>
        <w:t>income</w:t>
      </w:r>
      <w:r>
        <w:rPr>
          <w:spacing w:val="-11"/>
        </w:rPr>
        <w:t> </w:t>
      </w:r>
      <w:r>
        <w:rPr>
          <w:sz w:val="23"/>
        </w:rPr>
        <w:t>inequality-effect</w:t>
      </w:r>
      <w:r>
        <w:rPr>
          <w:spacing w:val="-7"/>
          <w:sz w:val="23"/>
        </w:rPr>
        <w:t> </w:t>
      </w:r>
      <w:r>
        <w:rPr/>
        <w:t>on</w:t>
      </w:r>
      <w:r>
        <w:rPr>
          <w:spacing w:val="-11"/>
        </w:rPr>
        <w:t> </w:t>
      </w:r>
      <w:r>
        <w:rPr/>
        <w:t>healthcare</w:t>
      </w:r>
      <w:r>
        <w:rPr>
          <w:spacing w:val="-13"/>
        </w:rPr>
        <w:t> </w:t>
      </w:r>
      <w:r>
        <w:rPr/>
        <w:t>seeking</w:t>
      </w:r>
      <w:r>
        <w:rPr>
          <w:spacing w:val="-11"/>
        </w:rPr>
        <w:t> </w:t>
      </w:r>
      <w:r>
        <w:rPr/>
        <w:t>for</w:t>
      </w:r>
      <w:r>
        <w:rPr>
          <w:spacing w:val="-58"/>
        </w:rPr>
        <w:t> </w:t>
      </w:r>
      <w:r>
        <w:rPr/>
        <w:t>singles but non-significant. Furthermore, the estimates show that when couple live together, the</w:t>
      </w:r>
      <w:r>
        <w:rPr>
          <w:spacing w:val="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of seeking</w:t>
      </w:r>
      <w:r>
        <w:rPr>
          <w:spacing w:val="-3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healthcare</w:t>
      </w:r>
      <w:r>
        <w:rPr>
          <w:spacing w:val="-1"/>
        </w:rPr>
        <w:t> </w:t>
      </w:r>
      <w:r>
        <w:rPr/>
        <w:t>is 1.4%.</w:t>
      </w:r>
    </w:p>
    <w:p>
      <w:pPr>
        <w:pStyle w:val="Heading4"/>
        <w:spacing w:before="188" w:after="3"/>
        <w:ind w:left="2362"/>
      </w:pPr>
      <w:r>
        <w:rPr/>
        <w:t>Table</w:t>
      </w:r>
      <w:r>
        <w:rPr>
          <w:spacing w:val="-2"/>
        </w:rPr>
        <w:t> </w:t>
      </w:r>
      <w:r>
        <w:rPr/>
        <w:t>5.20</w:t>
      </w:r>
      <w:r>
        <w:rPr>
          <w:spacing w:val="-1"/>
        </w:rPr>
        <w:t> </w:t>
      </w:r>
      <w:r>
        <w:rPr/>
        <w:t>Fixed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(NGHPS</w:t>
      </w:r>
      <w:r>
        <w:rPr>
          <w:spacing w:val="-1"/>
        </w:rPr>
        <w:t> </w:t>
      </w:r>
      <w:r>
        <w:rPr/>
        <w:t>Waves)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1"/>
        <w:gridCol w:w="2161"/>
        <w:gridCol w:w="1352"/>
        <w:gridCol w:w="1529"/>
      </w:tblGrid>
      <w:tr>
        <w:trPr>
          <w:trHeight w:val="251" w:hRule="atLeast"/>
        </w:trPr>
        <w:tc>
          <w:tcPr>
            <w:tcW w:w="9183" w:type="dxa"/>
            <w:gridSpan w:val="4"/>
          </w:tcPr>
          <w:p>
            <w:pPr>
              <w:pStyle w:val="TableParagraph"/>
              <w:spacing w:line="232" w:lineRule="exact"/>
              <w:ind w:left="880"/>
              <w:jc w:val="left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Dependent</w:t>
            </w:r>
            <w:r>
              <w:rPr>
                <w:rFonts w:asci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Variable:</w:t>
            </w:r>
            <w:r>
              <w:rPr>
                <w:rFonts w:ascii="Times New Roman"/>
                <w:i/>
                <w:spacing w:val="-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Appropriate</w:t>
            </w:r>
            <w:r>
              <w:rPr>
                <w:rFonts w:ascii="Times New Roman"/>
                <w:i/>
                <w:spacing w:val="-4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Medical-care</w:t>
            </w:r>
            <w:r>
              <w:rPr>
                <w:rFonts w:ascii="Times New Roman"/>
                <w:i/>
                <w:spacing w:val="-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Consultations</w:t>
            </w:r>
            <w:r>
              <w:rPr>
                <w:rFonts w:asci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(in</w:t>
            </w:r>
            <w:r>
              <w:rPr>
                <w:rFonts w:ascii="Times New Roman"/>
                <w:i/>
                <w:spacing w:val="-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times</w:t>
            </w:r>
            <w:r>
              <w:rPr>
                <w:rFonts w:ascii="Times New Roman"/>
                <w:i/>
                <w:spacing w:val="-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of</w:t>
            </w:r>
            <w:r>
              <w:rPr>
                <w:rFonts w:ascii="Times New Roman"/>
                <w:i/>
                <w:spacing w:val="-4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illnesses)</w:t>
            </w:r>
          </w:p>
        </w:tc>
      </w:tr>
      <w:tr>
        <w:trPr>
          <w:trHeight w:val="251" w:hRule="atLeast"/>
        </w:trPr>
        <w:tc>
          <w:tcPr>
            <w:tcW w:w="41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2" w:lineRule="exact"/>
              <w:ind w:left="1407" w:right="139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VARIABLES</w:t>
            </w:r>
          </w:p>
        </w:tc>
        <w:tc>
          <w:tcPr>
            <w:tcW w:w="21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2" w:lineRule="exact"/>
              <w:ind w:left="152" w:right="144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Coefficient</w:t>
            </w:r>
          </w:p>
        </w:tc>
        <w:tc>
          <w:tcPr>
            <w:tcW w:w="13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2" w:lineRule="exact"/>
              <w:ind w:left="118" w:right="115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Odd Ratios</w:t>
            </w:r>
          </w:p>
        </w:tc>
        <w:tc>
          <w:tcPr>
            <w:tcW w:w="15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2" w:lineRule="exact"/>
              <w:ind w:left="154" w:right="152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Wald</w:t>
            </w:r>
            <w:r>
              <w:rPr>
                <w:rFonts w:ascii="Times New Roman"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Test (z)</w:t>
            </w:r>
          </w:p>
        </w:tc>
      </w:tr>
      <w:tr>
        <w:trPr>
          <w:trHeight w:val="635" w:hRule="atLeast"/>
        </w:trPr>
        <w:tc>
          <w:tcPr>
            <w:tcW w:w="414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107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HOUSEHOLD</w:t>
            </w:r>
            <w:r>
              <w:rPr>
                <w:rFonts w:ascii="Times New Roman"/>
                <w:b/>
                <w:i/>
                <w:spacing w:val="-5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CHARACTERISTICS</w:t>
            </w:r>
          </w:p>
          <w:p>
            <w:pPr>
              <w:pStyle w:val="TableParagraph"/>
              <w:spacing w:line="237" w:lineRule="auto" w:before="1"/>
              <w:ind w:left="107" w:right="271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Family Size</w:t>
            </w:r>
            <w:r>
              <w:rPr>
                <w:rFonts w:ascii="Times New Roman"/>
                <w:b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Literacy Level</w:t>
            </w:r>
            <w:r>
              <w:rPr>
                <w:rFonts w:ascii="Times New Roman"/>
                <w:b/>
                <w:i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None</w:t>
            </w:r>
          </w:p>
          <w:p>
            <w:pPr>
              <w:pStyle w:val="TableParagraph"/>
              <w:spacing w:before="3"/>
              <w:ind w:left="218" w:right="201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Primary Education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Secondary Education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Tertiary</w:t>
            </w:r>
          </w:p>
          <w:p>
            <w:pPr>
              <w:pStyle w:val="TableParagraph"/>
              <w:spacing w:line="237" w:lineRule="auto" w:before="6"/>
              <w:ind w:left="218" w:right="3245" w:hanging="11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Gender</w:t>
            </w:r>
            <w:r>
              <w:rPr>
                <w:rFonts w:ascii="Times New Roman"/>
                <w:b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Male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Female</w:t>
            </w:r>
          </w:p>
          <w:p>
            <w:pPr>
              <w:pStyle w:val="TableParagraph"/>
              <w:spacing w:line="237" w:lineRule="auto" w:before="7"/>
              <w:ind w:left="218" w:right="2701" w:hanging="11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Marital Status</w:t>
            </w:r>
            <w:r>
              <w:rPr>
                <w:rFonts w:ascii="Times New Roman"/>
                <w:b/>
                <w:i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Married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Single Parent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Widowed</w:t>
            </w:r>
          </w:p>
          <w:p>
            <w:pPr>
              <w:pStyle w:val="TableParagraph"/>
              <w:spacing w:before="5"/>
              <w:ind w:left="27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Never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Married</w:t>
            </w:r>
          </w:p>
          <w:p>
            <w:pPr>
              <w:pStyle w:val="TableParagraph"/>
              <w:spacing w:line="250" w:lineRule="exact" w:before="4"/>
              <w:ind w:left="107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Does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your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spouse live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with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you?</w:t>
            </w:r>
          </w:p>
          <w:p>
            <w:pPr>
              <w:pStyle w:val="TableParagraph"/>
              <w:spacing w:line="250" w:lineRule="exact"/>
              <w:ind w:left="27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Yes</w:t>
            </w:r>
          </w:p>
          <w:p>
            <w:pPr>
              <w:pStyle w:val="TableParagraph"/>
              <w:spacing w:before="1"/>
              <w:ind w:left="27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No</w:t>
            </w:r>
          </w:p>
        </w:tc>
        <w:tc>
          <w:tcPr>
            <w:tcW w:w="2161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-0.0784***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(0.0028)</w:t>
            </w:r>
          </w:p>
        </w:tc>
        <w:tc>
          <w:tcPr>
            <w:tcW w:w="1352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0.9246</w:t>
            </w:r>
          </w:p>
        </w:tc>
        <w:tc>
          <w:tcPr>
            <w:tcW w:w="1529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-28.21</w:t>
            </w:r>
          </w:p>
        </w:tc>
      </w:tr>
      <w:tr>
        <w:trPr>
          <w:trHeight w:val="370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109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-0.0082***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(0.0016)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125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0.9918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109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-5.09</w:t>
            </w:r>
          </w:p>
        </w:tc>
      </w:tr>
      <w:tr>
        <w:trPr>
          <w:trHeight w:val="242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0.1249***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(0.0041)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1.1330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30.68</w:t>
            </w:r>
          </w:p>
        </w:tc>
      </w:tr>
      <w:tr>
        <w:trPr>
          <w:trHeight w:val="241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0.1091***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(0.0027)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1.1153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40.02</w:t>
            </w:r>
          </w:p>
        </w:tc>
      </w:tr>
      <w:tr>
        <w:trPr>
          <w:trHeight w:val="370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0.0840***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(0.0025)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1.0876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33.01</w:t>
            </w:r>
          </w:p>
        </w:tc>
      </w:tr>
      <w:tr>
        <w:trPr>
          <w:trHeight w:val="370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109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-0.0256***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(0.0050)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125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0.9747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109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-5.14</w:t>
            </w:r>
          </w:p>
        </w:tc>
      </w:tr>
      <w:tr>
        <w:trPr>
          <w:trHeight w:val="367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0.0124**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(0.0038)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1.0125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3.25</w:t>
            </w:r>
          </w:p>
        </w:tc>
      </w:tr>
      <w:tr>
        <w:trPr>
          <w:trHeight w:val="370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109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0.0216***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(0.0010)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125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1.0218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109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21.64</w:t>
            </w:r>
          </w:p>
        </w:tc>
      </w:tr>
      <w:tr>
        <w:trPr>
          <w:trHeight w:val="242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-0.0193***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(0.0035)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0.9809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-5.57</w:t>
            </w:r>
          </w:p>
        </w:tc>
      </w:tr>
      <w:tr>
        <w:trPr>
          <w:trHeight w:val="242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-0.0031***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(0.0006)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0.9969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-4.87</w:t>
            </w:r>
          </w:p>
        </w:tc>
      </w:tr>
      <w:tr>
        <w:trPr>
          <w:trHeight w:val="367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53" w:right="14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0.0056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(0.0038)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20" w:right="1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1.0056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54" w:right="15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0.14</w:t>
            </w:r>
          </w:p>
        </w:tc>
      </w:tr>
      <w:tr>
        <w:trPr>
          <w:trHeight w:val="372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111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0.0137**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(0.0040)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128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1.0138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111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3.45</w:t>
            </w:r>
          </w:p>
        </w:tc>
      </w:tr>
      <w:tr>
        <w:trPr>
          <w:trHeight w:val="252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-0.2356***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(0.0037)</w:t>
            </w:r>
          </w:p>
        </w:tc>
        <w:tc>
          <w:tcPr>
            <w:tcW w:w="1352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0.7901</w:t>
            </w:r>
          </w:p>
        </w:tc>
        <w:tc>
          <w:tcPr>
            <w:tcW w:w="1529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-62.97</w:t>
            </w:r>
          </w:p>
        </w:tc>
      </w:tr>
      <w:tr>
        <w:trPr>
          <w:trHeight w:val="2039" w:hRule="atLeast"/>
        </w:trPr>
        <w:tc>
          <w:tcPr>
            <w:tcW w:w="4141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HOUSEHOLDS’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TOTAL</w:t>
            </w:r>
            <w:r>
              <w:rPr>
                <w:rFonts w:ascii="Times New Roman" w:hAnsi="Times New Roman"/>
                <w:b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INCOME</w:t>
            </w:r>
          </w:p>
          <w:p>
            <w:pPr>
              <w:pStyle w:val="TableParagraph"/>
              <w:ind w:left="107" w:right="128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Wages and Salaries Incomes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Business Enterprises or Trades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Farming or Livestock Incomes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Remittances</w:t>
            </w:r>
          </w:p>
          <w:p>
            <w:pPr>
              <w:pStyle w:val="TableParagraph"/>
              <w:ind w:left="107" w:right="167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Pensions and Grants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Dividend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Investment</w:t>
            </w: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Income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Properties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Owned</w:t>
            </w:r>
          </w:p>
        </w:tc>
        <w:tc>
          <w:tcPr>
            <w:tcW w:w="2161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2" w:lineRule="exact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0.0707*** (0.0033)</w:t>
            </w:r>
          </w:p>
          <w:p>
            <w:pPr>
              <w:pStyle w:val="TableParagraph"/>
              <w:spacing w:line="252" w:lineRule="exact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0.0019*** (0.0001)</w:t>
            </w:r>
          </w:p>
          <w:p>
            <w:pPr>
              <w:pStyle w:val="TableParagraph"/>
              <w:spacing w:line="252" w:lineRule="exact" w:before="2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0.1818*** (0.0031)</w:t>
            </w:r>
          </w:p>
          <w:p>
            <w:pPr>
              <w:pStyle w:val="TableParagraph"/>
              <w:spacing w:line="252" w:lineRule="exact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0.0292*** (0.0022)</w:t>
            </w:r>
          </w:p>
          <w:p>
            <w:pPr>
              <w:pStyle w:val="TableParagraph"/>
              <w:spacing w:line="252" w:lineRule="exact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0.0277*** (0.0041)</w:t>
            </w:r>
          </w:p>
          <w:p>
            <w:pPr>
              <w:pStyle w:val="TableParagraph"/>
              <w:spacing w:line="252" w:lineRule="exact" w:before="1"/>
              <w:ind w:left="172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-0.1165***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(0.0047)</w:t>
            </w:r>
          </w:p>
          <w:p>
            <w:pPr>
              <w:pStyle w:val="TableParagraph"/>
              <w:spacing w:line="235" w:lineRule="exact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0.0372*** (0.0031)</w:t>
            </w:r>
          </w:p>
        </w:tc>
        <w:tc>
          <w:tcPr>
            <w:tcW w:w="1352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2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1.0733</w:t>
            </w:r>
          </w:p>
          <w:p>
            <w:pPr>
              <w:pStyle w:val="TableParagraph"/>
              <w:spacing w:line="252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1.0019</w:t>
            </w:r>
          </w:p>
          <w:p>
            <w:pPr>
              <w:pStyle w:val="TableParagraph"/>
              <w:spacing w:line="252" w:lineRule="exact" w:before="2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1.1994</w:t>
            </w:r>
          </w:p>
          <w:p>
            <w:pPr>
              <w:pStyle w:val="TableParagraph"/>
              <w:spacing w:line="252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1.0296</w:t>
            </w:r>
          </w:p>
          <w:p>
            <w:pPr>
              <w:pStyle w:val="TableParagraph"/>
              <w:spacing w:line="252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1.0281</w:t>
            </w:r>
          </w:p>
          <w:p>
            <w:pPr>
              <w:pStyle w:val="TableParagraph"/>
              <w:spacing w:line="252" w:lineRule="exact" w:before="1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0.8900</w:t>
            </w:r>
          </w:p>
          <w:p>
            <w:pPr>
              <w:pStyle w:val="TableParagraph"/>
              <w:spacing w:line="235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1.0379</w:t>
            </w:r>
          </w:p>
        </w:tc>
        <w:tc>
          <w:tcPr>
            <w:tcW w:w="1529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2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21.35</w:t>
            </w:r>
          </w:p>
          <w:p>
            <w:pPr>
              <w:pStyle w:val="TableParagraph"/>
              <w:spacing w:line="252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14.10</w:t>
            </w:r>
          </w:p>
          <w:p>
            <w:pPr>
              <w:pStyle w:val="TableParagraph"/>
              <w:spacing w:line="252" w:lineRule="exact" w:before="2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58.54</w:t>
            </w:r>
          </w:p>
          <w:p>
            <w:pPr>
              <w:pStyle w:val="TableParagraph"/>
              <w:spacing w:line="252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12.99</w:t>
            </w:r>
          </w:p>
          <w:p>
            <w:pPr>
              <w:pStyle w:val="TableParagraph"/>
              <w:spacing w:line="252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6.69</w:t>
            </w:r>
          </w:p>
          <w:p>
            <w:pPr>
              <w:pStyle w:val="TableParagraph"/>
              <w:spacing w:line="252" w:lineRule="exact" w:before="1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-25.02</w:t>
            </w:r>
          </w:p>
          <w:p>
            <w:pPr>
              <w:pStyle w:val="TableParagraph"/>
              <w:spacing w:line="235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11.82</w:t>
            </w:r>
          </w:p>
        </w:tc>
      </w:tr>
      <w:tr>
        <w:trPr>
          <w:trHeight w:val="775" w:hRule="atLeast"/>
        </w:trPr>
        <w:tc>
          <w:tcPr>
            <w:tcW w:w="4141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INCOME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INEQUALITY</w:t>
            </w:r>
          </w:p>
          <w:p>
            <w:pPr>
              <w:pStyle w:val="TableParagraph"/>
              <w:spacing w:line="250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Gini-Coefficient</w:t>
            </w:r>
          </w:p>
          <w:p>
            <w:pPr>
              <w:pStyle w:val="TableParagraph"/>
              <w:spacing w:before="1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Constant</w:t>
            </w:r>
          </w:p>
        </w:tc>
        <w:tc>
          <w:tcPr>
            <w:tcW w:w="2161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2" w:lineRule="exact"/>
              <w:ind w:left="172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-0.0031***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(0.0006)</w:t>
            </w:r>
          </w:p>
          <w:p>
            <w:pPr>
              <w:pStyle w:val="TableParagraph"/>
              <w:spacing w:line="235" w:lineRule="exact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0.1856*** (0.0095)</w:t>
            </w:r>
          </w:p>
        </w:tc>
        <w:tc>
          <w:tcPr>
            <w:tcW w:w="1352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0.9969</w:t>
            </w:r>
          </w:p>
          <w:p>
            <w:pPr>
              <w:pStyle w:val="TableParagraph"/>
              <w:spacing w:line="250" w:lineRule="exact" w:before="2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1.2039</w:t>
            </w:r>
          </w:p>
        </w:tc>
        <w:tc>
          <w:tcPr>
            <w:tcW w:w="1529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2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-5.24</w:t>
            </w:r>
          </w:p>
          <w:p>
            <w:pPr>
              <w:pStyle w:val="TableParagraph"/>
              <w:spacing w:line="235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19.58</w:t>
            </w:r>
          </w:p>
        </w:tc>
      </w:tr>
      <w:tr>
        <w:trPr>
          <w:trHeight w:val="247" w:hRule="atLeast"/>
        </w:trPr>
        <w:tc>
          <w:tcPr>
            <w:tcW w:w="4141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Number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Observations</w:t>
            </w:r>
          </w:p>
        </w:tc>
        <w:tc>
          <w:tcPr>
            <w:tcW w:w="2161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53" w:right="14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71,942</w:t>
            </w:r>
          </w:p>
        </w:tc>
        <w:tc>
          <w:tcPr>
            <w:tcW w:w="1352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29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41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Wald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Chi</w:t>
            </w:r>
            <w:r>
              <w:rPr>
                <w:rFonts w:ascii="Times New Roman"/>
                <w:sz w:val="22"/>
                <w:vertAlign w:val="superscript"/>
              </w:rPr>
              <w:t>2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1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1,311.37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Probability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3" w:right="14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0.0000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Pseudo R</w:t>
            </w:r>
            <w:r>
              <w:rPr>
                <w:rFonts w:ascii="Times New Roman"/>
                <w:sz w:val="22"/>
                <w:vertAlign w:val="superscript"/>
              </w:rPr>
              <w:t>2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3" w:right="14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0.6747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4141" w:type="dxa"/>
            <w:tcBorders>
              <w:top w:val="nil"/>
            </w:tcBorders>
          </w:tcPr>
          <w:p>
            <w:pPr>
              <w:pStyle w:val="TableParagraph"/>
              <w:spacing w:line="228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Number of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States</w:t>
            </w:r>
          </w:p>
        </w:tc>
        <w:tc>
          <w:tcPr>
            <w:tcW w:w="2161" w:type="dxa"/>
            <w:tcBorders>
              <w:top w:val="nil"/>
            </w:tcBorders>
          </w:tcPr>
          <w:p>
            <w:pPr>
              <w:pStyle w:val="TableParagraph"/>
              <w:spacing w:line="228" w:lineRule="exact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37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120" w:right="0" w:firstLine="0"/>
        <w:jc w:val="left"/>
        <w:rPr>
          <w:sz w:val="20"/>
        </w:rPr>
      </w:pPr>
      <w:r>
        <w:rPr>
          <w:sz w:val="20"/>
        </w:rPr>
        <w:t>NOTE:</w:t>
      </w:r>
      <w:r>
        <w:rPr>
          <w:spacing w:val="-3"/>
          <w:sz w:val="20"/>
        </w:rPr>
        <w:t> </w:t>
      </w:r>
      <w:r>
        <w:rPr>
          <w:sz w:val="20"/>
        </w:rPr>
        <w:t>1.</w:t>
      </w:r>
      <w:r>
        <w:rPr>
          <w:spacing w:val="-2"/>
          <w:sz w:val="20"/>
        </w:rPr>
        <w:t> </w:t>
      </w:r>
      <w:r>
        <w:rPr>
          <w:sz w:val="20"/>
        </w:rPr>
        <w:t>*Significant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10%,</w:t>
      </w:r>
      <w:r>
        <w:rPr>
          <w:spacing w:val="-2"/>
          <w:sz w:val="20"/>
        </w:rPr>
        <w:t> </w:t>
      </w:r>
      <w:r>
        <w:rPr>
          <w:sz w:val="20"/>
        </w:rPr>
        <w:t>**</w:t>
      </w:r>
      <w:r>
        <w:rPr>
          <w:spacing w:val="-3"/>
          <w:sz w:val="20"/>
        </w:rPr>
        <w:t> </w:t>
      </w:r>
      <w:r>
        <w:rPr>
          <w:sz w:val="20"/>
        </w:rPr>
        <w:t>significant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5%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***</w:t>
      </w:r>
      <w:r>
        <w:rPr>
          <w:spacing w:val="-3"/>
          <w:sz w:val="20"/>
        </w:rPr>
        <w:t> </w:t>
      </w:r>
      <w:r>
        <w:rPr>
          <w:sz w:val="20"/>
        </w:rPr>
        <w:t>significant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1%</w:t>
      </w:r>
    </w:p>
    <w:p>
      <w:pPr>
        <w:spacing w:before="0"/>
        <w:ind w:left="120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parentheses</w:t>
      </w:r>
      <w:r>
        <w:rPr>
          <w:spacing w:val="-3"/>
          <w:sz w:val="20"/>
        </w:rPr>
        <w:t> </w:t>
      </w:r>
      <w:r>
        <w:rPr>
          <w:sz w:val="20"/>
        </w:rPr>
        <w:t>denotes</w:t>
      </w:r>
      <w:r>
        <w:rPr>
          <w:spacing w:val="-3"/>
          <w:sz w:val="20"/>
        </w:rPr>
        <w:t> </w:t>
      </w:r>
      <w:r>
        <w:rPr>
          <w:sz w:val="20"/>
        </w:rPr>
        <w:t>the robust</w:t>
      </w:r>
      <w:r>
        <w:rPr>
          <w:spacing w:val="-2"/>
          <w:sz w:val="20"/>
        </w:rPr>
        <w:t> </w:t>
      </w:r>
      <w:r>
        <w:rPr>
          <w:sz w:val="20"/>
        </w:rPr>
        <w:t>standard</w:t>
      </w:r>
      <w:r>
        <w:rPr>
          <w:spacing w:val="-1"/>
          <w:sz w:val="20"/>
        </w:rPr>
        <w:t> </w:t>
      </w:r>
      <w:r>
        <w:rPr>
          <w:sz w:val="20"/>
        </w:rPr>
        <w:t>errors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estimates</w:t>
      </w:r>
    </w:p>
    <w:p>
      <w:pPr>
        <w:spacing w:before="0"/>
        <w:ind w:left="120" w:right="0" w:firstLine="0"/>
        <w:jc w:val="left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2"/>
          <w:sz w:val="20"/>
        </w:rPr>
        <w:t> </w:t>
      </w:r>
      <w:r>
        <w:rPr>
          <w:sz w:val="20"/>
        </w:rPr>
        <w:t>Researcher’s</w:t>
      </w:r>
      <w:r>
        <w:rPr>
          <w:spacing w:val="-1"/>
          <w:sz w:val="20"/>
        </w:rPr>
        <w:t> </w:t>
      </w:r>
      <w:r>
        <w:rPr>
          <w:sz w:val="20"/>
        </w:rPr>
        <w:t>Computation</w:t>
      </w:r>
      <w:r>
        <w:rPr>
          <w:spacing w:val="-3"/>
          <w:sz w:val="20"/>
        </w:rPr>
        <w:t> </w:t>
      </w:r>
      <w:r>
        <w:rPr>
          <w:sz w:val="20"/>
        </w:rPr>
        <w:t>using</w:t>
      </w:r>
      <w:r>
        <w:rPr>
          <w:spacing w:val="-3"/>
          <w:sz w:val="20"/>
        </w:rPr>
        <w:t> </w:t>
      </w:r>
      <w:r>
        <w:rPr>
          <w:sz w:val="20"/>
        </w:rPr>
        <w:t>Stata</w:t>
      </w:r>
      <w:r>
        <w:rPr>
          <w:spacing w:val="-2"/>
          <w:sz w:val="20"/>
        </w:rPr>
        <w:t> </w:t>
      </w:r>
      <w:r>
        <w:rPr>
          <w:sz w:val="20"/>
        </w:rPr>
        <w:t>13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5"/>
        <w:jc w:val="both"/>
      </w:pPr>
      <w:r>
        <w:rPr/>
        <w:t>Income level from all sources were found to positively and significantly associated with seeking</w:t>
      </w:r>
      <w:r>
        <w:rPr>
          <w:spacing w:val="1"/>
        </w:rPr>
        <w:t> </w:t>
      </w:r>
      <w:r>
        <w:rPr/>
        <w:t>orthodox</w:t>
      </w:r>
      <w:r>
        <w:rPr>
          <w:spacing w:val="-4"/>
        </w:rPr>
        <w:t> </w:t>
      </w:r>
      <w:r>
        <w:rPr/>
        <w:t>healthcare</w:t>
      </w:r>
      <w:r>
        <w:rPr>
          <w:spacing w:val="-6"/>
        </w:rPr>
        <w:t> </w:t>
      </w:r>
      <w:r>
        <w:rPr/>
        <w:t>services.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highlights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consequences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rising</w:t>
      </w:r>
      <w:r>
        <w:rPr>
          <w:spacing w:val="-6"/>
        </w:rPr>
        <w:t> </w:t>
      </w:r>
      <w:r>
        <w:rPr/>
        <w:t>income</w:t>
      </w:r>
      <w:r>
        <w:rPr>
          <w:spacing w:val="-6"/>
        </w:rPr>
        <w:t> </w:t>
      </w:r>
      <w:r>
        <w:rPr/>
        <w:t>inequality,</w:t>
      </w:r>
      <w:r>
        <w:rPr>
          <w:spacing w:val="-4"/>
        </w:rPr>
        <w:t> </w:t>
      </w:r>
      <w:r>
        <w:rPr/>
        <w:t>where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more</w:t>
      </w:r>
      <w:r>
        <w:rPr>
          <w:spacing w:val="-12"/>
        </w:rPr>
        <w:t> </w:t>
      </w:r>
      <w:r>
        <w:rPr/>
        <w:t>affluent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society</w:t>
      </w:r>
      <w:r>
        <w:rPr>
          <w:spacing w:val="-15"/>
        </w:rPr>
        <w:t> </w:t>
      </w:r>
      <w:r>
        <w:rPr>
          <w:sz w:val="23"/>
        </w:rPr>
        <w:t>have</w:t>
      </w:r>
      <w:r>
        <w:rPr>
          <w:spacing w:val="-9"/>
          <w:sz w:val="23"/>
        </w:rPr>
        <w:t> </w:t>
      </w:r>
      <w:r>
        <w:rPr>
          <w:sz w:val="23"/>
        </w:rPr>
        <w:t>better</w:t>
      </w:r>
      <w:r>
        <w:rPr>
          <w:spacing w:val="-9"/>
          <w:sz w:val="23"/>
        </w:rPr>
        <w:t> </w:t>
      </w:r>
      <w:r>
        <w:rPr/>
        <w:t>access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health</w:t>
      </w:r>
      <w:r>
        <w:rPr>
          <w:spacing w:val="-12"/>
        </w:rPr>
        <w:t> </w:t>
      </w:r>
      <w:r>
        <w:rPr/>
        <w:t>care.</w:t>
      </w:r>
      <w:r>
        <w:rPr>
          <w:spacing w:val="-12"/>
        </w:rPr>
        <w:t> </w:t>
      </w:r>
      <w:r>
        <w:rPr/>
        <w:t>Similar</w:t>
      </w:r>
      <w:r>
        <w:rPr>
          <w:spacing w:val="-11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were</w:t>
      </w:r>
      <w:r>
        <w:rPr>
          <w:spacing w:val="-12"/>
        </w:rPr>
        <w:t> </w:t>
      </w:r>
      <w:r>
        <w:rPr/>
        <w:t>obtained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>
          <w:sz w:val="23"/>
        </w:rPr>
        <w:t>POLS</w:t>
      </w:r>
      <w:r>
        <w:rPr>
          <w:spacing w:val="-55"/>
          <w:sz w:val="23"/>
        </w:rPr>
        <w:t> </w:t>
      </w:r>
      <w:r>
        <w:rPr/>
        <w:t>model. Like the findings of the current study, most of the studies found a positive and significant</w:t>
      </w:r>
      <w:r>
        <w:rPr>
          <w:spacing w:val="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 income-effect</w:t>
      </w:r>
      <w:r>
        <w:rPr>
          <w:spacing w:val="1"/>
        </w:rPr>
        <w:t> </w:t>
      </w:r>
      <w:r>
        <w:rPr/>
        <w:t>on seeking</w:t>
      </w:r>
      <w:r>
        <w:rPr>
          <w:spacing w:val="-4"/>
        </w:rPr>
        <w:t> </w:t>
      </w:r>
      <w:r>
        <w:rPr/>
        <w:t>appropriate health (see Qin, Hone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Lee,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spacing w:line="360" w:lineRule="auto" w:before="184"/>
        <w:ind w:left="120" w:right="114"/>
        <w:jc w:val="both"/>
      </w:pPr>
      <w:r>
        <w:rPr/>
        <w:t>However, dividend-incomes was negative and significant. The result suggests that income from</w:t>
      </w:r>
      <w:r>
        <w:rPr>
          <w:spacing w:val="1"/>
        </w:rPr>
        <w:t> </w:t>
      </w:r>
      <w:r>
        <w:rPr/>
        <w:t>dividend could more likely lead to inappropriate health care seeking. This is counter-intuitive to</w:t>
      </w:r>
      <w:r>
        <w:rPr>
          <w:spacing w:val="1"/>
        </w:rPr>
        <w:t> </w:t>
      </w:r>
      <w:r>
        <w:rPr/>
        <w:t>the expectation that interest from investment encourages seeking appropriate care. Perhaps the</w:t>
      </w:r>
      <w:r>
        <w:rPr>
          <w:spacing w:val="1"/>
        </w:rPr>
        <w:t> </w:t>
      </w:r>
      <w:r>
        <w:rPr/>
        <w:t>massive lobbying for contracts of few and bending of rules in their favour could be that more</w:t>
      </w:r>
      <w:r>
        <w:rPr>
          <w:spacing w:val="1"/>
        </w:rPr>
        <w:t> </w:t>
      </w:r>
      <w:r>
        <w:rPr/>
        <w:t>dividend is likely to reduce aggregate health care seeking. This is justified by the highly corrupt</w:t>
      </w:r>
      <w:r>
        <w:rPr>
          <w:spacing w:val="1"/>
        </w:rPr>
        <w:t> </w:t>
      </w:r>
      <w:r>
        <w:rPr/>
        <w:t>system that exist in countries such as Nigeria, where this act will not only increase dividend on</w:t>
      </w:r>
      <w:r>
        <w:rPr>
          <w:spacing w:val="1"/>
        </w:rPr>
        <w:t> </w:t>
      </w:r>
      <w:r>
        <w:rPr/>
        <w:t>their</w:t>
      </w:r>
      <w:r>
        <w:rPr>
          <w:spacing w:val="-6"/>
        </w:rPr>
        <w:t> </w:t>
      </w:r>
      <w:r>
        <w:rPr/>
        <w:t>‘investment’,</w:t>
      </w:r>
      <w:r>
        <w:rPr>
          <w:spacing w:val="-4"/>
        </w:rPr>
        <w:t> </w:t>
      </w:r>
      <w:r>
        <w:rPr/>
        <w:t>but</w:t>
      </w:r>
      <w:r>
        <w:rPr>
          <w:spacing w:val="-1"/>
        </w:rPr>
        <w:t> </w:t>
      </w:r>
      <w:r>
        <w:rPr/>
        <w:t>also</w:t>
      </w:r>
      <w:r>
        <w:rPr>
          <w:spacing w:val="-4"/>
        </w:rPr>
        <w:t> </w:t>
      </w:r>
      <w:r>
        <w:rPr/>
        <w:t>widening</w:t>
      </w:r>
      <w:r>
        <w:rPr>
          <w:spacing w:val="-4"/>
        </w:rPr>
        <w:t> </w:t>
      </w:r>
      <w:r>
        <w:rPr/>
        <w:t>income</w:t>
      </w:r>
      <w:r>
        <w:rPr>
          <w:spacing w:val="-5"/>
        </w:rPr>
        <w:t> </w:t>
      </w:r>
      <w:r>
        <w:rPr/>
        <w:t>inequality.</w:t>
      </w:r>
      <w:r>
        <w:rPr>
          <w:spacing w:val="-4"/>
        </w:rPr>
        <w:t> </w:t>
      </w:r>
      <w:r>
        <w:rPr/>
        <w:t>Consequently,</w:t>
      </w:r>
      <w:r>
        <w:rPr>
          <w:spacing w:val="-4"/>
        </w:rPr>
        <w:t> </w:t>
      </w:r>
      <w:r>
        <w:rPr/>
        <w:t>undermines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efficiency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as,</w:t>
      </w:r>
      <w:r>
        <w:rPr>
          <w:spacing w:val="2"/>
        </w:rPr>
        <w:t> </w:t>
      </w:r>
      <w:r>
        <w:rPr/>
        <w:t>road,</w:t>
      </w:r>
      <w:r>
        <w:rPr>
          <w:spacing w:val="-1"/>
        </w:rPr>
        <w:t> </w:t>
      </w:r>
      <w:r>
        <w:rPr/>
        <w:t>healthcare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discourages</w:t>
      </w:r>
      <w:r>
        <w:rPr>
          <w:spacing w:val="-1"/>
        </w:rPr>
        <w:t> </w:t>
      </w:r>
      <w:r>
        <w:rPr/>
        <w:t>medical-care</w:t>
      </w:r>
      <w:r>
        <w:rPr>
          <w:spacing w:val="-2"/>
        </w:rPr>
        <w:t> </w:t>
      </w:r>
      <w:r>
        <w:rPr/>
        <w:t>seeking.</w:t>
      </w:r>
    </w:p>
    <w:p>
      <w:pPr>
        <w:pStyle w:val="BodyText"/>
        <w:spacing w:line="360" w:lineRule="auto" w:before="186"/>
        <w:ind w:left="120" w:right="114"/>
        <w:jc w:val="both"/>
      </w:pPr>
      <w:r>
        <w:rPr/>
        <w:t>Another</w:t>
      </w:r>
      <w:r>
        <w:rPr>
          <w:spacing w:val="-12"/>
        </w:rPr>
        <w:t> </w:t>
      </w:r>
      <w:r>
        <w:rPr/>
        <w:t>finding</w:t>
      </w:r>
      <w:r>
        <w:rPr>
          <w:spacing w:val="-13"/>
        </w:rPr>
        <w:t> </w:t>
      </w:r>
      <w:r>
        <w:rPr/>
        <w:t>worth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discussing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negative</w:t>
      </w:r>
      <w:r>
        <w:rPr>
          <w:spacing w:val="-12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Gini-coefficient</w:t>
      </w:r>
      <w:r>
        <w:rPr>
          <w:spacing w:val="-8"/>
        </w:rPr>
        <w:t> </w:t>
      </w:r>
      <w:r>
        <w:rPr/>
        <w:t>on</w:t>
      </w:r>
      <w:r>
        <w:rPr>
          <w:spacing w:val="-11"/>
        </w:rPr>
        <w:t> </w:t>
      </w:r>
      <w:r>
        <w:rPr/>
        <w:t>appropriate</w:t>
      </w:r>
      <w:r>
        <w:rPr>
          <w:spacing w:val="-11"/>
        </w:rPr>
        <w:t> </w:t>
      </w:r>
      <w:r>
        <w:rPr/>
        <w:t>health</w:t>
      </w:r>
      <w:r>
        <w:rPr>
          <w:spacing w:val="-58"/>
        </w:rPr>
        <w:t> </w:t>
      </w:r>
      <w:r>
        <w:rPr>
          <w:spacing w:val="-1"/>
        </w:rPr>
        <w:t>care</w:t>
      </w:r>
      <w:r>
        <w:rPr>
          <w:spacing w:val="-12"/>
        </w:rPr>
        <w:t> </w:t>
      </w:r>
      <w:r>
        <w:rPr/>
        <w:t>seeking.</w:t>
      </w:r>
      <w:r>
        <w:rPr>
          <w:spacing w:val="-10"/>
        </w:rPr>
        <w:t> </w:t>
      </w:r>
      <w:r>
        <w:rPr/>
        <w:t>This</w:t>
      </w:r>
      <w:r>
        <w:rPr>
          <w:spacing w:val="-12"/>
        </w:rPr>
        <w:t> </w:t>
      </w:r>
      <w:r>
        <w:rPr/>
        <w:t>implies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effect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rising</w:t>
      </w:r>
      <w:r>
        <w:rPr>
          <w:spacing w:val="-14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inequality</w:t>
      </w:r>
      <w:r>
        <w:rPr>
          <w:spacing w:val="-17"/>
        </w:rPr>
        <w:t> </w:t>
      </w:r>
      <w:r>
        <w:rPr/>
        <w:t>is</w:t>
      </w:r>
      <w:r>
        <w:rPr>
          <w:spacing w:val="-10"/>
        </w:rPr>
        <w:t> </w:t>
      </w:r>
      <w:r>
        <w:rPr/>
        <w:t>inverse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seeking</w:t>
      </w:r>
      <w:r>
        <w:rPr>
          <w:spacing w:val="-12"/>
        </w:rPr>
        <w:t> </w:t>
      </w:r>
      <w:r>
        <w:rPr/>
        <w:t>orthodox</w:t>
      </w:r>
      <w:r>
        <w:rPr>
          <w:spacing w:val="-57"/>
        </w:rPr>
        <w:t> </w:t>
      </w:r>
      <w:r>
        <w:rPr/>
        <w:t>health care at 1% significance level. The result was also found in POLS. This could be explained</w:t>
      </w:r>
      <w:r>
        <w:rPr>
          <w:spacing w:val="1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heightened</w:t>
      </w:r>
      <w:r>
        <w:rPr>
          <w:spacing w:val="-6"/>
        </w:rPr>
        <w:t> </w:t>
      </w:r>
      <w:r>
        <w:rPr/>
        <w:t>political</w:t>
      </w:r>
      <w:r>
        <w:rPr>
          <w:spacing w:val="-6"/>
        </w:rPr>
        <w:t> </w:t>
      </w:r>
      <w:r>
        <w:rPr/>
        <w:t>influence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curry</w:t>
      </w:r>
      <w:r>
        <w:rPr>
          <w:spacing w:val="-11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favours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tax</w:t>
      </w:r>
      <w:r>
        <w:rPr>
          <w:spacing w:val="-5"/>
        </w:rPr>
        <w:t> </w:t>
      </w:r>
      <w:r>
        <w:rPr/>
        <w:t>exemptions,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sweetheart</w:t>
      </w:r>
      <w:r>
        <w:rPr>
          <w:spacing w:val="-15"/>
        </w:rPr>
        <w:t> </w:t>
      </w:r>
      <w:r>
        <w:rPr/>
        <w:t>contracts</w:t>
      </w:r>
      <w:r>
        <w:rPr>
          <w:spacing w:val="-14"/>
        </w:rPr>
        <w:t> </w:t>
      </w:r>
      <w:r>
        <w:rPr/>
        <w:t>–</w:t>
      </w:r>
      <w:r>
        <w:rPr>
          <w:spacing w:val="-15"/>
        </w:rPr>
        <w:t> </w:t>
      </w:r>
      <w:r>
        <w:rPr/>
        <w:t>for</w:t>
      </w:r>
      <w:r>
        <w:rPr>
          <w:spacing w:val="-12"/>
        </w:rPr>
        <w:t> </w:t>
      </w:r>
      <w:r>
        <w:rPr/>
        <w:t>few</w:t>
      </w:r>
      <w:r>
        <w:rPr>
          <w:spacing w:val="-13"/>
        </w:rPr>
        <w:t> </w:t>
      </w:r>
      <w:r>
        <w:rPr/>
        <w:t>citizens</w:t>
      </w:r>
      <w:r>
        <w:rPr>
          <w:spacing w:val="-15"/>
        </w:rPr>
        <w:t> </w:t>
      </w:r>
      <w:r>
        <w:rPr/>
        <w:t>while</w:t>
      </w:r>
      <w:r>
        <w:rPr>
          <w:spacing w:val="-15"/>
        </w:rPr>
        <w:t> </w:t>
      </w:r>
      <w:r>
        <w:rPr/>
        <w:t>blocking</w:t>
      </w:r>
      <w:r>
        <w:rPr>
          <w:spacing w:val="-16"/>
        </w:rPr>
        <w:t> </w:t>
      </w:r>
      <w:r>
        <w:rPr/>
        <w:t>policies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strengthen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rights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majority</w:t>
      </w:r>
      <w:r>
        <w:rPr>
          <w:spacing w:val="-58"/>
        </w:rPr>
        <w:t> </w:t>
      </w:r>
      <w:r>
        <w:rPr/>
        <w:t>including access to healthcare facilities. Overall, the probability value of FE model was largely</w:t>
      </w:r>
      <w:r>
        <w:rPr>
          <w:spacing w:val="1"/>
        </w:rPr>
        <w:t> </w:t>
      </w:r>
      <w:r>
        <w:rPr/>
        <w:t>low, where the p-value is less than 0.0001. The high Pseudo R</w:t>
      </w:r>
      <w:r>
        <w:rPr>
          <w:vertAlign w:val="superscript"/>
        </w:rPr>
        <w:t>2</w:t>
      </w:r>
      <w:r>
        <w:rPr>
          <w:vertAlign w:val="baseline"/>
        </w:rPr>
        <w:t> of 67% further indicates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 model has a</w:t>
      </w:r>
      <w:r>
        <w:rPr>
          <w:spacing w:val="-2"/>
          <w:vertAlign w:val="baseline"/>
        </w:rPr>
        <w:t> </w:t>
      </w:r>
      <w:r>
        <w:rPr>
          <w:vertAlign w:val="baseline"/>
        </w:rPr>
        <w:t>strong explanatory</w:t>
      </w:r>
      <w:r>
        <w:rPr>
          <w:spacing w:val="-4"/>
          <w:vertAlign w:val="baseline"/>
        </w:rPr>
        <w:t> </w:t>
      </w:r>
      <w:r>
        <w:rPr>
          <w:vertAlign w:val="baseline"/>
        </w:rPr>
        <w:t>power.</w:t>
      </w:r>
    </w:p>
    <w:p>
      <w:pPr>
        <w:pStyle w:val="BodyText"/>
        <w:spacing w:line="360" w:lineRule="auto" w:before="183"/>
        <w:ind w:left="120" w:right="113"/>
        <w:jc w:val="both"/>
      </w:pPr>
      <w:r>
        <w:rPr/>
        <w:t>Again,</w:t>
      </w:r>
      <w:r>
        <w:rPr>
          <w:spacing w:val="-2"/>
        </w:rPr>
        <w:t> </w:t>
      </w:r>
      <w:r>
        <w:rPr/>
        <w:t>several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Random</w:t>
      </w:r>
      <w:r>
        <w:rPr>
          <w:spacing w:val="-1"/>
        </w:rPr>
        <w:t> </w:t>
      </w:r>
      <w:r>
        <w:rPr/>
        <w:t>Effect</w:t>
      </w:r>
      <w:r>
        <w:rPr>
          <w:spacing w:val="1"/>
        </w:rPr>
        <w:t> </w:t>
      </w:r>
      <w:r>
        <w:rPr/>
        <w:t>(RE)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5.21</w:t>
      </w:r>
      <w:r>
        <w:rPr>
          <w:spacing w:val="-1"/>
        </w:rPr>
        <w:t> </w:t>
      </w:r>
      <w:r>
        <w:rPr/>
        <w:t>meet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>
          <w:i/>
        </w:rPr>
        <w:t>a</w:t>
      </w:r>
      <w:r>
        <w:rPr>
          <w:i/>
          <w:spacing w:val="-10"/>
        </w:rPr>
        <w:t> </w:t>
      </w:r>
      <w:r>
        <w:rPr>
          <w:i/>
        </w:rPr>
        <w:t>priori</w:t>
      </w:r>
      <w:r>
        <w:rPr>
          <w:i/>
          <w:spacing w:val="-8"/>
        </w:rPr>
        <w:t> </w:t>
      </w:r>
      <w:r>
        <w:rPr/>
        <w:t>expectation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study,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households’</w:t>
      </w:r>
      <w:r>
        <w:rPr>
          <w:spacing w:val="-9"/>
        </w:rPr>
        <w:t> </w:t>
      </w:r>
      <w:r>
        <w:rPr/>
        <w:t>healthcare</w:t>
      </w:r>
      <w:r>
        <w:rPr>
          <w:spacing w:val="-11"/>
        </w:rPr>
        <w:t> </w:t>
      </w:r>
      <w:r>
        <w:rPr/>
        <w:t>consultation,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times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illness.</w:t>
      </w:r>
      <w:r>
        <w:rPr>
          <w:spacing w:val="-10"/>
        </w:rPr>
        <w:t> </w:t>
      </w:r>
      <w:r>
        <w:rPr/>
        <w:t>It</w:t>
      </w:r>
      <w:r>
        <w:rPr>
          <w:spacing w:val="-8"/>
        </w:rPr>
        <w:t> </w:t>
      </w:r>
      <w:r>
        <w:rPr/>
        <w:t>was</w:t>
      </w:r>
      <w:r>
        <w:rPr>
          <w:spacing w:val="-58"/>
        </w:rPr>
        <w:t> </w:t>
      </w:r>
      <w:r>
        <w:rPr/>
        <w:t>observed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some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exogenous</w:t>
      </w:r>
      <w:r>
        <w:rPr>
          <w:spacing w:val="-10"/>
        </w:rPr>
        <w:t> </w:t>
      </w:r>
      <w:r>
        <w:rPr/>
        <w:t>variables</w:t>
      </w:r>
      <w:r>
        <w:rPr>
          <w:spacing w:val="-8"/>
        </w:rPr>
        <w:t> </w:t>
      </w:r>
      <w:r>
        <w:rPr/>
        <w:t>carried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expected</w:t>
      </w:r>
      <w:r>
        <w:rPr>
          <w:spacing w:val="-9"/>
        </w:rPr>
        <w:t> </w:t>
      </w:r>
      <w:r>
        <w:rPr/>
        <w:t>signs</w:t>
      </w:r>
      <w:r>
        <w:rPr>
          <w:spacing w:val="-10"/>
        </w:rPr>
        <w:t> </w:t>
      </w:r>
      <w:r>
        <w:rPr/>
        <w:t>while</w:t>
      </w:r>
      <w:r>
        <w:rPr>
          <w:spacing w:val="-12"/>
        </w:rPr>
        <w:t> </w:t>
      </w:r>
      <w:r>
        <w:rPr/>
        <w:t>others</w:t>
      </w:r>
      <w:r>
        <w:rPr>
          <w:spacing w:val="-10"/>
        </w:rPr>
        <w:t> </w:t>
      </w:r>
      <w:r>
        <w:rPr/>
        <w:t>did</w:t>
      </w:r>
      <w:r>
        <w:rPr>
          <w:spacing w:val="-8"/>
        </w:rPr>
        <w:t> </w:t>
      </w:r>
      <w:r>
        <w:rPr/>
        <w:t>not.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influence of an increase in family size, as income inequality rises related negatively with seeking</w:t>
      </w:r>
      <w:r>
        <w:rPr>
          <w:spacing w:val="-57"/>
        </w:rPr>
        <w:t> </w:t>
      </w:r>
      <w:r>
        <w:rPr>
          <w:spacing w:val="-1"/>
        </w:rPr>
        <w:t>orthodox</w:t>
      </w:r>
      <w:r>
        <w:rPr>
          <w:spacing w:val="-13"/>
        </w:rPr>
        <w:t> </w:t>
      </w:r>
      <w:r>
        <w:rPr/>
        <w:t>healthcare.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results</w:t>
      </w:r>
      <w:r>
        <w:rPr>
          <w:spacing w:val="-13"/>
        </w:rPr>
        <w:t> </w:t>
      </w:r>
      <w:r>
        <w:rPr/>
        <w:t>show</w:t>
      </w:r>
      <w:r>
        <w:rPr>
          <w:spacing w:val="-15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>
          <w:sz w:val="23"/>
        </w:rPr>
        <w:t>possibility</w:t>
      </w:r>
      <w:r>
        <w:rPr>
          <w:spacing w:val="-14"/>
          <w:sz w:val="23"/>
        </w:rPr>
        <w:t> </w:t>
      </w:r>
      <w:r>
        <w:rPr>
          <w:sz w:val="23"/>
        </w:rPr>
        <w:t>of</w:t>
      </w:r>
      <w:r>
        <w:rPr>
          <w:spacing w:val="-15"/>
          <w:sz w:val="23"/>
        </w:rPr>
        <w:t> </w:t>
      </w:r>
      <w:r>
        <w:rPr>
          <w:sz w:val="23"/>
        </w:rPr>
        <w:t>households</w:t>
      </w:r>
      <w:r>
        <w:rPr>
          <w:spacing w:val="-13"/>
          <w:sz w:val="23"/>
        </w:rPr>
        <w:t> </w:t>
      </w:r>
      <w:r>
        <w:rPr/>
        <w:t>utilizing</w:t>
      </w:r>
      <w:r>
        <w:rPr>
          <w:spacing w:val="-17"/>
        </w:rPr>
        <w:t> </w:t>
      </w:r>
      <w:r>
        <w:rPr/>
        <w:t>inappropriate</w:t>
      </w:r>
      <w:r>
        <w:rPr>
          <w:spacing w:val="-15"/>
        </w:rPr>
        <w:t> </w:t>
      </w:r>
      <w:r>
        <w:rPr/>
        <w:t>HSB</w:t>
      </w:r>
      <w:r>
        <w:rPr>
          <w:spacing w:val="-58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/>
        <w:t>any</w:t>
      </w:r>
      <w:r>
        <w:rPr>
          <w:spacing w:val="-17"/>
        </w:rPr>
        <w:t> </w:t>
      </w:r>
      <w:r>
        <w:rPr/>
        <w:t>new</w:t>
      </w:r>
      <w:r>
        <w:rPr>
          <w:spacing w:val="-13"/>
        </w:rPr>
        <w:t> </w:t>
      </w:r>
      <w:r>
        <w:rPr/>
        <w:t>addition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family</w:t>
      </w:r>
      <w:r>
        <w:rPr>
          <w:spacing w:val="-20"/>
        </w:rPr>
        <w:t> </w:t>
      </w:r>
      <w:r>
        <w:rPr/>
        <w:t>size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55%.</w:t>
      </w:r>
      <w:r>
        <w:rPr>
          <w:spacing w:val="-13"/>
        </w:rPr>
        <w:t> </w:t>
      </w:r>
      <w:r>
        <w:rPr/>
        <w:t>This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quite</w:t>
      </w:r>
      <w:r>
        <w:rPr>
          <w:spacing w:val="-16"/>
        </w:rPr>
        <w:t> </w:t>
      </w:r>
      <w:r>
        <w:rPr/>
        <w:t>large</w:t>
      </w:r>
      <w:r>
        <w:rPr>
          <w:spacing w:val="-16"/>
        </w:rPr>
        <w:t> </w:t>
      </w:r>
      <w:r>
        <w:rPr/>
        <w:t>compare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POLS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FE</w:t>
      </w:r>
      <w:r>
        <w:rPr>
          <w:spacing w:val="-13"/>
        </w:rPr>
        <w:t> </w:t>
      </w:r>
      <w:r>
        <w:rPr/>
        <w:t>models.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results</w:t>
      </w:r>
      <w:r>
        <w:rPr>
          <w:spacing w:val="-14"/>
        </w:rPr>
        <w:t> </w:t>
      </w:r>
      <w:r>
        <w:rPr>
          <w:spacing w:val="-1"/>
        </w:rPr>
        <w:t>also</w:t>
      </w:r>
      <w:r>
        <w:rPr>
          <w:spacing w:val="-14"/>
        </w:rPr>
        <w:t> </w:t>
      </w:r>
      <w:r>
        <w:rPr/>
        <w:t>support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call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effective</w:t>
      </w:r>
      <w:r>
        <w:rPr>
          <w:spacing w:val="-16"/>
        </w:rPr>
        <w:t> </w:t>
      </w:r>
      <w:r>
        <w:rPr/>
        <w:t>policies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seek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reduce</w:t>
      </w:r>
      <w:r>
        <w:rPr>
          <w:spacing w:val="-16"/>
        </w:rPr>
        <w:t> </w:t>
      </w:r>
      <w:r>
        <w:rPr/>
        <w:t>population</w:t>
      </w:r>
      <w:r>
        <w:rPr>
          <w:spacing w:val="-14"/>
        </w:rPr>
        <w:t> </w:t>
      </w:r>
      <w:r>
        <w:rPr/>
        <w:t>growth</w:t>
      </w:r>
      <w:r>
        <w:rPr>
          <w:spacing w:val="-14"/>
        </w:rPr>
        <w:t> </w:t>
      </w:r>
      <w:r>
        <w:rPr/>
        <w:t>through</w:t>
      </w:r>
      <w:r>
        <w:rPr>
          <w:spacing w:val="-57"/>
        </w:rPr>
        <w:t> </w:t>
      </w:r>
      <w:r>
        <w:rPr>
          <w:spacing w:val="-1"/>
          <w:sz w:val="23"/>
        </w:rPr>
        <w:t>family</w:t>
      </w:r>
      <w:r>
        <w:rPr>
          <w:spacing w:val="-17"/>
          <w:sz w:val="23"/>
        </w:rPr>
        <w:t> </w:t>
      </w:r>
      <w:r>
        <w:rPr>
          <w:spacing w:val="-1"/>
          <w:sz w:val="23"/>
        </w:rPr>
        <w:t>planning</w:t>
      </w:r>
      <w:r>
        <w:rPr>
          <w:spacing w:val="-13"/>
          <w:sz w:val="23"/>
        </w:rPr>
        <w:t> </w:t>
      </w:r>
      <w:r>
        <w:rPr>
          <w:sz w:val="23"/>
        </w:rPr>
        <w:t>and</w:t>
      </w:r>
      <w:r>
        <w:rPr>
          <w:spacing w:val="-12"/>
          <w:sz w:val="23"/>
        </w:rPr>
        <w:t> </w:t>
      </w:r>
      <w:r>
        <w:rPr>
          <w:sz w:val="23"/>
        </w:rPr>
        <w:t>other</w:t>
      </w:r>
      <w:r>
        <w:rPr>
          <w:spacing w:val="-14"/>
          <w:sz w:val="23"/>
        </w:rPr>
        <w:t> </w:t>
      </w:r>
      <w:r>
        <w:rPr>
          <w:sz w:val="23"/>
        </w:rPr>
        <w:t>birth-rate</w:t>
      </w:r>
      <w:r>
        <w:rPr>
          <w:spacing w:val="-13"/>
          <w:sz w:val="23"/>
        </w:rPr>
        <w:t> </w:t>
      </w:r>
      <w:r>
        <w:rPr>
          <w:sz w:val="23"/>
        </w:rPr>
        <w:t>controls</w:t>
      </w:r>
      <w:r>
        <w:rPr/>
        <w:t>.</w:t>
      </w:r>
      <w:r>
        <w:rPr>
          <w:spacing w:val="-15"/>
        </w:rPr>
        <w:t> </w:t>
      </w:r>
      <w:r>
        <w:rPr>
          <w:sz w:val="23"/>
        </w:rPr>
        <w:t>This</w:t>
      </w:r>
      <w:r>
        <w:rPr>
          <w:spacing w:val="-16"/>
          <w:sz w:val="23"/>
        </w:rPr>
        <w:t> </w:t>
      </w:r>
      <w:r>
        <w:rPr>
          <w:sz w:val="23"/>
        </w:rPr>
        <w:t>is</w:t>
      </w:r>
      <w:r>
        <w:rPr>
          <w:spacing w:val="-11"/>
          <w:sz w:val="23"/>
        </w:rPr>
        <w:t> </w:t>
      </w:r>
      <w:r>
        <w:rPr/>
        <w:t>important</w:t>
      </w:r>
      <w:r>
        <w:rPr>
          <w:spacing w:val="-14"/>
        </w:rPr>
        <w:t> </w:t>
      </w:r>
      <w:r>
        <w:rPr>
          <w:sz w:val="23"/>
        </w:rPr>
        <w:t>considering</w:t>
      </w:r>
      <w:r>
        <w:rPr>
          <w:spacing w:val="-14"/>
          <w:sz w:val="23"/>
        </w:rPr>
        <w:t> </w:t>
      </w:r>
      <w:r>
        <w:rPr/>
        <w:t>the</w:t>
      </w:r>
      <w:r>
        <w:rPr>
          <w:spacing w:val="-13"/>
        </w:rPr>
        <w:t> </w:t>
      </w:r>
      <w:r>
        <w:rPr/>
        <w:t>long-term</w:t>
      </w:r>
      <w:r>
        <w:rPr>
          <w:spacing w:val="-14"/>
        </w:rPr>
        <w:t> </w:t>
      </w:r>
      <w:r>
        <w:rPr>
          <w:sz w:val="23"/>
        </w:rPr>
        <w:t>implications</w:t>
      </w:r>
      <w:r>
        <w:rPr>
          <w:spacing w:val="-56"/>
          <w:sz w:val="23"/>
        </w:rPr>
        <w:t> </w:t>
      </w:r>
      <w:r>
        <w:rPr/>
        <w:t>of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household size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decision to seek appropriate</w:t>
      </w:r>
      <w:r>
        <w:rPr>
          <w:spacing w:val="-1"/>
        </w:rPr>
        <w:t> </w:t>
      </w:r>
      <w:r>
        <w:rPr/>
        <w:t>health care.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Heading4"/>
        <w:spacing w:before="77" w:after="3"/>
        <w:ind w:left="120"/>
      </w:pPr>
      <w:r>
        <w:rPr/>
        <w:t>Table</w:t>
      </w:r>
      <w:r>
        <w:rPr>
          <w:spacing w:val="-2"/>
        </w:rPr>
        <w:t> </w:t>
      </w:r>
      <w:r>
        <w:rPr/>
        <w:t>5.21</w:t>
      </w:r>
      <w:r>
        <w:rPr>
          <w:spacing w:val="-2"/>
        </w:rPr>
        <w:t> </w:t>
      </w:r>
      <w:r>
        <w:rPr/>
        <w:t>Random</w:t>
      </w:r>
      <w:r>
        <w:rPr>
          <w:spacing w:val="-5"/>
        </w:rPr>
        <w:t> </w:t>
      </w:r>
      <w:r>
        <w:rPr/>
        <w:t>Effect</w:t>
      </w:r>
      <w:r>
        <w:rPr>
          <w:spacing w:val="-1"/>
        </w:rPr>
        <w:t> </w:t>
      </w:r>
      <w:r>
        <w:rPr/>
        <w:t>Model</w:t>
      </w:r>
      <w:r>
        <w:rPr>
          <w:spacing w:val="1"/>
        </w:rPr>
        <w:t> </w:t>
      </w:r>
      <w:r>
        <w:rPr/>
        <w:t>(NGHPS</w:t>
      </w:r>
      <w:r>
        <w:rPr>
          <w:spacing w:val="-1"/>
        </w:rPr>
        <w:t> </w:t>
      </w:r>
      <w:r>
        <w:rPr/>
        <w:t>Waves)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1"/>
        <w:gridCol w:w="2161"/>
        <w:gridCol w:w="1352"/>
        <w:gridCol w:w="1529"/>
      </w:tblGrid>
      <w:tr>
        <w:trPr>
          <w:trHeight w:val="254" w:hRule="atLeast"/>
        </w:trPr>
        <w:tc>
          <w:tcPr>
            <w:tcW w:w="9183" w:type="dxa"/>
            <w:gridSpan w:val="4"/>
          </w:tcPr>
          <w:p>
            <w:pPr>
              <w:pStyle w:val="TableParagraph"/>
              <w:spacing w:line="234" w:lineRule="exact"/>
              <w:ind w:left="880"/>
              <w:jc w:val="left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Dependent</w:t>
            </w:r>
            <w:r>
              <w:rPr>
                <w:rFonts w:asci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Variable:</w:t>
            </w:r>
            <w:r>
              <w:rPr>
                <w:rFonts w:ascii="Times New Roman"/>
                <w:i/>
                <w:spacing w:val="-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Appropriate</w:t>
            </w:r>
            <w:r>
              <w:rPr>
                <w:rFonts w:ascii="Times New Roman"/>
                <w:i/>
                <w:spacing w:val="-4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Medical-care</w:t>
            </w:r>
            <w:r>
              <w:rPr>
                <w:rFonts w:ascii="Times New Roman"/>
                <w:i/>
                <w:spacing w:val="-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Consultations</w:t>
            </w:r>
            <w:r>
              <w:rPr>
                <w:rFonts w:asci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(in</w:t>
            </w:r>
            <w:r>
              <w:rPr>
                <w:rFonts w:ascii="Times New Roman"/>
                <w:i/>
                <w:spacing w:val="-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times</w:t>
            </w:r>
            <w:r>
              <w:rPr>
                <w:rFonts w:ascii="Times New Roman"/>
                <w:i/>
                <w:spacing w:val="-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of</w:t>
            </w:r>
            <w:r>
              <w:rPr>
                <w:rFonts w:ascii="Times New Roman"/>
                <w:i/>
                <w:spacing w:val="-4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illnesses)</w:t>
            </w:r>
          </w:p>
        </w:tc>
      </w:tr>
      <w:tr>
        <w:trPr>
          <w:trHeight w:val="251" w:hRule="atLeast"/>
        </w:trPr>
        <w:tc>
          <w:tcPr>
            <w:tcW w:w="4141" w:type="dxa"/>
          </w:tcPr>
          <w:p>
            <w:pPr>
              <w:pStyle w:val="TableParagraph"/>
              <w:spacing w:line="232" w:lineRule="exact"/>
              <w:ind w:left="1407" w:right="139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VARIABLES</w:t>
            </w:r>
          </w:p>
        </w:tc>
        <w:tc>
          <w:tcPr>
            <w:tcW w:w="2161" w:type="dxa"/>
          </w:tcPr>
          <w:p>
            <w:pPr>
              <w:pStyle w:val="TableParagraph"/>
              <w:spacing w:line="232" w:lineRule="exact"/>
              <w:ind w:left="152" w:right="144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Coefficient</w:t>
            </w:r>
          </w:p>
        </w:tc>
        <w:tc>
          <w:tcPr>
            <w:tcW w:w="1352" w:type="dxa"/>
          </w:tcPr>
          <w:p>
            <w:pPr>
              <w:pStyle w:val="TableParagraph"/>
              <w:spacing w:line="232" w:lineRule="exact"/>
              <w:ind w:left="118" w:right="115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Odd Ratios</w:t>
            </w:r>
          </w:p>
        </w:tc>
        <w:tc>
          <w:tcPr>
            <w:tcW w:w="1529" w:type="dxa"/>
          </w:tcPr>
          <w:p>
            <w:pPr>
              <w:pStyle w:val="TableParagraph"/>
              <w:spacing w:line="232" w:lineRule="exact"/>
              <w:ind w:left="154" w:right="152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Wald</w:t>
            </w:r>
            <w:r>
              <w:rPr>
                <w:rFonts w:ascii="Times New Roman"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Test (z)</w:t>
            </w:r>
          </w:p>
        </w:tc>
      </w:tr>
      <w:tr>
        <w:trPr>
          <w:trHeight w:val="639" w:hRule="atLeast"/>
        </w:trPr>
        <w:tc>
          <w:tcPr>
            <w:tcW w:w="4141" w:type="dxa"/>
            <w:vMerge w:val="restart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HOUSEHOLD</w:t>
            </w:r>
            <w:r>
              <w:rPr>
                <w:rFonts w:ascii="Times New Roman"/>
                <w:b/>
                <w:i/>
                <w:spacing w:val="-5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CHARACTERISTICS</w:t>
            </w:r>
          </w:p>
          <w:p>
            <w:pPr>
              <w:pStyle w:val="TableParagraph"/>
              <w:spacing w:line="237" w:lineRule="auto" w:before="3"/>
              <w:ind w:left="107" w:right="271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Family Size</w:t>
            </w:r>
            <w:r>
              <w:rPr>
                <w:rFonts w:ascii="Times New Roman"/>
                <w:b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Literacy Level</w:t>
            </w:r>
            <w:r>
              <w:rPr>
                <w:rFonts w:ascii="Times New Roman"/>
                <w:b/>
                <w:i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None</w:t>
            </w:r>
          </w:p>
          <w:p>
            <w:pPr>
              <w:pStyle w:val="TableParagraph"/>
              <w:ind w:left="218" w:right="201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Primary Education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Secondary Education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Tertiary</w:t>
            </w:r>
          </w:p>
          <w:p>
            <w:pPr>
              <w:pStyle w:val="TableParagraph"/>
              <w:spacing w:line="237" w:lineRule="auto" w:before="7"/>
              <w:ind w:left="218" w:right="3245" w:hanging="11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Gender</w:t>
            </w:r>
            <w:r>
              <w:rPr>
                <w:rFonts w:ascii="Times New Roman"/>
                <w:b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Male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Female</w:t>
            </w:r>
          </w:p>
          <w:p>
            <w:pPr>
              <w:pStyle w:val="TableParagraph"/>
              <w:spacing w:before="5"/>
              <w:ind w:left="218" w:right="2701" w:hanging="11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Marital Status</w:t>
            </w:r>
            <w:r>
              <w:rPr>
                <w:rFonts w:ascii="Times New Roman"/>
                <w:b/>
                <w:i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Married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Single Parent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Widowed</w:t>
            </w:r>
          </w:p>
          <w:p>
            <w:pPr>
              <w:pStyle w:val="TableParagraph"/>
              <w:spacing w:line="249" w:lineRule="exact"/>
              <w:ind w:left="27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Never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Married</w:t>
            </w:r>
          </w:p>
          <w:p>
            <w:pPr>
              <w:pStyle w:val="TableParagraph"/>
              <w:spacing w:line="251" w:lineRule="exact" w:before="4"/>
              <w:ind w:left="107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Does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your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spouse live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with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you?</w:t>
            </w:r>
          </w:p>
          <w:p>
            <w:pPr>
              <w:pStyle w:val="TableParagraph"/>
              <w:ind w:left="273" w:right="349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Yes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No</w:t>
            </w:r>
          </w:p>
        </w:tc>
        <w:tc>
          <w:tcPr>
            <w:tcW w:w="2161" w:type="dxa"/>
            <w:tcBorders>
              <w:bottom w:val="nil"/>
            </w:tcBorders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-0.8048***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(0.0401)</w:t>
            </w:r>
          </w:p>
        </w:tc>
        <w:tc>
          <w:tcPr>
            <w:tcW w:w="1352" w:type="dxa"/>
            <w:tcBorders>
              <w:bottom w:val="nil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0.4472</w:t>
            </w:r>
          </w:p>
        </w:tc>
        <w:tc>
          <w:tcPr>
            <w:tcW w:w="1529" w:type="dxa"/>
            <w:tcBorders>
              <w:bottom w:val="nil"/>
            </w:tcBorders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-20.05</w:t>
            </w:r>
          </w:p>
        </w:tc>
      </w:tr>
      <w:tr>
        <w:trPr>
          <w:trHeight w:val="369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110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-0.0603**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(0.0212)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124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0.9415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110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-2.84</w:t>
            </w:r>
          </w:p>
        </w:tc>
      </w:tr>
      <w:tr>
        <w:trPr>
          <w:trHeight w:val="242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1.4856***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(0.0663)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4.4176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22.41</w:t>
            </w:r>
          </w:p>
        </w:tc>
      </w:tr>
      <w:tr>
        <w:trPr>
          <w:trHeight w:val="244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0.8063***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(0.0299)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2.2396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26.96</w:t>
            </w:r>
          </w:p>
        </w:tc>
      </w:tr>
      <w:tr>
        <w:trPr>
          <w:trHeight w:val="366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0.6376***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(0.0294)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1.8919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21.71</w:t>
            </w:r>
          </w:p>
        </w:tc>
      </w:tr>
      <w:tr>
        <w:trPr>
          <w:trHeight w:val="369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107"/>
              <w:ind w:left="150" w:right="14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-0.0165 (0.0609)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 w:before="122"/>
              <w:ind w:left="120" w:right="11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0.9836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 w:before="107"/>
              <w:ind w:left="152" w:right="15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-0.27</w:t>
            </w:r>
          </w:p>
        </w:tc>
      </w:tr>
      <w:tr>
        <w:trPr>
          <w:trHeight w:val="371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0.1118**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(0.0473)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1.1183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2.37</w:t>
            </w:r>
          </w:p>
        </w:tc>
      </w:tr>
      <w:tr>
        <w:trPr>
          <w:trHeight w:val="369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110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0.2598***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(0.0138)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125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1.2967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110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18.77</w:t>
            </w:r>
          </w:p>
        </w:tc>
      </w:tr>
      <w:tr>
        <w:trPr>
          <w:trHeight w:val="244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-0.2498***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(0.0472)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0.9794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-5.29</w:t>
            </w:r>
          </w:p>
        </w:tc>
      </w:tr>
      <w:tr>
        <w:trPr>
          <w:trHeight w:val="241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-0.0208***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(0.0091)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0.9794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-2.30</w:t>
            </w:r>
          </w:p>
        </w:tc>
      </w:tr>
      <w:tr>
        <w:trPr>
          <w:trHeight w:val="370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-0.1218**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(0.0609)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0.8853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-2.00</w:t>
            </w:r>
          </w:p>
        </w:tc>
      </w:tr>
      <w:tr>
        <w:trPr>
          <w:trHeight w:val="368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109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0.1262**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(0.0478)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123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1.1345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109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2.64</w:t>
            </w:r>
          </w:p>
        </w:tc>
      </w:tr>
      <w:tr>
        <w:trPr>
          <w:trHeight w:val="252" w:hRule="atLeast"/>
        </w:trPr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53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-2.2384***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(0.0464)</w:t>
            </w:r>
          </w:p>
        </w:tc>
        <w:tc>
          <w:tcPr>
            <w:tcW w:w="1352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20" w:right="1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0.1066</w:t>
            </w:r>
          </w:p>
        </w:tc>
        <w:tc>
          <w:tcPr>
            <w:tcW w:w="1529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-48.28</w:t>
            </w:r>
          </w:p>
        </w:tc>
      </w:tr>
      <w:tr>
        <w:trPr>
          <w:trHeight w:val="2040" w:hRule="atLeast"/>
        </w:trPr>
        <w:tc>
          <w:tcPr>
            <w:tcW w:w="4141" w:type="dxa"/>
          </w:tcPr>
          <w:p>
            <w:pPr>
              <w:pStyle w:val="TableParagraph"/>
              <w:spacing w:line="250" w:lineRule="exact"/>
              <w:ind w:left="107"/>
              <w:jc w:val="left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HOUSEHOLDS’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TOTAL</w:t>
            </w:r>
            <w:r>
              <w:rPr>
                <w:rFonts w:ascii="Times New Roman" w:hAnsi="Times New Roman"/>
                <w:b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INCOME</w:t>
            </w:r>
          </w:p>
          <w:p>
            <w:pPr>
              <w:pStyle w:val="TableParagraph"/>
              <w:ind w:left="107" w:right="128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Wages and Salaries Incomes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Business Enterprises or Trades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Farming or Livestock Incomes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Remittances</w:t>
            </w:r>
          </w:p>
          <w:p>
            <w:pPr>
              <w:pStyle w:val="TableParagraph"/>
              <w:ind w:left="107" w:right="167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Pensions and Grants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Dividend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Investment</w:t>
            </w: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Income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Properties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Owned</w:t>
            </w:r>
          </w:p>
        </w:tc>
        <w:tc>
          <w:tcPr>
            <w:tcW w:w="2161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0.6467*** (0.0451)</w:t>
            </w:r>
          </w:p>
          <w:p>
            <w:pPr>
              <w:pStyle w:val="TableParagraph"/>
              <w:spacing w:line="252" w:lineRule="exact" w:before="2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0.0143*** (0.0018)</w:t>
            </w:r>
          </w:p>
          <w:p>
            <w:pPr>
              <w:pStyle w:val="TableParagraph"/>
              <w:spacing w:line="252" w:lineRule="exact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1.3519*** (0.0316)</w:t>
            </w:r>
          </w:p>
          <w:p>
            <w:pPr>
              <w:pStyle w:val="TableParagraph"/>
              <w:spacing w:line="252" w:lineRule="exact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0.2707*** (0.0316)</w:t>
            </w:r>
          </w:p>
          <w:p>
            <w:pPr>
              <w:pStyle w:val="TableParagraph"/>
              <w:spacing w:line="252" w:lineRule="exact" w:before="2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0.3010***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(0.0525)</w:t>
            </w:r>
          </w:p>
          <w:p>
            <w:pPr>
              <w:pStyle w:val="TableParagraph"/>
              <w:spacing w:line="252" w:lineRule="exact"/>
              <w:ind w:left="172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-1.0900***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(0.0651)</w:t>
            </w:r>
          </w:p>
          <w:p>
            <w:pPr>
              <w:pStyle w:val="TableParagraph"/>
              <w:spacing w:line="233" w:lineRule="exact" w:before="1"/>
              <w:ind w:left="20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0.3197*** (0.0436)</w:t>
            </w:r>
          </w:p>
        </w:tc>
        <w:tc>
          <w:tcPr>
            <w:tcW w:w="1352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1.9092</w:t>
            </w:r>
          </w:p>
          <w:p>
            <w:pPr>
              <w:pStyle w:val="TableParagraph"/>
              <w:spacing w:line="252" w:lineRule="exact" w:before="2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1.0144</w:t>
            </w:r>
          </w:p>
          <w:p>
            <w:pPr>
              <w:pStyle w:val="TableParagraph"/>
              <w:spacing w:line="252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3.8648</w:t>
            </w:r>
          </w:p>
          <w:p>
            <w:pPr>
              <w:pStyle w:val="TableParagraph"/>
              <w:spacing w:line="252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1.3109</w:t>
            </w:r>
          </w:p>
          <w:p>
            <w:pPr>
              <w:pStyle w:val="TableParagraph"/>
              <w:spacing w:line="252" w:lineRule="exact" w:before="2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1.3512</w:t>
            </w:r>
          </w:p>
          <w:p>
            <w:pPr>
              <w:pStyle w:val="TableParagraph"/>
              <w:spacing w:line="252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0.3362</w:t>
            </w:r>
          </w:p>
          <w:p>
            <w:pPr>
              <w:pStyle w:val="TableParagraph"/>
              <w:spacing w:line="233" w:lineRule="exact" w:before="1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1.3767</w:t>
            </w:r>
          </w:p>
        </w:tc>
        <w:tc>
          <w:tcPr>
            <w:tcW w:w="1529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14.34</w:t>
            </w:r>
          </w:p>
          <w:p>
            <w:pPr>
              <w:pStyle w:val="TableParagraph"/>
              <w:spacing w:line="252" w:lineRule="exact" w:before="2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7.75</w:t>
            </w:r>
          </w:p>
          <w:p>
            <w:pPr>
              <w:pStyle w:val="TableParagraph"/>
              <w:spacing w:line="252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35.98</w:t>
            </w:r>
          </w:p>
          <w:p>
            <w:pPr>
              <w:pStyle w:val="TableParagraph"/>
              <w:spacing w:line="252" w:lineRule="exact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8.55</w:t>
            </w:r>
          </w:p>
          <w:p>
            <w:pPr>
              <w:pStyle w:val="TableParagraph"/>
              <w:spacing w:line="252" w:lineRule="exact" w:before="2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5.74</w:t>
            </w:r>
          </w:p>
          <w:p>
            <w:pPr>
              <w:pStyle w:val="TableParagraph"/>
              <w:spacing w:line="252" w:lineRule="exact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-16.74</w:t>
            </w:r>
          </w:p>
          <w:p>
            <w:pPr>
              <w:pStyle w:val="TableParagraph"/>
              <w:spacing w:line="233" w:lineRule="exact" w:before="1"/>
              <w:ind w:left="154" w:right="15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7.33</w:t>
            </w:r>
          </w:p>
        </w:tc>
      </w:tr>
      <w:tr>
        <w:trPr>
          <w:trHeight w:val="774" w:hRule="atLeast"/>
        </w:trPr>
        <w:tc>
          <w:tcPr>
            <w:tcW w:w="4141" w:type="dxa"/>
          </w:tcPr>
          <w:p>
            <w:pPr>
              <w:pStyle w:val="TableParagraph"/>
              <w:spacing w:line="250" w:lineRule="exact"/>
              <w:ind w:left="107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INCOME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INEQUALITY</w:t>
            </w:r>
          </w:p>
          <w:p>
            <w:pPr>
              <w:pStyle w:val="TableParagraph"/>
              <w:ind w:left="107" w:right="255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Gini-Coefficient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Constant</w:t>
            </w:r>
          </w:p>
        </w:tc>
        <w:tc>
          <w:tcPr>
            <w:tcW w:w="2161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72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-0.0399***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(0.0094)</w:t>
            </w:r>
          </w:p>
          <w:p>
            <w:pPr>
              <w:pStyle w:val="TableParagraph"/>
              <w:spacing w:line="233" w:lineRule="exact" w:before="2"/>
              <w:ind w:left="172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-2.1587***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(0.1475)</w:t>
            </w:r>
          </w:p>
        </w:tc>
        <w:tc>
          <w:tcPr>
            <w:tcW w:w="1352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0.9609</w:t>
            </w:r>
          </w:p>
          <w:p>
            <w:pPr>
              <w:pStyle w:val="TableParagraph"/>
              <w:spacing w:line="250" w:lineRule="exact"/>
              <w:ind w:left="37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0.1155</w:t>
            </w:r>
          </w:p>
        </w:tc>
        <w:tc>
          <w:tcPr>
            <w:tcW w:w="1529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-4.26</w:t>
            </w:r>
          </w:p>
          <w:p>
            <w:pPr>
              <w:pStyle w:val="TableParagraph"/>
              <w:spacing w:line="233" w:lineRule="exact" w:before="2"/>
              <w:ind w:left="154" w:right="15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-14.64</w:t>
            </w:r>
          </w:p>
        </w:tc>
      </w:tr>
      <w:tr>
        <w:trPr>
          <w:trHeight w:val="249" w:hRule="atLeast"/>
        </w:trPr>
        <w:tc>
          <w:tcPr>
            <w:tcW w:w="4141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Number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Observations</w:t>
            </w:r>
          </w:p>
        </w:tc>
        <w:tc>
          <w:tcPr>
            <w:tcW w:w="2161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153" w:right="14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71,942</w:t>
            </w:r>
          </w:p>
        </w:tc>
        <w:tc>
          <w:tcPr>
            <w:tcW w:w="1352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29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43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Wald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Chi</w:t>
            </w:r>
            <w:r>
              <w:rPr>
                <w:rFonts w:ascii="Times New Roman"/>
                <w:sz w:val="22"/>
                <w:vertAlign w:val="superscript"/>
              </w:rPr>
              <w:t>2</w:t>
            </w:r>
            <w:r>
              <w:rPr>
                <w:rFonts w:ascii="Times New Roman"/>
                <w:sz w:val="22"/>
                <w:vertAlign w:val="baseline"/>
              </w:rPr>
              <w:t> (21)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1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9,362.98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Probability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53" w:right="14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0.0000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41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Pseudo R</w:t>
            </w:r>
            <w:r>
              <w:rPr>
                <w:rFonts w:ascii="Times New Roman"/>
                <w:sz w:val="22"/>
                <w:vertAlign w:val="superscript"/>
              </w:rPr>
              <w:t>2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3" w:right="14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0.6747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4141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Number of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States</w:t>
            </w:r>
          </w:p>
        </w:tc>
        <w:tc>
          <w:tcPr>
            <w:tcW w:w="2161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152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37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120" w:right="0" w:firstLine="0"/>
        <w:jc w:val="left"/>
        <w:rPr>
          <w:sz w:val="20"/>
        </w:rPr>
      </w:pPr>
      <w:r>
        <w:rPr>
          <w:sz w:val="20"/>
        </w:rPr>
        <w:t>NOTE:</w:t>
      </w:r>
      <w:r>
        <w:rPr>
          <w:spacing w:val="-3"/>
          <w:sz w:val="20"/>
        </w:rPr>
        <w:t> </w:t>
      </w:r>
      <w:r>
        <w:rPr>
          <w:sz w:val="20"/>
        </w:rPr>
        <w:t>1.</w:t>
      </w:r>
      <w:r>
        <w:rPr>
          <w:spacing w:val="-2"/>
          <w:sz w:val="20"/>
        </w:rPr>
        <w:t> </w:t>
      </w:r>
      <w:r>
        <w:rPr>
          <w:sz w:val="20"/>
        </w:rPr>
        <w:t>*Significant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10%,</w:t>
      </w:r>
      <w:r>
        <w:rPr>
          <w:spacing w:val="-2"/>
          <w:sz w:val="20"/>
        </w:rPr>
        <w:t> </w:t>
      </w:r>
      <w:r>
        <w:rPr>
          <w:sz w:val="20"/>
        </w:rPr>
        <w:t>**</w:t>
      </w:r>
      <w:r>
        <w:rPr>
          <w:spacing w:val="-3"/>
          <w:sz w:val="20"/>
        </w:rPr>
        <w:t> </w:t>
      </w:r>
      <w:r>
        <w:rPr>
          <w:sz w:val="20"/>
        </w:rPr>
        <w:t>significant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5%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***</w:t>
      </w:r>
      <w:r>
        <w:rPr>
          <w:spacing w:val="-3"/>
          <w:sz w:val="20"/>
        </w:rPr>
        <w:t> </w:t>
      </w:r>
      <w:r>
        <w:rPr>
          <w:sz w:val="20"/>
        </w:rPr>
        <w:t>significant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1%</w:t>
      </w:r>
    </w:p>
    <w:p>
      <w:pPr>
        <w:spacing w:before="0"/>
        <w:ind w:left="120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parentheses</w:t>
      </w:r>
      <w:r>
        <w:rPr>
          <w:spacing w:val="-3"/>
          <w:sz w:val="20"/>
        </w:rPr>
        <w:t> </w:t>
      </w:r>
      <w:r>
        <w:rPr>
          <w:sz w:val="20"/>
        </w:rPr>
        <w:t>denotes</w:t>
      </w:r>
      <w:r>
        <w:rPr>
          <w:spacing w:val="-3"/>
          <w:sz w:val="20"/>
        </w:rPr>
        <w:t> </w:t>
      </w:r>
      <w:r>
        <w:rPr>
          <w:sz w:val="20"/>
        </w:rPr>
        <w:t>the robust</w:t>
      </w:r>
      <w:r>
        <w:rPr>
          <w:spacing w:val="-2"/>
          <w:sz w:val="20"/>
        </w:rPr>
        <w:t> </w:t>
      </w:r>
      <w:r>
        <w:rPr>
          <w:sz w:val="20"/>
        </w:rPr>
        <w:t>standard</w:t>
      </w:r>
      <w:r>
        <w:rPr>
          <w:spacing w:val="-1"/>
          <w:sz w:val="20"/>
        </w:rPr>
        <w:t> </w:t>
      </w:r>
      <w:r>
        <w:rPr>
          <w:sz w:val="20"/>
        </w:rPr>
        <w:t>errors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4"/>
          <w:sz w:val="20"/>
        </w:rPr>
        <w:t> </w:t>
      </w:r>
      <w:r>
        <w:rPr>
          <w:sz w:val="20"/>
        </w:rPr>
        <w:t>estimates</w:t>
      </w:r>
    </w:p>
    <w:p>
      <w:pPr>
        <w:spacing w:before="0"/>
        <w:ind w:left="120" w:right="0" w:firstLine="0"/>
        <w:jc w:val="left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2"/>
          <w:sz w:val="20"/>
        </w:rPr>
        <w:t> </w:t>
      </w:r>
      <w:r>
        <w:rPr>
          <w:sz w:val="20"/>
        </w:rPr>
        <w:t>Researcher’s</w:t>
      </w:r>
      <w:r>
        <w:rPr>
          <w:spacing w:val="-1"/>
          <w:sz w:val="20"/>
        </w:rPr>
        <w:t> </w:t>
      </w:r>
      <w:r>
        <w:rPr>
          <w:sz w:val="20"/>
        </w:rPr>
        <w:t>Computation</w:t>
      </w:r>
      <w:r>
        <w:rPr>
          <w:spacing w:val="-3"/>
          <w:sz w:val="20"/>
        </w:rPr>
        <w:t> </w:t>
      </w:r>
      <w:r>
        <w:rPr>
          <w:sz w:val="20"/>
        </w:rPr>
        <w:t>using</w:t>
      </w:r>
      <w:r>
        <w:rPr>
          <w:spacing w:val="-3"/>
          <w:sz w:val="20"/>
        </w:rPr>
        <w:t> </w:t>
      </w:r>
      <w:r>
        <w:rPr>
          <w:sz w:val="20"/>
        </w:rPr>
        <w:t>Stata</w:t>
      </w:r>
      <w:r>
        <w:rPr>
          <w:spacing w:val="-2"/>
          <w:sz w:val="20"/>
        </w:rPr>
        <w:t> </w:t>
      </w:r>
      <w:r>
        <w:rPr>
          <w:sz w:val="20"/>
        </w:rPr>
        <w:t>13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/>
        <w:ind w:left="120" w:right="112"/>
        <w:jc w:val="both"/>
      </w:pPr>
      <w:r>
        <w:rPr/>
        <w:t>The</w:t>
      </w:r>
      <w:r>
        <w:rPr>
          <w:spacing w:val="-12"/>
        </w:rPr>
        <w:t> </w:t>
      </w:r>
      <w:r>
        <w:rPr/>
        <w:t>findings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RE</w:t>
      </w:r>
      <w:r>
        <w:rPr>
          <w:spacing w:val="-11"/>
        </w:rPr>
        <w:t> </w:t>
      </w:r>
      <w:r>
        <w:rPr/>
        <w:t>model</w:t>
      </w:r>
      <w:r>
        <w:rPr>
          <w:spacing w:val="-11"/>
        </w:rPr>
        <w:t> </w:t>
      </w:r>
      <w:r>
        <w:rPr/>
        <w:t>also</w:t>
      </w:r>
      <w:r>
        <w:rPr>
          <w:spacing w:val="-10"/>
        </w:rPr>
        <w:t> </w:t>
      </w:r>
      <w:r>
        <w:rPr/>
        <w:t>conform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POLS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FE</w:t>
      </w:r>
      <w:r>
        <w:rPr>
          <w:spacing w:val="-11"/>
        </w:rPr>
        <w:t> </w:t>
      </w:r>
      <w:r>
        <w:rPr/>
        <w:t>models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terms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income</w:t>
      </w:r>
      <w:r>
        <w:rPr>
          <w:spacing w:val="-58"/>
        </w:rPr>
        <w:t> </w:t>
      </w:r>
      <w:r>
        <w:rPr>
          <w:spacing w:val="-1"/>
        </w:rPr>
        <w:t>inequality</w:t>
      </w:r>
      <w:r>
        <w:rPr>
          <w:spacing w:val="-20"/>
        </w:rPr>
        <w:t> </w:t>
      </w:r>
      <w:r>
        <w:rPr/>
        <w:t>on</w:t>
      </w:r>
      <w:r>
        <w:rPr>
          <w:spacing w:val="-12"/>
        </w:rPr>
        <w:t> </w:t>
      </w:r>
      <w:r>
        <w:rPr/>
        <w:t>appropriate</w:t>
      </w:r>
      <w:r>
        <w:rPr>
          <w:spacing w:val="-12"/>
        </w:rPr>
        <w:t> </w:t>
      </w:r>
      <w:r>
        <w:rPr/>
        <w:t>medical-care</w:t>
      </w:r>
      <w:r>
        <w:rPr>
          <w:spacing w:val="-14"/>
        </w:rPr>
        <w:t> </w:t>
      </w:r>
      <w:r>
        <w:rPr/>
        <w:t>seeking</w:t>
      </w:r>
      <w:r>
        <w:rPr>
          <w:spacing w:val="-15"/>
        </w:rPr>
        <w:t> </w:t>
      </w:r>
      <w:r>
        <w:rPr/>
        <w:t>mediated</w:t>
      </w:r>
      <w:r>
        <w:rPr>
          <w:spacing w:val="-14"/>
        </w:rPr>
        <w:t> </w:t>
      </w:r>
      <w:r>
        <w:rPr/>
        <w:t>by</w:t>
      </w:r>
      <w:r>
        <w:rPr>
          <w:spacing w:val="-18"/>
        </w:rPr>
        <w:t> </w:t>
      </w:r>
      <w:r>
        <w:rPr/>
        <w:t>education.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was</w:t>
      </w:r>
      <w:r>
        <w:rPr>
          <w:spacing w:val="-14"/>
        </w:rPr>
        <w:t> </w:t>
      </w:r>
      <w:r>
        <w:rPr/>
        <w:t>found</w:t>
      </w:r>
      <w:r>
        <w:rPr>
          <w:spacing w:val="-16"/>
        </w:rPr>
        <w:t> </w:t>
      </w:r>
      <w:r>
        <w:rPr/>
        <w:t>that</w:t>
      </w:r>
      <w:r>
        <w:rPr>
          <w:spacing w:val="-13"/>
        </w:rPr>
        <w:t> </w:t>
      </w:r>
      <w:r>
        <w:rPr/>
        <w:t>household</w:t>
      </w:r>
      <w:r>
        <w:rPr>
          <w:spacing w:val="-58"/>
        </w:rPr>
        <w:t> </w:t>
      </w:r>
      <w:r>
        <w:rPr>
          <w:spacing w:val="-1"/>
        </w:rPr>
        <w:t>heads</w:t>
      </w:r>
      <w:r>
        <w:rPr>
          <w:spacing w:val="-15"/>
        </w:rPr>
        <w:t> </w:t>
      </w:r>
      <w:r>
        <w:rPr>
          <w:spacing w:val="-1"/>
          <w:sz w:val="23"/>
        </w:rPr>
        <w:t>without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basic</w:t>
      </w:r>
      <w:r>
        <w:rPr>
          <w:spacing w:val="-11"/>
          <w:sz w:val="23"/>
        </w:rPr>
        <w:t> </w:t>
      </w:r>
      <w:r>
        <w:rPr/>
        <w:t>education</w:t>
      </w:r>
      <w:r>
        <w:rPr>
          <w:spacing w:val="-14"/>
        </w:rPr>
        <w:t> </w:t>
      </w:r>
      <w:r>
        <w:rPr/>
        <w:t>seeks</w:t>
      </w:r>
      <w:r>
        <w:rPr>
          <w:spacing w:val="-15"/>
        </w:rPr>
        <w:t> </w:t>
      </w:r>
      <w:r>
        <w:rPr/>
        <w:t>inappropriate</w:t>
      </w:r>
      <w:r>
        <w:rPr>
          <w:spacing w:val="-15"/>
        </w:rPr>
        <w:t> </w:t>
      </w:r>
      <w:r>
        <w:rPr>
          <w:sz w:val="23"/>
        </w:rPr>
        <w:t>healthcare</w:t>
      </w:r>
      <w:r>
        <w:rPr>
          <w:spacing w:val="-10"/>
          <w:sz w:val="23"/>
        </w:rPr>
        <w:t> </w:t>
      </w:r>
      <w:r>
        <w:rPr/>
        <w:t>services</w:t>
      </w:r>
      <w:r>
        <w:rPr>
          <w:spacing w:val="-15"/>
        </w:rPr>
        <w:t> </w:t>
      </w:r>
      <w:r>
        <w:rPr>
          <w:sz w:val="23"/>
        </w:rPr>
        <w:t>significantly</w:t>
      </w:r>
      <w:r>
        <w:rPr/>
        <w:t>.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7"/>
        </w:rPr>
        <w:t> </w:t>
      </w:r>
      <w:r>
        <w:rPr>
          <w:sz w:val="23"/>
        </w:rPr>
        <w:t>shows</w:t>
      </w:r>
      <w:r>
        <w:rPr>
          <w:spacing w:val="-55"/>
          <w:sz w:val="23"/>
        </w:rPr>
        <w:t> </w:t>
      </w:r>
      <w:r>
        <w:rPr/>
        <w:t>that,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likelihood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family’s</w:t>
      </w:r>
      <w:r>
        <w:rPr>
          <w:spacing w:val="-12"/>
        </w:rPr>
        <w:t> </w:t>
      </w:r>
      <w:r>
        <w:rPr/>
        <w:t>members</w:t>
      </w:r>
      <w:r>
        <w:rPr>
          <w:spacing w:val="-13"/>
        </w:rPr>
        <w:t> </w:t>
      </w:r>
      <w:r>
        <w:rPr/>
        <w:t>whose</w:t>
      </w:r>
      <w:r>
        <w:rPr>
          <w:spacing w:val="-12"/>
        </w:rPr>
        <w:t> </w:t>
      </w:r>
      <w:r>
        <w:rPr/>
        <w:t>heads</w:t>
      </w:r>
      <w:r>
        <w:rPr>
          <w:spacing w:val="-12"/>
        </w:rPr>
        <w:t> </w:t>
      </w:r>
      <w:r>
        <w:rPr/>
        <w:t>had</w:t>
      </w:r>
      <w:r>
        <w:rPr>
          <w:spacing w:val="-11"/>
        </w:rPr>
        <w:t> </w:t>
      </w:r>
      <w:r>
        <w:rPr/>
        <w:t>no</w:t>
      </w:r>
      <w:r>
        <w:rPr>
          <w:spacing w:val="-12"/>
        </w:rPr>
        <w:t> </w:t>
      </w:r>
      <w:r>
        <w:rPr/>
        <w:t>education</w:t>
      </w:r>
      <w:r>
        <w:rPr>
          <w:spacing w:val="-10"/>
        </w:rPr>
        <w:t> </w:t>
      </w:r>
      <w:r>
        <w:rPr/>
        <w:t>relying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self-medication,</w:t>
      </w:r>
      <w:r>
        <w:rPr>
          <w:spacing w:val="-57"/>
        </w:rPr>
        <w:t> </w:t>
      </w:r>
      <w:r>
        <w:rPr/>
        <w:t>patent vendors, traditionalist and spiritualist is 9%. This is similar to the results obtained in the</w:t>
      </w:r>
      <w:r>
        <w:rPr>
          <w:spacing w:val="1"/>
        </w:rPr>
        <w:t> </w:t>
      </w:r>
      <w:r>
        <w:rPr>
          <w:spacing w:val="-1"/>
        </w:rPr>
        <w:t>POLS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FE</w:t>
      </w:r>
      <w:r>
        <w:rPr>
          <w:spacing w:val="-12"/>
        </w:rPr>
        <w:t> </w:t>
      </w:r>
      <w:r>
        <w:rPr>
          <w:spacing w:val="-1"/>
        </w:rPr>
        <w:t>estimations.</w:t>
      </w:r>
      <w:r>
        <w:rPr>
          <w:spacing w:val="-14"/>
        </w:rPr>
        <w:t> </w:t>
      </w:r>
      <w:r>
        <w:rPr/>
        <w:t>Whereas,</w:t>
      </w:r>
      <w:r>
        <w:rPr>
          <w:spacing w:val="-14"/>
        </w:rPr>
        <w:t> </w:t>
      </w:r>
      <w:r>
        <w:rPr/>
        <w:t>those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primary,</w:t>
      </w:r>
      <w:r>
        <w:rPr>
          <w:spacing w:val="-13"/>
        </w:rPr>
        <w:t> </w:t>
      </w:r>
      <w:r>
        <w:rPr/>
        <w:t>secondary</w:t>
      </w:r>
      <w:r>
        <w:rPr>
          <w:spacing w:val="-16"/>
        </w:rPr>
        <w:t> </w:t>
      </w:r>
      <w:r>
        <w:rPr/>
        <w:t>and</w:t>
      </w:r>
      <w:r>
        <w:rPr>
          <w:spacing w:val="-14"/>
        </w:rPr>
        <w:t> </w:t>
      </w:r>
      <w:r>
        <w:rPr/>
        <w:t>tertiary</w:t>
      </w:r>
      <w:r>
        <w:rPr>
          <w:spacing w:val="-20"/>
        </w:rPr>
        <w:t> </w:t>
      </w:r>
      <w:r>
        <w:rPr/>
        <w:t>qualifications</w:t>
      </w:r>
      <w:r>
        <w:rPr>
          <w:spacing w:val="-14"/>
        </w:rPr>
        <w:t> </w:t>
      </w:r>
      <w:r>
        <w:rPr/>
        <w:t>were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5"/>
        <w:jc w:val="both"/>
      </w:pPr>
      <w:r>
        <w:rPr>
          <w:spacing w:val="-1"/>
        </w:rPr>
        <w:t>statistically</w:t>
      </w:r>
      <w:r>
        <w:rPr>
          <w:spacing w:val="-20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positively</w:t>
      </w:r>
      <w:r>
        <w:rPr>
          <w:spacing w:val="-19"/>
        </w:rPr>
        <w:t> </w:t>
      </w:r>
      <w:r>
        <w:rPr/>
        <w:t>associated</w:t>
      </w:r>
      <w:r>
        <w:rPr>
          <w:spacing w:val="-12"/>
        </w:rPr>
        <w:t> </w:t>
      </w:r>
      <w:r>
        <w:rPr/>
        <w:t>with</w:t>
      </w:r>
      <w:r>
        <w:rPr>
          <w:spacing w:val="-13"/>
        </w:rPr>
        <w:t> </w:t>
      </w:r>
      <w:r>
        <w:rPr/>
        <w:t>orthodox</w:t>
      </w:r>
      <w:r>
        <w:rPr>
          <w:spacing w:val="-13"/>
        </w:rPr>
        <w:t> </w:t>
      </w:r>
      <w:r>
        <w:rPr/>
        <w:t>medical-care.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estimates</w:t>
      </w:r>
      <w:r>
        <w:rPr>
          <w:spacing w:val="-10"/>
        </w:rPr>
        <w:t> </w:t>
      </w:r>
      <w:r>
        <w:rPr/>
        <w:t>further</w:t>
      </w:r>
      <w:r>
        <w:rPr>
          <w:spacing w:val="-58"/>
        </w:rPr>
        <w:t> </w:t>
      </w:r>
      <w:r>
        <w:rPr/>
        <w:t>show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likelihood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using</w:t>
      </w:r>
      <w:r>
        <w:rPr>
          <w:spacing w:val="-10"/>
        </w:rPr>
        <w:t> </w:t>
      </w:r>
      <w:r>
        <w:rPr/>
        <w:t>appropriate</w:t>
      </w:r>
      <w:r>
        <w:rPr>
          <w:spacing w:val="-8"/>
        </w:rPr>
        <w:t> </w:t>
      </w:r>
      <w:r>
        <w:rPr/>
        <w:t>medical-care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89%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household</w:t>
      </w:r>
      <w:r>
        <w:rPr>
          <w:spacing w:val="-8"/>
        </w:rPr>
        <w:t> </w:t>
      </w:r>
      <w:r>
        <w:rPr/>
        <w:t>heads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higher</w:t>
      </w:r>
      <w:r>
        <w:rPr>
          <w:spacing w:val="-58"/>
        </w:rPr>
        <w:t> </w:t>
      </w:r>
      <w:r>
        <w:rPr/>
        <w:t>education. This implies that the more educational qualification of household’s heads, the higher</w:t>
      </w:r>
      <w:r>
        <w:rPr>
          <w:spacing w:val="1"/>
        </w:rPr>
        <w:t> </w:t>
      </w:r>
      <w:r>
        <w:rPr/>
        <w:t>likelihood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members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consult</w:t>
      </w:r>
      <w:r>
        <w:rPr>
          <w:spacing w:val="-2"/>
        </w:rPr>
        <w:t> </w:t>
      </w:r>
      <w:r>
        <w:rPr/>
        <w:t>orthodoxy</w:t>
      </w:r>
      <w:r>
        <w:rPr>
          <w:spacing w:val="-10"/>
        </w:rPr>
        <w:t> </w:t>
      </w:r>
      <w:r>
        <w:rPr/>
        <w:t>medical-care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times of</w:t>
      </w:r>
      <w:r>
        <w:rPr>
          <w:spacing w:val="-4"/>
        </w:rPr>
        <w:t> </w:t>
      </w:r>
      <w:r>
        <w:rPr/>
        <w:t>ill-health.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line with the empirical results of Zajacova and Lawrence (2018) that, education is key to healthy-</w:t>
      </w:r>
      <w:r>
        <w:rPr>
          <w:spacing w:val="-57"/>
        </w:rPr>
        <w:t> </w:t>
      </w:r>
      <w:r>
        <w:rPr/>
        <w:t>seeking</w:t>
      </w:r>
      <w:r>
        <w:rPr>
          <w:spacing w:val="-3"/>
        </w:rPr>
        <w:t> </w:t>
      </w:r>
      <w:r>
        <w:rPr/>
        <w:t>behavior in developing</w:t>
      </w:r>
      <w:r>
        <w:rPr>
          <w:spacing w:val="-3"/>
        </w:rPr>
        <w:t> </w:t>
      </w:r>
      <w:r>
        <w:rPr/>
        <w:t>countries.</w:t>
      </w:r>
    </w:p>
    <w:p>
      <w:pPr>
        <w:pStyle w:val="BodyText"/>
        <w:spacing w:line="360" w:lineRule="auto" w:before="137"/>
        <w:ind w:left="120" w:right="117"/>
        <w:jc w:val="both"/>
      </w:pPr>
      <w:r>
        <w:rPr/>
        <w:t>The</w:t>
      </w:r>
      <w:r>
        <w:rPr>
          <w:spacing w:val="-12"/>
        </w:rPr>
        <w:t> </w:t>
      </w:r>
      <w:r>
        <w:rPr/>
        <w:t>estimates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gender</w:t>
      </w:r>
      <w:r>
        <w:rPr>
          <w:spacing w:val="-9"/>
        </w:rPr>
        <w:t> </w:t>
      </w:r>
      <w:r>
        <w:rPr/>
        <w:t>reveal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female</w:t>
      </w:r>
      <w:r>
        <w:rPr>
          <w:spacing w:val="-11"/>
        </w:rPr>
        <w:t> </w:t>
      </w:r>
      <w:r>
        <w:rPr/>
        <w:t>seek</w:t>
      </w:r>
      <w:r>
        <w:rPr>
          <w:spacing w:val="-9"/>
        </w:rPr>
        <w:t> </w:t>
      </w:r>
      <w:r>
        <w:rPr/>
        <w:t>more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appropriate</w:t>
      </w:r>
      <w:r>
        <w:rPr>
          <w:spacing w:val="-12"/>
        </w:rPr>
        <w:t> </w:t>
      </w:r>
      <w:r>
        <w:rPr/>
        <w:t>healthcare</w:t>
      </w:r>
      <w:r>
        <w:rPr>
          <w:spacing w:val="-12"/>
        </w:rPr>
        <w:t> </w:t>
      </w:r>
      <w:r>
        <w:rPr/>
        <w:t>services</w:t>
      </w:r>
      <w:r>
        <w:rPr>
          <w:spacing w:val="-9"/>
        </w:rPr>
        <w:t> </w:t>
      </w:r>
      <w:r>
        <w:rPr/>
        <w:t>than</w:t>
      </w:r>
      <w:r>
        <w:rPr>
          <w:spacing w:val="-12"/>
        </w:rPr>
        <w:t> </w:t>
      </w:r>
      <w:r>
        <w:rPr/>
        <w:t>male</w:t>
      </w:r>
      <w:r>
        <w:rPr>
          <w:spacing w:val="-58"/>
        </w:rPr>
        <w:t> </w:t>
      </w:r>
      <w:r>
        <w:rPr/>
        <w:t>significantly. It is also in line with Matheson (2014), that female uses more of orthodox medical</w:t>
      </w:r>
      <w:r>
        <w:rPr>
          <w:spacing w:val="1"/>
        </w:rPr>
        <w:t> </w:t>
      </w:r>
      <w:r>
        <w:rPr/>
        <w:t>services to male in developed countries. In terms of marital status, being a single parent, never</w:t>
      </w:r>
      <w:r>
        <w:rPr>
          <w:spacing w:val="1"/>
        </w:rPr>
        <w:t> </w:t>
      </w:r>
      <w:r>
        <w:rPr/>
        <w:t>married and widow were significant but inversely related with seeking appropriate medical-care.</w:t>
      </w:r>
      <w:r>
        <w:rPr>
          <w:spacing w:val="1"/>
        </w:rPr>
        <w:t> </w:t>
      </w:r>
      <w:r>
        <w:rPr/>
        <w:t>These results suggest that, with widening income inequality, these categories of individual will</w:t>
      </w:r>
      <w:r>
        <w:rPr>
          <w:spacing w:val="1"/>
        </w:rPr>
        <w:t> </w:t>
      </w:r>
      <w:r>
        <w:rPr/>
        <w:t>seek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of inappropriate health care</w:t>
      </w:r>
      <w:r>
        <w:rPr>
          <w:spacing w:val="-2"/>
        </w:rPr>
        <w:t> </w:t>
      </w:r>
      <w:r>
        <w:rPr/>
        <w:t>services.</w:t>
      </w:r>
    </w:p>
    <w:p>
      <w:pPr>
        <w:pStyle w:val="BodyText"/>
        <w:spacing w:line="360" w:lineRule="auto" w:before="162"/>
        <w:ind w:left="120" w:right="112"/>
        <w:jc w:val="both"/>
      </w:pPr>
      <w:r>
        <w:rPr/>
        <w:t>However,</w:t>
      </w:r>
      <w:r>
        <w:rPr>
          <w:spacing w:val="-8"/>
        </w:rPr>
        <w:t> </w:t>
      </w:r>
      <w:r>
        <w:rPr/>
        <w:t>there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positive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rising</w:t>
      </w:r>
      <w:r>
        <w:rPr>
          <w:spacing w:val="-8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inequality-effect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seeking</w:t>
      </w:r>
      <w:r>
        <w:rPr>
          <w:spacing w:val="-8"/>
        </w:rPr>
        <w:t> </w:t>
      </w:r>
      <w:r>
        <w:rPr/>
        <w:t>appropriate</w:t>
      </w:r>
      <w:r>
        <w:rPr>
          <w:spacing w:val="-58"/>
        </w:rPr>
        <w:t> </w:t>
      </w:r>
      <w:r>
        <w:rPr/>
        <w:t>medical-care mediated by marriage. In particular, the likelihood of married consulting orthodoxy</w:t>
      </w:r>
      <w:r>
        <w:rPr>
          <w:spacing w:val="-57"/>
        </w:rPr>
        <w:t> </w:t>
      </w:r>
      <w:r>
        <w:rPr/>
        <w:t>healthcare is 30%. Similar results were obtained in both POLS and FE estimations. The reasons</w:t>
      </w:r>
      <w:r>
        <w:rPr>
          <w:spacing w:val="1"/>
        </w:rPr>
        <w:t> </w:t>
      </w:r>
      <w:r>
        <w:rPr/>
        <w:t>could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cohabiting</w:t>
      </w:r>
      <w:r>
        <w:rPr>
          <w:spacing w:val="-6"/>
        </w:rPr>
        <w:t> </w:t>
      </w:r>
      <w:r>
        <w:rPr/>
        <w:t>couples</w:t>
      </w:r>
      <w:r>
        <w:rPr>
          <w:spacing w:val="-7"/>
        </w:rPr>
        <w:t> </w:t>
      </w:r>
      <w:r>
        <w:rPr/>
        <w:t>(compare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others)</w:t>
      </w:r>
      <w:r>
        <w:rPr>
          <w:spacing w:val="-7"/>
        </w:rPr>
        <w:t> </w:t>
      </w:r>
      <w:r>
        <w:rPr/>
        <w:t>make</w:t>
      </w:r>
      <w:r>
        <w:rPr>
          <w:spacing w:val="-9"/>
        </w:rPr>
        <w:t> </w:t>
      </w:r>
      <w:r>
        <w:rPr/>
        <w:t>joint</w:t>
      </w:r>
      <w:r>
        <w:rPr>
          <w:spacing w:val="-6"/>
        </w:rPr>
        <w:t> </w:t>
      </w:r>
      <w:r>
        <w:rPr/>
        <w:t>decisions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pool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resources</w:t>
      </w:r>
      <w:r>
        <w:rPr>
          <w:spacing w:val="-58"/>
        </w:rPr>
        <w:t> </w:t>
      </w:r>
      <w:r>
        <w:rPr/>
        <w:t>together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access</w:t>
      </w:r>
      <w:r>
        <w:rPr>
          <w:spacing w:val="-8"/>
        </w:rPr>
        <w:t> </w:t>
      </w:r>
      <w:r>
        <w:rPr/>
        <w:t>health</w:t>
      </w:r>
      <w:r>
        <w:rPr>
          <w:spacing w:val="-5"/>
        </w:rPr>
        <w:t> </w:t>
      </w:r>
      <w:r>
        <w:rPr/>
        <w:t>care</w:t>
      </w:r>
      <w:r>
        <w:rPr>
          <w:spacing w:val="-7"/>
        </w:rPr>
        <w:t> </w:t>
      </w:r>
      <w:r>
        <w:rPr/>
        <w:t>services.</w:t>
      </w:r>
      <w:r>
        <w:rPr>
          <w:spacing w:val="-6"/>
        </w:rPr>
        <w:t> </w:t>
      </w:r>
      <w:r>
        <w:rPr/>
        <w:t>Couples</w:t>
      </w:r>
      <w:r>
        <w:rPr>
          <w:spacing w:val="-7"/>
        </w:rPr>
        <w:t> </w:t>
      </w:r>
      <w:r>
        <w:rPr/>
        <w:t>often</w:t>
      </w:r>
      <w:r>
        <w:rPr>
          <w:spacing w:val="-7"/>
        </w:rPr>
        <w:t> </w:t>
      </w:r>
      <w:r>
        <w:rPr/>
        <w:t>pay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their</w:t>
      </w:r>
      <w:r>
        <w:rPr>
          <w:spacing w:val="-8"/>
        </w:rPr>
        <w:t> </w:t>
      </w:r>
      <w:r>
        <w:rPr/>
        <w:t>children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attend</w:t>
      </w:r>
      <w:r>
        <w:rPr>
          <w:spacing w:val="-9"/>
        </w:rPr>
        <w:t> </w:t>
      </w:r>
      <w:r>
        <w:rPr/>
        <w:t>medical-care.</w:t>
      </w:r>
      <w:r>
        <w:rPr>
          <w:spacing w:val="-57"/>
        </w:rPr>
        <w:t> </w:t>
      </w:r>
      <w:r>
        <w:rPr/>
        <w:t>The results further indicate that the likelihood of seeking appropriate healthcare services when</w:t>
      </w:r>
      <w:r>
        <w:rPr>
          <w:spacing w:val="1"/>
        </w:rPr>
        <w:t> </w:t>
      </w:r>
      <w:r>
        <w:rPr/>
        <w:t>couple live together is significant whereas living apart is related with inappropriate healthcare</w:t>
      </w:r>
      <w:r>
        <w:rPr>
          <w:spacing w:val="1"/>
        </w:rPr>
        <w:t> </w:t>
      </w:r>
      <w:r>
        <w:rPr>
          <w:spacing w:val="-1"/>
        </w:rPr>
        <w:t>seeking.</w:t>
      </w:r>
      <w:r>
        <w:rPr>
          <w:spacing w:val="-12"/>
        </w:rPr>
        <w:t> </w:t>
      </w:r>
      <w:r>
        <w:rPr>
          <w:spacing w:val="-1"/>
        </w:rPr>
        <w:t>These</w:t>
      </w:r>
      <w:r>
        <w:rPr>
          <w:spacing w:val="-12"/>
        </w:rPr>
        <w:t> </w:t>
      </w:r>
      <w:r>
        <w:rPr>
          <w:spacing w:val="-1"/>
        </w:rPr>
        <w:t>findings</w:t>
      </w:r>
      <w:r>
        <w:rPr>
          <w:spacing w:val="-11"/>
        </w:rPr>
        <w:t> </w:t>
      </w:r>
      <w:r>
        <w:rPr>
          <w:spacing w:val="-1"/>
        </w:rPr>
        <w:t>correspond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>
          <w:sz w:val="23"/>
        </w:rPr>
        <w:t>Vespa</w:t>
      </w:r>
      <w:r>
        <w:rPr>
          <w:spacing w:val="-10"/>
          <w:sz w:val="23"/>
        </w:rPr>
        <w:t> </w:t>
      </w:r>
      <w:r>
        <w:rPr>
          <w:sz w:val="23"/>
        </w:rPr>
        <w:t>and</w:t>
      </w:r>
      <w:r>
        <w:rPr>
          <w:spacing w:val="-15"/>
          <w:sz w:val="23"/>
        </w:rPr>
        <w:t> </w:t>
      </w:r>
      <w:r>
        <w:rPr>
          <w:sz w:val="23"/>
        </w:rPr>
        <w:t>Painter</w:t>
      </w:r>
      <w:r>
        <w:rPr>
          <w:spacing w:val="-11"/>
          <w:sz w:val="23"/>
        </w:rPr>
        <w:t> </w:t>
      </w:r>
      <w:r>
        <w:rPr>
          <w:sz w:val="23"/>
        </w:rPr>
        <w:t>(2011)</w:t>
      </w:r>
      <w:r>
        <w:rPr>
          <w:spacing w:val="-10"/>
          <w:sz w:val="23"/>
        </w:rPr>
        <w:t> </w:t>
      </w:r>
      <w:r>
        <w:rPr/>
        <w:t>that</w:t>
      </w:r>
      <w:r>
        <w:rPr>
          <w:spacing w:val="-12"/>
        </w:rPr>
        <w:t> </w:t>
      </w:r>
      <w:r>
        <w:rPr>
          <w:sz w:val="23"/>
        </w:rPr>
        <w:t>found</w:t>
      </w:r>
      <w:r>
        <w:rPr>
          <w:spacing w:val="-11"/>
          <w:sz w:val="23"/>
        </w:rPr>
        <w:t> </w:t>
      </w:r>
      <w:r>
        <w:rPr>
          <w:sz w:val="23"/>
        </w:rPr>
        <w:t>that</w:t>
      </w:r>
      <w:r>
        <w:rPr>
          <w:spacing w:val="-7"/>
          <w:sz w:val="23"/>
        </w:rPr>
        <w:t> </w:t>
      </w:r>
      <w:r>
        <w:rPr/>
        <w:t>marriage</w:t>
      </w:r>
      <w:r>
        <w:rPr>
          <w:spacing w:val="-12"/>
        </w:rPr>
        <w:t> </w:t>
      </w:r>
      <w:r>
        <w:rPr>
          <w:sz w:val="23"/>
        </w:rPr>
        <w:t>increases</w:t>
      </w:r>
      <w:r>
        <w:rPr>
          <w:spacing w:val="-56"/>
          <w:sz w:val="23"/>
        </w:rPr>
        <w:t> </w:t>
      </w:r>
      <w:r>
        <w:rPr/>
        <w:t>the</w:t>
      </w:r>
      <w:r>
        <w:rPr>
          <w:spacing w:val="-1"/>
        </w:rPr>
        <w:t> </w:t>
      </w:r>
      <w:r>
        <w:rPr/>
        <w:t>frequent use of</w:t>
      </w:r>
      <w:r>
        <w:rPr>
          <w:spacing w:val="-1"/>
        </w:rPr>
        <w:t> </w:t>
      </w:r>
      <w:r>
        <w:rPr/>
        <w:t>medical services.</w:t>
      </w:r>
    </w:p>
    <w:p>
      <w:pPr>
        <w:pStyle w:val="BodyText"/>
        <w:spacing w:line="360" w:lineRule="auto" w:before="163"/>
        <w:ind w:left="120" w:right="115"/>
        <w:jc w:val="both"/>
      </w:pPr>
      <w:r>
        <w:rPr/>
        <w:t>The estimates of RE model (like POLS and FE) reveals that income-effect from various sources,</w:t>
      </w:r>
      <w:r>
        <w:rPr>
          <w:spacing w:val="1"/>
        </w:rPr>
        <w:t> </w:t>
      </w:r>
      <w:r>
        <w:rPr/>
        <w:t>such as, wages and salaries, business enterprises/trading, farming/livestock, monetary assistance,</w:t>
      </w:r>
      <w:r>
        <w:rPr>
          <w:spacing w:val="1"/>
        </w:rPr>
        <w:t> </w:t>
      </w:r>
      <w:r>
        <w:rPr/>
        <w:t>pension,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properties</w:t>
      </w:r>
      <w:r>
        <w:rPr>
          <w:spacing w:val="-6"/>
        </w:rPr>
        <w:t> </w:t>
      </w:r>
      <w:r>
        <w:rPr/>
        <w:t>owned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all</w:t>
      </w:r>
      <w:r>
        <w:rPr>
          <w:spacing w:val="-5"/>
        </w:rPr>
        <w:t> </w:t>
      </w:r>
      <w:r>
        <w:rPr/>
        <w:t>key</w:t>
      </w:r>
      <w:r>
        <w:rPr>
          <w:spacing w:val="-12"/>
        </w:rPr>
        <w:t> </w:t>
      </w:r>
      <w:r>
        <w:rPr/>
        <w:t>in</w:t>
      </w:r>
      <w:r>
        <w:rPr>
          <w:spacing w:val="-7"/>
        </w:rPr>
        <w:t> </w:t>
      </w:r>
      <w:r>
        <w:rPr/>
        <w:t>predicting</w:t>
      </w:r>
      <w:r>
        <w:rPr>
          <w:spacing w:val="-7"/>
        </w:rPr>
        <w:t> </w:t>
      </w:r>
      <w:r>
        <w:rPr/>
        <w:t>households’</w:t>
      </w:r>
      <w:r>
        <w:rPr>
          <w:spacing w:val="-7"/>
        </w:rPr>
        <w:t> </w:t>
      </w:r>
      <w:r>
        <w:rPr/>
        <w:t>orthodox</w:t>
      </w:r>
      <w:r>
        <w:rPr>
          <w:spacing w:val="-4"/>
        </w:rPr>
        <w:t> </w:t>
      </w:r>
      <w:r>
        <w:rPr/>
        <w:t>healthcare</w:t>
      </w:r>
      <w:r>
        <w:rPr>
          <w:spacing w:val="-7"/>
        </w:rPr>
        <w:t> </w:t>
      </w:r>
      <w:r>
        <w:rPr/>
        <w:t>seeking</w:t>
      </w:r>
      <w:r>
        <w:rPr>
          <w:spacing w:val="-57"/>
        </w:rPr>
        <w:t> </w:t>
      </w:r>
      <w:r>
        <w:rPr/>
        <w:t>significantly.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corroborated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study</w:t>
      </w:r>
      <w:r>
        <w:rPr>
          <w:spacing w:val="-9"/>
        </w:rPr>
        <w:t> </w:t>
      </w:r>
      <w:r>
        <w:rPr/>
        <w:t>carried</w:t>
      </w:r>
      <w:r>
        <w:rPr>
          <w:spacing w:val="-4"/>
        </w:rPr>
        <w:t> </w:t>
      </w:r>
      <w:r>
        <w:rPr/>
        <w:t>out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Kenya,</w:t>
      </w:r>
      <w:r>
        <w:rPr>
          <w:spacing w:val="-1"/>
        </w:rPr>
        <w:t> </w:t>
      </w:r>
      <w:r>
        <w:rPr/>
        <w:t>Malawi,</w:t>
      </w:r>
      <w:r>
        <w:rPr>
          <w:spacing w:val="-1"/>
        </w:rPr>
        <w:t> </w:t>
      </w:r>
      <w:r>
        <w:rPr/>
        <w:t>Zambia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Zimbabwe</w:t>
      </w:r>
      <w:r>
        <w:rPr>
          <w:spacing w:val="-11"/>
        </w:rPr>
        <w:t> </w:t>
      </w:r>
      <w:r>
        <w:rPr/>
        <w:t>which</w:t>
      </w:r>
      <w:r>
        <w:rPr>
          <w:spacing w:val="-9"/>
        </w:rPr>
        <w:t> </w:t>
      </w:r>
      <w:r>
        <w:rPr/>
        <w:t>found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unconditional</w:t>
      </w:r>
      <w:r>
        <w:rPr>
          <w:spacing w:val="-10"/>
        </w:rPr>
        <w:t> </w:t>
      </w:r>
      <w:r>
        <w:rPr/>
        <w:t>cash</w:t>
      </w:r>
      <w:r>
        <w:rPr>
          <w:spacing w:val="-8"/>
        </w:rPr>
        <w:t> </w:t>
      </w:r>
      <w:r>
        <w:rPr/>
        <w:t>transfers</w:t>
      </w:r>
      <w:r>
        <w:rPr>
          <w:spacing w:val="-7"/>
        </w:rPr>
        <w:t> </w:t>
      </w:r>
      <w:r>
        <w:rPr/>
        <w:t>was</w:t>
      </w:r>
      <w:r>
        <w:rPr>
          <w:spacing w:val="-9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explaining</w:t>
      </w:r>
      <w:r>
        <w:rPr>
          <w:spacing w:val="-11"/>
        </w:rPr>
        <w:t> </w:t>
      </w:r>
      <w:r>
        <w:rPr/>
        <w:t>appropriate</w:t>
      </w:r>
      <w:r>
        <w:rPr>
          <w:spacing w:val="-58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utilization</w:t>
      </w:r>
      <w:r>
        <w:rPr>
          <w:spacing w:val="-2"/>
        </w:rPr>
        <w:t> </w:t>
      </w:r>
      <w:r>
        <w:rPr/>
        <w:t>(see</w:t>
      </w:r>
      <w:r>
        <w:rPr>
          <w:spacing w:val="-2"/>
        </w:rPr>
        <w:t> </w:t>
      </w:r>
      <w:r>
        <w:rPr/>
        <w:t>Novignon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2"/>
        </w:rPr>
        <w:t> </w:t>
      </w:r>
      <w:r>
        <w:rPr/>
        <w:t>2017).</w:t>
      </w:r>
      <w:r>
        <w:rPr>
          <w:spacing w:val="-2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like</w:t>
      </w:r>
      <w:r>
        <w:rPr>
          <w:spacing w:val="-3"/>
        </w:rPr>
        <w:t> </w:t>
      </w:r>
      <w:r>
        <w:rPr/>
        <w:t>POLS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FE</w:t>
      </w:r>
      <w:r>
        <w:rPr>
          <w:spacing w:val="-1"/>
        </w:rPr>
        <w:t> </w:t>
      </w:r>
      <w:r>
        <w:rPr/>
        <w:t>models, dividend-</w:t>
      </w:r>
      <w:r>
        <w:rPr>
          <w:spacing w:val="-58"/>
        </w:rPr>
        <w:t> </w:t>
      </w:r>
      <w:r>
        <w:rPr/>
        <w:t>incomes</w:t>
      </w:r>
      <w:r>
        <w:rPr>
          <w:spacing w:val="-1"/>
        </w:rPr>
        <w:t> </w:t>
      </w:r>
      <w:r>
        <w:rPr/>
        <w:t>was inverse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significant.</w:t>
      </w:r>
    </w:p>
    <w:p>
      <w:pPr>
        <w:pStyle w:val="BodyText"/>
        <w:spacing w:line="360" w:lineRule="auto" w:before="160"/>
        <w:ind w:left="120" w:right="117"/>
        <w:jc w:val="both"/>
      </w:pPr>
      <w:r>
        <w:rPr/>
        <w:t>This</w:t>
      </w:r>
      <w:r>
        <w:rPr>
          <w:spacing w:val="-3"/>
        </w:rPr>
        <w:t> </w:t>
      </w:r>
      <w:r>
        <w:rPr/>
        <w:t>thesis</w:t>
      </w:r>
      <w:r>
        <w:rPr>
          <w:spacing w:val="-3"/>
        </w:rPr>
        <w:t> </w:t>
      </w:r>
      <w:r>
        <w:rPr/>
        <w:t>further</w:t>
      </w:r>
      <w:r>
        <w:rPr>
          <w:spacing w:val="-5"/>
        </w:rPr>
        <w:t> </w:t>
      </w:r>
      <w:r>
        <w:rPr/>
        <w:t>demonstrates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income</w:t>
      </w:r>
      <w:r>
        <w:rPr>
          <w:spacing w:val="-5"/>
        </w:rPr>
        <w:t> </w:t>
      </w:r>
      <w:r>
        <w:rPr/>
        <w:t>inequality</w:t>
      </w:r>
      <w:r>
        <w:rPr>
          <w:spacing w:val="-8"/>
        </w:rPr>
        <w:t> </w:t>
      </w:r>
      <w:r>
        <w:rPr/>
        <w:t>on</w:t>
      </w:r>
      <w:r>
        <w:rPr>
          <w:spacing w:val="-4"/>
        </w:rPr>
        <w:t> </w:t>
      </w:r>
      <w:r>
        <w:rPr/>
        <w:t>health-seeking</w:t>
      </w:r>
      <w:r>
        <w:rPr>
          <w:spacing w:val="-6"/>
        </w:rPr>
        <w:t> </w:t>
      </w:r>
      <w:r>
        <w:rPr/>
        <w:t>behavior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times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illness</w:t>
      </w:r>
      <w:r>
        <w:rPr>
          <w:spacing w:val="37"/>
        </w:rPr>
        <w:t> </w:t>
      </w:r>
      <w:r>
        <w:rPr/>
        <w:t>is</w:t>
      </w:r>
      <w:r>
        <w:rPr>
          <w:spacing w:val="35"/>
        </w:rPr>
        <w:t> </w:t>
      </w:r>
      <w:r>
        <w:rPr/>
        <w:t>inverse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significant</w:t>
      </w:r>
      <w:r>
        <w:rPr>
          <w:spacing w:val="37"/>
        </w:rPr>
        <w:t> </w:t>
      </w:r>
      <w:r>
        <w:rPr/>
        <w:t>at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5%</w:t>
      </w:r>
      <w:r>
        <w:rPr>
          <w:spacing w:val="36"/>
        </w:rPr>
        <w:t> </w:t>
      </w:r>
      <w:r>
        <w:rPr/>
        <w:t>level.</w:t>
      </w:r>
      <w:r>
        <w:rPr>
          <w:spacing w:val="37"/>
        </w:rPr>
        <w:t> </w:t>
      </w:r>
      <w:r>
        <w:rPr/>
        <w:t>This</w:t>
      </w:r>
      <w:r>
        <w:rPr>
          <w:spacing w:val="37"/>
        </w:rPr>
        <w:t> </w:t>
      </w:r>
      <w:r>
        <w:rPr/>
        <w:t>result</w:t>
      </w:r>
      <w:r>
        <w:rPr>
          <w:spacing w:val="39"/>
        </w:rPr>
        <w:t> </w:t>
      </w:r>
      <w:r>
        <w:rPr/>
        <w:t>implies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income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1"/>
        <w:jc w:val="both"/>
      </w:pPr>
      <w:r>
        <w:rPr/>
        <w:t>inequality</w:t>
      </w:r>
      <w:r>
        <w:rPr>
          <w:spacing w:val="-6"/>
        </w:rPr>
        <w:t> </w:t>
      </w:r>
      <w:r>
        <w:rPr/>
        <w:t>is increasing,</w:t>
      </w:r>
      <w:r>
        <w:rPr>
          <w:spacing w:val="-1"/>
        </w:rPr>
        <w:t> </w:t>
      </w:r>
      <w:r>
        <w:rPr/>
        <w:t>the likelihood that members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households</w:t>
      </w:r>
      <w:r>
        <w:rPr>
          <w:spacing w:val="-1"/>
        </w:rPr>
        <w:t> </w:t>
      </w:r>
      <w:r>
        <w:rPr/>
        <w:t>will employ</w:t>
      </w:r>
      <w:r>
        <w:rPr>
          <w:spacing w:val="-9"/>
        </w:rPr>
        <w:t> </w:t>
      </w:r>
      <w:r>
        <w:rPr/>
        <w:t>less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orthodoxy</w:t>
      </w:r>
      <w:r>
        <w:rPr>
          <w:spacing w:val="-57"/>
        </w:rPr>
        <w:t> </w:t>
      </w:r>
      <w:r>
        <w:rPr/>
        <w:t>healthcare</w:t>
      </w:r>
      <w:r>
        <w:rPr>
          <w:spacing w:val="-11"/>
        </w:rPr>
        <w:t> </w:t>
      </w:r>
      <w:r>
        <w:rPr/>
        <w:t>services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1.25%.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consistent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Wilkinson</w:t>
      </w:r>
      <w:r>
        <w:rPr>
          <w:spacing w:val="-8"/>
        </w:rPr>
        <w:t> </w:t>
      </w:r>
      <w:r>
        <w:rPr/>
        <w:t>explanations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1990s,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income</w:t>
      </w:r>
      <w:r>
        <w:rPr>
          <w:spacing w:val="-58"/>
        </w:rPr>
        <w:t> </w:t>
      </w:r>
      <w:r>
        <w:rPr/>
        <w:t>inequality is detrimental to health-seeking decisions. Finally, with the p-value of p&lt; 0.0001, the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has a</w:t>
      </w:r>
      <w:r>
        <w:rPr>
          <w:spacing w:val="-1"/>
        </w:rPr>
        <w:t> </w:t>
      </w:r>
      <w:r>
        <w:rPr/>
        <w:t>strong</w:t>
      </w:r>
      <w:r>
        <w:rPr>
          <w:spacing w:val="-3"/>
        </w:rPr>
        <w:t> </w:t>
      </w:r>
      <w:r>
        <w:rPr/>
        <w:t>explaining</w:t>
      </w:r>
      <w:r>
        <w:rPr>
          <w:spacing w:val="-2"/>
        </w:rPr>
        <w:t> </w:t>
      </w:r>
      <w:r>
        <w:rPr/>
        <w:t>power for</w:t>
      </w:r>
      <w:r>
        <w:rPr>
          <w:spacing w:val="1"/>
        </w:rPr>
        <w:t> </w:t>
      </w:r>
      <w:r>
        <w:rPr/>
        <w:t>HSB</w:t>
      </w:r>
      <w:r>
        <w:rPr>
          <w:spacing w:val="-2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time</w:t>
      </w:r>
      <w:r>
        <w:rPr>
          <w:spacing w:val="-1"/>
        </w:rPr>
        <w:t> </w:t>
      </w:r>
      <w:r>
        <w:rPr/>
        <w:t>of illness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Nigeria.</w:t>
      </w:r>
    </w:p>
    <w:p>
      <w:pPr>
        <w:pStyle w:val="Heading5"/>
        <w:numPr>
          <w:ilvl w:val="2"/>
          <w:numId w:val="15"/>
        </w:numPr>
        <w:tabs>
          <w:tab w:pos="841" w:val="left" w:leader="none"/>
        </w:tabs>
        <w:spacing w:line="240" w:lineRule="auto" w:before="190" w:after="0"/>
        <w:ind w:left="840" w:right="0" w:hanging="721"/>
        <w:jc w:val="both"/>
      </w:pPr>
      <w:bookmarkStart w:name="_TOC_250009" w:id="68"/>
      <w:r>
        <w:rPr/>
        <w:t>Breusch-Pagan</w:t>
      </w:r>
      <w:r>
        <w:rPr>
          <w:spacing w:val="-2"/>
        </w:rPr>
        <w:t> </w:t>
      </w:r>
      <w:r>
        <w:rPr/>
        <w:t>LM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Heterogeneity</w:t>
      </w:r>
      <w:r>
        <w:rPr>
          <w:spacing w:val="-2"/>
        </w:rPr>
        <w:t> </w:t>
      </w:r>
      <w:bookmarkEnd w:id="68"/>
      <w:r>
        <w:rPr/>
        <w:t>Test</w:t>
      </w:r>
    </w:p>
    <w:p>
      <w:pPr>
        <w:pStyle w:val="BodyText"/>
        <w:spacing w:line="360" w:lineRule="auto" w:before="132"/>
        <w:ind w:left="120" w:right="113"/>
        <w:jc w:val="both"/>
      </w:pPr>
      <w:r>
        <w:rPr/>
        <w:t>The</w:t>
      </w:r>
      <w:r>
        <w:rPr>
          <w:spacing w:val="-13"/>
        </w:rPr>
        <w:t> </w:t>
      </w:r>
      <w:r>
        <w:rPr/>
        <w:t>preceding</w:t>
      </w:r>
      <w:r>
        <w:rPr>
          <w:spacing w:val="-14"/>
        </w:rPr>
        <w:t> </w:t>
      </w:r>
      <w:r>
        <w:rPr/>
        <w:t>section</w:t>
      </w:r>
      <w:r>
        <w:rPr>
          <w:spacing w:val="-12"/>
        </w:rPr>
        <w:t> </w:t>
      </w:r>
      <w:r>
        <w:rPr/>
        <w:t>presented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estimations</w:t>
      </w:r>
      <w:r>
        <w:rPr>
          <w:spacing w:val="-11"/>
        </w:rPr>
        <w:t> </w:t>
      </w:r>
      <w:r>
        <w:rPr/>
        <w:t>from</w:t>
      </w:r>
      <w:r>
        <w:rPr>
          <w:spacing w:val="-12"/>
        </w:rPr>
        <w:t> </w:t>
      </w:r>
      <w:r>
        <w:rPr/>
        <w:t>three</w:t>
      </w:r>
      <w:r>
        <w:rPr>
          <w:spacing w:val="-13"/>
        </w:rPr>
        <w:t> </w:t>
      </w:r>
      <w:r>
        <w:rPr/>
        <w:t>models</w:t>
      </w:r>
      <w:r>
        <w:rPr>
          <w:spacing w:val="-10"/>
        </w:rPr>
        <w:t> </w:t>
      </w:r>
      <w:r>
        <w:rPr/>
        <w:t>–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Pooled</w:t>
      </w:r>
      <w:r>
        <w:rPr>
          <w:spacing w:val="-13"/>
        </w:rPr>
        <w:t> </w:t>
      </w:r>
      <w:r>
        <w:rPr/>
        <w:t>OLS,</w:t>
      </w:r>
      <w:r>
        <w:rPr>
          <w:spacing w:val="-12"/>
        </w:rPr>
        <w:t> </w:t>
      </w:r>
      <w:r>
        <w:rPr/>
        <w:t>Fixed</w:t>
      </w:r>
      <w:r>
        <w:rPr>
          <w:spacing w:val="-12"/>
        </w:rPr>
        <w:t> </w:t>
      </w:r>
      <w:r>
        <w:rPr/>
        <w:t>Effect</w:t>
      </w:r>
      <w:r>
        <w:rPr>
          <w:spacing w:val="-57"/>
        </w:rPr>
        <w:t> </w:t>
      </w:r>
      <w:r>
        <w:rPr/>
        <w:t>and Random Effect – on the effects of income inequality on health-seeking behaviour in Nigeria.</w:t>
      </w:r>
      <w:r>
        <w:rPr>
          <w:spacing w:val="-57"/>
        </w:rPr>
        <w:t> </w:t>
      </w:r>
      <w:r>
        <w:rPr/>
        <w:t>In order to determine the best, most consistent and efficient model, Deaton (2018) noted that the</w:t>
      </w:r>
      <w:r>
        <w:rPr>
          <w:spacing w:val="1"/>
        </w:rPr>
        <w:t> </w:t>
      </w:r>
      <w:r>
        <w:rPr/>
        <w:t>heterogeneity between households and societies is an important consideration when conducting</w:t>
      </w:r>
      <w:r>
        <w:rPr>
          <w:spacing w:val="1"/>
        </w:rPr>
        <w:t> </w:t>
      </w:r>
      <w:r>
        <w:rPr/>
        <w:t>analysis with panel data. That is, POLS assumed all households (both rich and poor) are the same</w:t>
      </w:r>
      <w:r>
        <w:rPr>
          <w:spacing w:val="-57"/>
        </w:rPr>
        <w:t> </w:t>
      </w:r>
      <w:r>
        <w:rPr/>
        <w:t>across the 36 states and FCT. This implies that there is no difference between the income of the</w:t>
      </w:r>
      <w:r>
        <w:rPr>
          <w:spacing w:val="1"/>
        </w:rPr>
        <w:t> </w:t>
      </w:r>
      <w:r>
        <w:rPr/>
        <w:t>poor and non-poor households. Thus, this study employed the </w:t>
      </w:r>
      <w:r>
        <w:rPr>
          <w:sz w:val="23"/>
        </w:rPr>
        <w:t>Breusch-Pagan Lagrange Multiplier</w:t>
      </w:r>
      <w:r>
        <w:rPr>
          <w:spacing w:val="1"/>
          <w:sz w:val="23"/>
        </w:rPr>
        <w:t> </w:t>
      </w:r>
      <w:r>
        <w:rPr/>
        <w:t>(BPLM)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address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type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heterogeneity. The</w:t>
      </w:r>
      <w:r>
        <w:rPr>
          <w:spacing w:val="-5"/>
        </w:rPr>
        <w:t> </w:t>
      </w:r>
      <w:r>
        <w:rPr/>
        <w:t>full</w:t>
      </w:r>
      <w:r>
        <w:rPr>
          <w:spacing w:val="-3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heterogeneity</w:t>
      </w:r>
      <w:r>
        <w:rPr>
          <w:spacing w:val="-8"/>
        </w:rPr>
        <w:t> </w:t>
      </w:r>
      <w:r>
        <w:rPr/>
        <w:t>from</w:t>
      </w:r>
      <w:r>
        <w:rPr>
          <w:spacing w:val="-4"/>
        </w:rPr>
        <w:t> </w:t>
      </w:r>
      <w:r>
        <w:rPr/>
        <w:t>BPLM</w:t>
      </w:r>
      <w:r>
        <w:rPr>
          <w:spacing w:val="-3"/>
        </w:rPr>
        <w:t> </w:t>
      </w:r>
      <w:r>
        <w:rPr/>
        <w:t>test</w:t>
      </w:r>
      <w:r>
        <w:rPr>
          <w:spacing w:val="-4"/>
        </w:rPr>
        <w:t> </w:t>
      </w:r>
      <w:r>
        <w:rPr/>
        <w:t>is</w:t>
      </w:r>
      <w:r>
        <w:rPr>
          <w:spacing w:val="-57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5.22 (see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Table K5).</w:t>
      </w:r>
    </w:p>
    <w:p>
      <w:pPr>
        <w:pStyle w:val="Heading4"/>
        <w:spacing w:before="142" w:after="3"/>
        <w:ind w:left="120"/>
      </w:pPr>
      <w:r>
        <w:rPr/>
        <w:t>Table</w:t>
      </w:r>
      <w:r>
        <w:rPr>
          <w:spacing w:val="-2"/>
        </w:rPr>
        <w:t> </w:t>
      </w:r>
      <w:r>
        <w:rPr/>
        <w:t>5.22</w:t>
      </w:r>
      <w:r>
        <w:rPr>
          <w:spacing w:val="-2"/>
        </w:rPr>
        <w:t> </w:t>
      </w:r>
      <w:r>
        <w:rPr/>
        <w:t>Homogeneity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1532"/>
        <w:gridCol w:w="6385"/>
      </w:tblGrid>
      <w:tr>
        <w:trPr>
          <w:trHeight w:val="316" w:hRule="atLeast"/>
        </w:trPr>
        <w:tc>
          <w:tcPr>
            <w:tcW w:w="1435" w:type="dxa"/>
          </w:tcPr>
          <w:p>
            <w:pPr>
              <w:pStyle w:val="TableParagraph"/>
              <w:spacing w:before="4"/>
              <w:ind w:left="209" w:right="20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rFonts w:ascii="Cambria Math" w:hAnsi="Cambria Math" w:eastAsia="Cambria Math"/>
                <w:w w:val="105"/>
                <w:sz w:val="22"/>
              </w:rPr>
              <w:t>𝐶ℎ𝑖</w:t>
            </w:r>
            <w:r>
              <w:rPr>
                <w:rFonts w:ascii="Cambria Math" w:hAnsi="Cambria Math" w:eastAsia="Cambria Math"/>
                <w:w w:val="105"/>
                <w:sz w:val="22"/>
                <w:vertAlign w:val="superscript"/>
              </w:rPr>
              <w:t>2</w:t>
            </w:r>
          </w:p>
        </w:tc>
        <w:tc>
          <w:tcPr>
            <w:tcW w:w="1532" w:type="dxa"/>
          </w:tcPr>
          <w:p>
            <w:pPr>
              <w:pStyle w:val="TableParagraph"/>
              <w:spacing w:line="247" w:lineRule="exact"/>
              <w:ind w:left="242" w:right="237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Probability</w:t>
            </w:r>
          </w:p>
        </w:tc>
        <w:tc>
          <w:tcPr>
            <w:tcW w:w="6385" w:type="dxa"/>
          </w:tcPr>
          <w:p>
            <w:pPr>
              <w:pStyle w:val="TableParagraph"/>
              <w:spacing w:line="270" w:lineRule="exact"/>
              <w:ind w:left="2794" w:right="279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Remark</w:t>
            </w:r>
          </w:p>
        </w:tc>
      </w:tr>
      <w:tr>
        <w:trPr>
          <w:trHeight w:val="424" w:hRule="atLeast"/>
        </w:trPr>
        <w:tc>
          <w:tcPr>
            <w:tcW w:w="1435" w:type="dxa"/>
          </w:tcPr>
          <w:p>
            <w:pPr>
              <w:pStyle w:val="TableParagraph"/>
              <w:spacing w:line="273" w:lineRule="exact"/>
              <w:ind w:left="217" w:right="20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35,591.73</w:t>
            </w:r>
          </w:p>
        </w:tc>
        <w:tc>
          <w:tcPr>
            <w:tcW w:w="1532" w:type="dxa"/>
          </w:tcPr>
          <w:p>
            <w:pPr>
              <w:pStyle w:val="TableParagraph"/>
              <w:spacing w:line="273" w:lineRule="exact"/>
              <w:ind w:left="242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0.0000</w:t>
            </w:r>
          </w:p>
        </w:tc>
        <w:tc>
          <w:tcPr>
            <w:tcW w:w="6385" w:type="dxa"/>
          </w:tcPr>
          <w:p>
            <w:pPr>
              <w:pStyle w:val="TableParagraph"/>
              <w:ind w:left="105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Times New Roman" w:eastAsia="Times New Roman"/>
                <w:sz w:val="22"/>
              </w:rPr>
              <w:t>Since</w:t>
            </w:r>
            <w:r>
              <w:rPr>
                <w:rFonts w:ascii="Times New Roman" w:eastAsia="Times New Roman"/>
                <w:spacing w:val="-2"/>
                <w:sz w:val="22"/>
              </w:rPr>
              <w:t> </w:t>
            </w:r>
            <w:r>
              <w:rPr>
                <w:rFonts w:ascii="Cambria Math" w:eastAsia="Cambria Math"/>
                <w:sz w:val="24"/>
              </w:rPr>
              <w:t>𝑝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&lt;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0.0000</w:t>
            </w:r>
            <w:r>
              <w:rPr>
                <w:rFonts w:ascii="Cambria Math" w:eastAsia="Cambria Math"/>
                <w:spacing w:val="11"/>
                <w:sz w:val="24"/>
              </w:rPr>
              <w:t> </w:t>
            </w:r>
            <w:r>
              <w:rPr>
                <w:rFonts w:ascii="Times New Roman" w:eastAsia="Times New Roman"/>
                <w:sz w:val="22"/>
              </w:rPr>
              <w:t>is</w:t>
            </w:r>
            <w:r>
              <w:rPr>
                <w:rFonts w:ascii="Times New Roman" w:eastAsia="Times New Roman"/>
                <w:spacing w:val="-2"/>
                <w:sz w:val="22"/>
              </w:rPr>
              <w:t> </w:t>
            </w:r>
            <w:r>
              <w:rPr>
                <w:rFonts w:ascii="Times New Roman" w:eastAsia="Times New Roman"/>
                <w:i/>
                <w:sz w:val="22"/>
              </w:rPr>
              <w:t>below</w:t>
            </w:r>
            <w:r>
              <w:rPr>
                <w:rFonts w:ascii="Times New Roman" w:eastAsia="Times New Roman"/>
                <w:i/>
                <w:spacing w:val="-1"/>
                <w:sz w:val="22"/>
              </w:rPr>
              <w:t> </w:t>
            </w:r>
            <w:r>
              <w:rPr>
                <w:rFonts w:ascii="Times New Roman" w:eastAsia="Times New Roman"/>
                <w:sz w:val="22"/>
              </w:rPr>
              <w:t>the</w:t>
            </w:r>
            <w:r>
              <w:rPr>
                <w:rFonts w:ascii="Times New Roman" w:eastAsia="Times New Roman"/>
                <w:spacing w:val="-2"/>
                <w:sz w:val="22"/>
              </w:rPr>
              <w:t> </w:t>
            </w:r>
            <w:r>
              <w:rPr>
                <w:rFonts w:ascii="Times New Roman" w:eastAsia="Times New Roman"/>
                <w:sz w:val="22"/>
              </w:rPr>
              <w:t>threshold of 1% level. Rejects </w:t>
            </w:r>
            <w:r>
              <w:rPr>
                <w:rFonts w:ascii="Cambria Math" w:eastAsia="Cambria Math"/>
                <w:sz w:val="22"/>
              </w:rPr>
              <w:t>H</w:t>
            </w:r>
            <w:r>
              <w:rPr>
                <w:rFonts w:ascii="Cambria Math" w:eastAsia="Cambria Math"/>
                <w:position w:val="-4"/>
                <w:sz w:val="16"/>
              </w:rPr>
              <w:t>o</w:t>
            </w:r>
            <w:r>
              <w:rPr>
                <w:rFonts w:ascii="Cambria Math" w:eastAsia="Cambria Math"/>
                <w:sz w:val="22"/>
              </w:rPr>
              <w:t>.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Computed from</w:t>
      </w:r>
      <w:r>
        <w:rPr>
          <w:spacing w:val="-5"/>
          <w:sz w:val="20"/>
        </w:rPr>
        <w:t> </w:t>
      </w:r>
      <w:r>
        <w:rPr>
          <w:sz w:val="20"/>
        </w:rPr>
        <w:t>Stata</w:t>
      </w:r>
      <w:r>
        <w:rPr>
          <w:spacing w:val="-1"/>
          <w:sz w:val="20"/>
        </w:rPr>
        <w:t> </w:t>
      </w:r>
      <w:r>
        <w:rPr>
          <w:sz w:val="20"/>
        </w:rPr>
        <w:t>13</w:t>
      </w:r>
    </w:p>
    <w:p>
      <w:pPr>
        <w:pStyle w:val="BodyText"/>
        <w:spacing w:line="357" w:lineRule="auto" w:before="151"/>
        <w:ind w:left="120" w:right="112"/>
        <w:jc w:val="both"/>
      </w:pPr>
      <w:r>
        <w:rPr/>
        <w:t>From the BPLM results, since the p-value is as low as 0.0000 </w:t>
      </w:r>
      <w:r>
        <w:rPr>
          <w:rFonts w:ascii="Cambria Math" w:eastAsia="Cambria Math"/>
        </w:rPr>
        <w:t>(𝑝 &lt; 0.000)</w:t>
      </w:r>
      <w:r>
        <w:rPr/>
        <w:t>, with high chi</w:t>
      </w:r>
      <w:r>
        <w:rPr>
          <w:vertAlign w:val="superscript"/>
        </w:rPr>
        <w:t>2</w:t>
      </w:r>
      <w:r>
        <w:rPr>
          <w:vertAlign w:val="baseline"/>
        </w:rPr>
        <w:t> of</w:t>
      </w:r>
      <w:r>
        <w:rPr>
          <w:spacing w:val="1"/>
          <w:vertAlign w:val="baseline"/>
        </w:rPr>
        <w:t> </w:t>
      </w:r>
      <w:r>
        <w:rPr>
          <w:vertAlign w:val="baseline"/>
        </w:rPr>
        <w:t>35,591.73,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thesis</w:t>
      </w:r>
      <w:r>
        <w:rPr>
          <w:spacing w:val="-12"/>
          <w:vertAlign w:val="baseline"/>
        </w:rPr>
        <w:t> </w:t>
      </w:r>
      <w:r>
        <w:rPr>
          <w:vertAlign w:val="baseline"/>
        </w:rPr>
        <w:t>rejects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sz w:val="23"/>
          <w:vertAlign w:val="baseline"/>
        </w:rPr>
        <w:t>null</w:t>
      </w:r>
      <w:r>
        <w:rPr>
          <w:spacing w:val="-12"/>
          <w:sz w:val="23"/>
          <w:vertAlign w:val="baseline"/>
        </w:rPr>
        <w:t> </w:t>
      </w:r>
      <w:r>
        <w:rPr>
          <w:sz w:val="23"/>
          <w:vertAlign w:val="baseline"/>
        </w:rPr>
        <w:t>hypothesis</w:t>
      </w:r>
      <w:r>
        <w:rPr>
          <w:spacing w:val="-6"/>
          <w:sz w:val="23"/>
          <w:vertAlign w:val="baseline"/>
        </w:rPr>
        <w:t> </w:t>
      </w:r>
      <w:r>
        <w:rPr>
          <w:rFonts w:ascii="Cambria Math" w:eastAsia="Cambria Math"/>
          <w:vertAlign w:val="baseline"/>
        </w:rPr>
        <w:t>(</w:t>
      </w:r>
      <w:r>
        <w:rPr>
          <w:i/>
          <w:sz w:val="25"/>
          <w:vertAlign w:val="baseline"/>
        </w:rPr>
        <w:t>H</w:t>
      </w:r>
      <w:r>
        <w:rPr>
          <w:i/>
          <w:sz w:val="25"/>
          <w:vertAlign w:val="subscript"/>
        </w:rPr>
        <w:t>o</w:t>
      </w:r>
      <w:r>
        <w:rPr>
          <w:rFonts w:ascii="Cambria Math" w:eastAsia="Cambria Math"/>
          <w:vertAlign w:val="baseline"/>
        </w:rPr>
        <w:t>)</w:t>
      </w:r>
      <w:r>
        <w:rPr>
          <w:rFonts w:ascii="Cambria Math" w:eastAsia="Cambria Math"/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sz w:val="23"/>
          <w:vertAlign w:val="baseline"/>
        </w:rPr>
        <w:t>homoskedasticity</w:t>
      </w:r>
      <w:r>
        <w:rPr>
          <w:spacing w:val="-13"/>
          <w:sz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model.</w:t>
      </w:r>
      <w:r>
        <w:rPr>
          <w:spacing w:val="-12"/>
          <w:vertAlign w:val="baseline"/>
        </w:rPr>
        <w:t> </w:t>
      </w:r>
      <w:r>
        <w:rPr>
          <w:vertAlign w:val="baseline"/>
        </w:rPr>
        <w:t>This</w:t>
      </w:r>
      <w:r>
        <w:rPr>
          <w:spacing w:val="-12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that,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POLS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is</w:t>
      </w:r>
      <w:r>
        <w:rPr>
          <w:spacing w:val="-11"/>
          <w:vertAlign w:val="baseline"/>
        </w:rPr>
        <w:t> </w:t>
      </w:r>
      <w:r>
        <w:rPr>
          <w:spacing w:val="-1"/>
          <w:sz w:val="23"/>
          <w:vertAlign w:val="baseline"/>
        </w:rPr>
        <w:t>statistically</w:t>
      </w:r>
      <w:r>
        <w:rPr>
          <w:spacing w:val="-12"/>
          <w:sz w:val="23"/>
          <w:vertAlign w:val="baseline"/>
        </w:rPr>
        <w:t> </w:t>
      </w:r>
      <w:r>
        <w:rPr>
          <w:sz w:val="23"/>
          <w:vertAlign w:val="baseline"/>
        </w:rPr>
        <w:t>non-significant</w:t>
      </w:r>
      <w:r>
        <w:rPr>
          <w:spacing w:val="-8"/>
          <w:sz w:val="23"/>
          <w:vertAlign w:val="baseline"/>
        </w:rPr>
        <w:t> </w:t>
      </w:r>
      <w:r>
        <w:rPr>
          <w:vertAlign w:val="baseline"/>
        </w:rPr>
        <w:t>to</w:t>
      </w:r>
      <w:r>
        <w:rPr>
          <w:spacing w:val="-14"/>
          <w:vertAlign w:val="baseline"/>
        </w:rPr>
        <w:t> </w:t>
      </w:r>
      <w:r>
        <w:rPr>
          <w:sz w:val="23"/>
          <w:vertAlign w:val="baseline"/>
        </w:rPr>
        <w:t>explain</w:t>
      </w:r>
      <w:r>
        <w:rPr>
          <w:spacing w:val="-14"/>
          <w:sz w:val="23"/>
          <w:vertAlign w:val="baseline"/>
        </w:rPr>
        <w:t> </w:t>
      </w:r>
      <w:r>
        <w:rPr>
          <w:sz w:val="23"/>
          <w:vertAlign w:val="baseline"/>
        </w:rPr>
        <w:t>the</w:t>
      </w:r>
      <w:r>
        <w:rPr>
          <w:spacing w:val="-11"/>
          <w:sz w:val="23"/>
          <w:vertAlign w:val="baseline"/>
        </w:rPr>
        <w:t> </w:t>
      </w:r>
      <w:r>
        <w:rPr>
          <w:sz w:val="23"/>
          <w:vertAlign w:val="baseline"/>
        </w:rPr>
        <w:t>effects</w:t>
      </w:r>
      <w:r>
        <w:rPr>
          <w:spacing w:val="-10"/>
          <w:sz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13"/>
          <w:vertAlign w:val="baseline"/>
        </w:rPr>
        <w:t> </w:t>
      </w:r>
      <w:r>
        <w:rPr>
          <w:vertAlign w:val="baseline"/>
        </w:rPr>
        <w:t>disparity</w:t>
      </w:r>
      <w:r>
        <w:rPr>
          <w:spacing w:val="-16"/>
          <w:vertAlign w:val="baseline"/>
        </w:rPr>
        <w:t> </w:t>
      </w:r>
      <w:r>
        <w:rPr>
          <w:vertAlign w:val="baseline"/>
        </w:rPr>
        <w:t>on</w:t>
      </w:r>
      <w:r>
        <w:rPr>
          <w:spacing w:val="-12"/>
          <w:vertAlign w:val="baseline"/>
        </w:rPr>
        <w:t> </w:t>
      </w:r>
      <w:r>
        <w:rPr>
          <w:vertAlign w:val="baseline"/>
        </w:rPr>
        <w:t>health-seeking</w:t>
      </w:r>
      <w:r>
        <w:rPr>
          <w:spacing w:val="-57"/>
          <w:vertAlign w:val="baseline"/>
        </w:rPr>
        <w:t> </w:t>
      </w:r>
      <w:r>
        <w:rPr>
          <w:vertAlign w:val="baseline"/>
        </w:rPr>
        <w:t>behavior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-6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-4"/>
          <w:vertAlign w:val="baseline"/>
        </w:rPr>
        <w:t> </w:t>
      </w:r>
      <w:r>
        <w:rPr>
          <w:vertAlign w:val="baseline"/>
        </w:rPr>
        <w:t>there</w:t>
      </w:r>
      <w:r>
        <w:rPr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need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6"/>
          <w:vertAlign w:val="baseline"/>
        </w:rPr>
        <w:t> </w:t>
      </w:r>
      <w:r>
        <w:rPr>
          <w:vertAlign w:val="baseline"/>
        </w:rPr>
        <w:t>specify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consistent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efficient</w:t>
      </w:r>
      <w:r>
        <w:rPr>
          <w:spacing w:val="-6"/>
          <w:vertAlign w:val="baseline"/>
        </w:rPr>
        <w:t> </w:t>
      </w:r>
      <w:r>
        <w:rPr>
          <w:vertAlign w:val="baseline"/>
        </w:rPr>
        <w:t>model</w:t>
      </w:r>
      <w:r>
        <w:rPr>
          <w:spacing w:val="-6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58"/>
          <w:vertAlign w:val="baseline"/>
        </w:rPr>
        <w:t> </w:t>
      </w:r>
      <w:r>
        <w:rPr>
          <w:vertAlign w:val="baseline"/>
        </w:rPr>
        <w:t>FE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RE estimations 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Hausman test.</w:t>
      </w:r>
    </w:p>
    <w:p>
      <w:pPr>
        <w:pStyle w:val="Heading5"/>
        <w:numPr>
          <w:ilvl w:val="2"/>
          <w:numId w:val="15"/>
        </w:numPr>
        <w:tabs>
          <w:tab w:pos="901" w:val="left" w:leader="none"/>
        </w:tabs>
        <w:spacing w:line="240" w:lineRule="auto" w:before="150" w:after="0"/>
        <w:ind w:left="900" w:right="0" w:hanging="781"/>
        <w:jc w:val="both"/>
      </w:pPr>
      <w:bookmarkStart w:name="_TOC_250008" w:id="69"/>
      <w:r>
        <w:rPr/>
        <w:t>Hausman</w:t>
      </w:r>
      <w:r>
        <w:rPr>
          <w:spacing w:val="-4"/>
        </w:rPr>
        <w:t> </w:t>
      </w:r>
      <w:r>
        <w:rPr/>
        <w:t>Specification</w:t>
      </w:r>
      <w:r>
        <w:rPr>
          <w:spacing w:val="-2"/>
        </w:rPr>
        <w:t> </w:t>
      </w:r>
      <w:bookmarkEnd w:id="69"/>
      <w:r>
        <w:rPr/>
        <w:t>Test</w:t>
      </w:r>
    </w:p>
    <w:p>
      <w:pPr>
        <w:pStyle w:val="BodyText"/>
        <w:spacing w:line="360" w:lineRule="auto" w:before="135"/>
        <w:ind w:left="120" w:right="116"/>
        <w:jc w:val="both"/>
      </w:pPr>
      <w:r>
        <w:rPr/>
        <w:t>Both</w:t>
      </w:r>
      <w:r>
        <w:rPr>
          <w:spacing w:val="-6"/>
        </w:rPr>
        <w:t> </w:t>
      </w:r>
      <w:r>
        <w:rPr/>
        <w:t>FE</w:t>
      </w:r>
      <w:r>
        <w:rPr>
          <w:spacing w:val="-5"/>
        </w:rPr>
        <w:t> </w:t>
      </w:r>
      <w:r>
        <w:rPr/>
        <w:t>and</w:t>
      </w:r>
      <w:r>
        <w:rPr>
          <w:spacing w:val="-9"/>
        </w:rPr>
        <w:t> </w:t>
      </w:r>
      <w:r>
        <w:rPr/>
        <w:t>RE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enabled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unobserved</w:t>
      </w:r>
      <w:r>
        <w:rPr>
          <w:spacing w:val="-6"/>
        </w:rPr>
        <w:t> </w:t>
      </w:r>
      <w:r>
        <w:rPr/>
        <w:t>heterogeneity.</w:t>
      </w:r>
      <w:r>
        <w:rPr>
          <w:spacing w:val="-6"/>
        </w:rPr>
        <w:t> </w:t>
      </w:r>
      <w:r>
        <w:rPr/>
        <w:t>While</w:t>
      </w:r>
      <w:r>
        <w:rPr>
          <w:spacing w:val="-8"/>
        </w:rPr>
        <w:t> </w:t>
      </w:r>
      <w:r>
        <w:rPr/>
        <w:t>FE</w:t>
      </w:r>
      <w:r>
        <w:rPr>
          <w:spacing w:val="-5"/>
        </w:rPr>
        <w:t> </w:t>
      </w:r>
      <w:r>
        <w:rPr/>
        <w:t>model</w:t>
      </w:r>
      <w:r>
        <w:rPr>
          <w:spacing w:val="-9"/>
        </w:rPr>
        <w:t> </w:t>
      </w:r>
      <w:r>
        <w:rPr/>
        <w:t>controls</w:t>
      </w:r>
      <w:r>
        <w:rPr>
          <w:spacing w:val="-57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time-invariant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subject-specific</w:t>
      </w:r>
      <w:r>
        <w:rPr>
          <w:spacing w:val="-13"/>
        </w:rPr>
        <w:t> </w:t>
      </w:r>
      <w:r>
        <w:rPr>
          <w:sz w:val="23"/>
        </w:rPr>
        <w:t>characteristics</w:t>
      </w:r>
      <w:r>
        <w:rPr>
          <w:spacing w:val="-9"/>
          <w:sz w:val="2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estimates,</w:t>
      </w:r>
      <w:r>
        <w:rPr>
          <w:spacing w:val="-12"/>
        </w:rPr>
        <w:t> </w:t>
      </w:r>
      <w:r>
        <w:rPr/>
        <w:t>RE</w:t>
      </w:r>
      <w:r>
        <w:rPr>
          <w:spacing w:val="-13"/>
        </w:rPr>
        <w:t> </w:t>
      </w:r>
      <w:r>
        <w:rPr/>
        <w:t>consider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time-variant</w:t>
      </w:r>
      <w:r>
        <w:rPr>
          <w:spacing w:val="-58"/>
        </w:rPr>
        <w:t> </w:t>
      </w:r>
      <w:r>
        <w:rPr/>
        <w:t>effects of income inequality on HSB. Hence, Hausman test as presented in Table 5.23 specify the</w:t>
      </w:r>
      <w:r>
        <w:rPr>
          <w:spacing w:val="-57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model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FE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RE.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p-value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low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0.0000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chi</w:t>
      </w:r>
      <w:r>
        <w:rPr>
          <w:vertAlign w:val="super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of 366.32 (see Appendix Table K6). Since the p-value of Hausman test results is less than 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threshold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of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1%.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It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implies</w:t>
      </w:r>
      <w:r>
        <w:rPr>
          <w:spacing w:val="-14"/>
          <w:vertAlign w:val="baseline"/>
        </w:rPr>
        <w:t> </w:t>
      </w:r>
      <w:r>
        <w:rPr>
          <w:vertAlign w:val="baseline"/>
        </w:rPr>
        <w:t>that</w:t>
      </w:r>
      <w:r>
        <w:rPr>
          <w:spacing w:val="-15"/>
          <w:vertAlign w:val="baseline"/>
        </w:rPr>
        <w:t> </w:t>
      </w:r>
      <w:r>
        <w:rPr>
          <w:vertAlign w:val="baseline"/>
        </w:rPr>
        <w:t>FE</w:t>
      </w:r>
      <w:r>
        <w:rPr>
          <w:spacing w:val="-15"/>
          <w:vertAlign w:val="baseline"/>
        </w:rPr>
        <w:t> </w:t>
      </w:r>
      <w:r>
        <w:rPr>
          <w:vertAlign w:val="baseline"/>
        </w:rPr>
        <w:t>model</w:t>
      </w:r>
      <w:r>
        <w:rPr>
          <w:spacing w:val="-15"/>
          <w:vertAlign w:val="baseline"/>
        </w:rPr>
        <w:t> </w:t>
      </w:r>
      <w:r>
        <w:rPr>
          <w:vertAlign w:val="baseline"/>
        </w:rPr>
        <w:t>is</w:t>
      </w:r>
      <w:r>
        <w:rPr>
          <w:spacing w:val="-12"/>
          <w:vertAlign w:val="baseline"/>
        </w:rPr>
        <w:t> </w:t>
      </w:r>
      <w:r>
        <w:rPr>
          <w:vertAlign w:val="baseline"/>
        </w:rPr>
        <w:t>a</w:t>
      </w:r>
      <w:r>
        <w:rPr>
          <w:spacing w:val="-16"/>
          <w:vertAlign w:val="baseline"/>
        </w:rPr>
        <w:t> </w:t>
      </w:r>
      <w:r>
        <w:rPr>
          <w:vertAlign w:val="baseline"/>
        </w:rPr>
        <w:t>more</w:t>
      </w:r>
      <w:r>
        <w:rPr>
          <w:spacing w:val="-14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-15"/>
          <w:vertAlign w:val="baseline"/>
        </w:rPr>
        <w:t> </w:t>
      </w:r>
      <w:r>
        <w:rPr>
          <w:vertAlign w:val="baseline"/>
        </w:rPr>
        <w:t>statistically,</w:t>
      </w:r>
      <w:r>
        <w:rPr>
          <w:spacing w:val="-14"/>
          <w:vertAlign w:val="baseline"/>
        </w:rPr>
        <w:t> </w:t>
      </w:r>
      <w:r>
        <w:rPr>
          <w:vertAlign w:val="baseline"/>
        </w:rPr>
        <w:t>efficient</w:t>
      </w:r>
      <w:r>
        <w:rPr>
          <w:spacing w:val="-14"/>
          <w:vertAlign w:val="baseline"/>
        </w:rPr>
        <w:t> </w:t>
      </w:r>
      <w:r>
        <w:rPr>
          <w:vertAlign w:val="baseline"/>
        </w:rPr>
        <w:t>and</w:t>
      </w:r>
      <w:r>
        <w:rPr>
          <w:spacing w:val="-15"/>
          <w:vertAlign w:val="baseline"/>
        </w:rPr>
        <w:t> </w:t>
      </w:r>
      <w:r>
        <w:rPr>
          <w:vertAlign w:val="baseline"/>
        </w:rPr>
        <w:t>consistent</w:t>
      </w:r>
      <w:r>
        <w:rPr>
          <w:spacing w:val="-57"/>
          <w:vertAlign w:val="baseline"/>
        </w:rPr>
        <w:t> </w:t>
      </w:r>
      <w:r>
        <w:rPr>
          <w:vertAlign w:val="baseline"/>
        </w:rPr>
        <w:t>model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compared with the</w:t>
      </w:r>
      <w:r>
        <w:rPr>
          <w:spacing w:val="2"/>
          <w:vertAlign w:val="baseline"/>
        </w:rPr>
        <w:t> </w:t>
      </w:r>
      <w:r>
        <w:rPr>
          <w:vertAlign w:val="baseline"/>
        </w:rPr>
        <w:t>RE.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Heading4"/>
        <w:spacing w:before="79" w:after="42"/>
        <w:ind w:left="120"/>
      </w:pPr>
      <w:r>
        <w:rPr/>
        <w:t>Table</w:t>
      </w:r>
      <w:r>
        <w:rPr>
          <w:spacing w:val="-1"/>
        </w:rPr>
        <w:t> </w:t>
      </w:r>
      <w:r>
        <w:rPr/>
        <w:t>5.23: Hausman</w:t>
      </w:r>
      <w:r>
        <w:rPr>
          <w:spacing w:val="-1"/>
        </w:rPr>
        <w:t> </w:t>
      </w:r>
      <w:r>
        <w:rPr/>
        <w:t>Test Results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NGHPS Waves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4"/>
        <w:gridCol w:w="1978"/>
        <w:gridCol w:w="3080"/>
      </w:tblGrid>
      <w:tr>
        <w:trPr>
          <w:trHeight w:val="292" w:hRule="atLeast"/>
        </w:trPr>
        <w:tc>
          <w:tcPr>
            <w:tcW w:w="4124" w:type="dxa"/>
          </w:tcPr>
          <w:p>
            <w:pPr>
              <w:pStyle w:val="TableParagraph"/>
              <w:spacing w:line="247" w:lineRule="exact"/>
              <w:ind w:left="1068" w:right="1058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Chi-squared</w:t>
            </w:r>
            <w:r>
              <w:rPr>
                <w:rFonts w:asci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Statistics</w:t>
            </w:r>
          </w:p>
        </w:tc>
        <w:tc>
          <w:tcPr>
            <w:tcW w:w="1978" w:type="dxa"/>
          </w:tcPr>
          <w:p>
            <w:pPr>
              <w:pStyle w:val="TableParagraph"/>
              <w:spacing w:line="247" w:lineRule="exact"/>
              <w:ind w:left="199" w:right="190"/>
              <w:jc w:val="center"/>
              <w:rPr>
                <w:rFonts w:ascii="Times New Roman" w:hAnsi="Times New Roman"/>
                <w:i/>
                <w:sz w:val="22"/>
              </w:rPr>
            </w:pPr>
            <w:r>
              <w:rPr>
                <w:rFonts w:ascii="Times New Roman" w:hAnsi="Times New Roman"/>
                <w:i/>
                <w:sz w:val="22"/>
              </w:rPr>
              <w:t>Probability˃Chi</w:t>
            </w:r>
            <w:r>
              <w:rPr>
                <w:rFonts w:ascii="Times New Roman" w:hAnsi="Times New Roman"/>
                <w:i/>
                <w:sz w:val="22"/>
                <w:vertAlign w:val="superscript"/>
              </w:rPr>
              <w:t>2</w:t>
            </w:r>
          </w:p>
        </w:tc>
        <w:tc>
          <w:tcPr>
            <w:tcW w:w="3080" w:type="dxa"/>
          </w:tcPr>
          <w:p>
            <w:pPr>
              <w:pStyle w:val="TableParagraph"/>
              <w:spacing w:line="247" w:lineRule="exact"/>
              <w:ind w:left="796" w:right="787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Model</w:t>
            </w:r>
            <w:r>
              <w:rPr>
                <w:rFonts w:ascii="Times New Roman"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Indicated</w:t>
            </w:r>
          </w:p>
        </w:tc>
      </w:tr>
      <w:tr>
        <w:trPr>
          <w:trHeight w:val="290" w:hRule="atLeast"/>
        </w:trPr>
        <w:tc>
          <w:tcPr>
            <w:tcW w:w="4124" w:type="dxa"/>
          </w:tcPr>
          <w:p>
            <w:pPr>
              <w:pStyle w:val="TableParagraph"/>
              <w:spacing w:line="247" w:lineRule="exact"/>
              <w:ind w:left="1068" w:right="105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366.32</w:t>
            </w:r>
          </w:p>
        </w:tc>
        <w:tc>
          <w:tcPr>
            <w:tcW w:w="1978" w:type="dxa"/>
          </w:tcPr>
          <w:p>
            <w:pPr>
              <w:pStyle w:val="TableParagraph"/>
              <w:spacing w:line="247" w:lineRule="exact"/>
              <w:ind w:left="199" w:right="18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0.0000</w:t>
            </w:r>
          </w:p>
        </w:tc>
        <w:tc>
          <w:tcPr>
            <w:tcW w:w="3080" w:type="dxa"/>
          </w:tcPr>
          <w:p>
            <w:pPr>
              <w:pStyle w:val="TableParagraph"/>
              <w:spacing w:line="247" w:lineRule="exact"/>
              <w:ind w:left="796" w:right="78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Model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Computed from</w:t>
      </w:r>
      <w:r>
        <w:rPr>
          <w:spacing w:val="-5"/>
          <w:sz w:val="20"/>
        </w:rPr>
        <w:t> </w:t>
      </w:r>
      <w:r>
        <w:rPr>
          <w:sz w:val="20"/>
        </w:rPr>
        <w:t>Stata</w:t>
      </w:r>
      <w:r>
        <w:rPr>
          <w:spacing w:val="-1"/>
          <w:sz w:val="20"/>
        </w:rPr>
        <w:t> </w:t>
      </w:r>
      <w:r>
        <w:rPr>
          <w:sz w:val="20"/>
        </w:rPr>
        <w:t>13</w:t>
      </w:r>
    </w:p>
    <w:p>
      <w:pPr>
        <w:pStyle w:val="BodyText"/>
        <w:rPr>
          <w:sz w:val="30"/>
        </w:rPr>
      </w:pPr>
    </w:p>
    <w:p>
      <w:pPr>
        <w:pStyle w:val="Heading5"/>
        <w:numPr>
          <w:ilvl w:val="2"/>
          <w:numId w:val="15"/>
        </w:numPr>
        <w:tabs>
          <w:tab w:pos="841" w:val="left" w:leader="none"/>
        </w:tabs>
        <w:spacing w:line="240" w:lineRule="auto" w:before="0" w:after="0"/>
        <w:ind w:left="840" w:right="0" w:hanging="721"/>
        <w:jc w:val="both"/>
      </w:pPr>
      <w:r>
        <w:rPr/>
        <w:t>Robustness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Income</w:t>
      </w:r>
      <w:r>
        <w:rPr>
          <w:spacing w:val="-3"/>
        </w:rPr>
        <w:t> </w:t>
      </w:r>
      <w:r>
        <w:rPr/>
        <w:t>Inequality-HSB</w:t>
      </w:r>
      <w:r>
        <w:rPr>
          <w:spacing w:val="-3"/>
        </w:rPr>
        <w:t> </w:t>
      </w:r>
      <w:r>
        <w:rPr/>
        <w:t>Effect</w:t>
      </w:r>
    </w:p>
    <w:p>
      <w:pPr>
        <w:pStyle w:val="BodyText"/>
        <w:spacing w:line="360" w:lineRule="auto" w:before="132"/>
        <w:ind w:left="120" w:right="115"/>
        <w:jc w:val="both"/>
      </w:pPr>
      <w:r>
        <w:rPr/>
        <w:t>The study further re-estimates the effect of income inequality on HSB from individual NGHPS</w:t>
      </w:r>
      <w:r>
        <w:rPr>
          <w:spacing w:val="1"/>
        </w:rPr>
        <w:t> </w:t>
      </w:r>
      <w:r>
        <w:rPr/>
        <w:t>Waves – 2010/2011 Wave</w:t>
      </w:r>
      <w:r>
        <w:rPr>
          <w:spacing w:val="2"/>
        </w:rPr>
        <w:t> </w:t>
      </w:r>
      <w:r>
        <w:rPr/>
        <w:t>I, 2012/2013 Wave</w:t>
      </w:r>
      <w:r>
        <w:rPr>
          <w:spacing w:val="2"/>
        </w:rPr>
        <w:t> </w:t>
      </w:r>
      <w:r>
        <w:rPr/>
        <w:t>II, and 2015/2016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III.</w:t>
      </w:r>
      <w:r>
        <w:rPr>
          <w:spacing w:val="9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 Table</w:t>
      </w:r>
    </w:p>
    <w:p>
      <w:pPr>
        <w:pStyle w:val="BodyText"/>
        <w:spacing w:line="360" w:lineRule="auto"/>
        <w:ind w:left="120" w:right="114"/>
        <w:jc w:val="both"/>
      </w:pPr>
      <w:r>
        <w:rPr/>
        <w:t>5.24 presented the summary of panel logistic estimations from Wave I. It is worthy of note that</w:t>
      </w:r>
      <w:r>
        <w:rPr>
          <w:spacing w:val="1"/>
        </w:rPr>
        <w:t> </w:t>
      </w:r>
      <w:r>
        <w:rPr>
          <w:spacing w:val="-1"/>
        </w:rPr>
        <w:t>Column</w:t>
      </w:r>
      <w:r>
        <w:rPr>
          <w:spacing w:val="-15"/>
        </w:rPr>
        <w:t> </w:t>
      </w:r>
      <w:r>
        <w:rPr>
          <w:spacing w:val="-1"/>
        </w:rPr>
        <w:t>1,</w:t>
      </w:r>
      <w:r>
        <w:rPr>
          <w:spacing w:val="-15"/>
        </w:rPr>
        <w:t> </w:t>
      </w:r>
      <w:r>
        <w:rPr>
          <w:spacing w:val="-1"/>
        </w:rPr>
        <w:t>2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3</w:t>
      </w:r>
      <w:r>
        <w:rPr>
          <w:spacing w:val="-14"/>
        </w:rPr>
        <w:t> </w:t>
      </w:r>
      <w:r>
        <w:rPr>
          <w:spacing w:val="-1"/>
        </w:rPr>
        <w:t>shown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POLS,</w:t>
      </w:r>
      <w:r>
        <w:rPr>
          <w:spacing w:val="-12"/>
        </w:rPr>
        <w:t> </w:t>
      </w:r>
      <w:r>
        <w:rPr/>
        <w:t>FE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RE</w:t>
      </w:r>
      <w:r>
        <w:rPr>
          <w:spacing w:val="-15"/>
        </w:rPr>
        <w:t> </w:t>
      </w:r>
      <w:r>
        <w:rPr/>
        <w:t>models,</w:t>
      </w:r>
      <w:r>
        <w:rPr>
          <w:spacing w:val="-13"/>
        </w:rPr>
        <w:t> </w:t>
      </w:r>
      <w:r>
        <w:rPr>
          <w:sz w:val="23"/>
        </w:rPr>
        <w:t>respectively,</w:t>
      </w:r>
      <w:r>
        <w:rPr>
          <w:spacing w:val="-10"/>
          <w:sz w:val="23"/>
        </w:rPr>
        <w:t> </w:t>
      </w:r>
      <w:r>
        <w:rPr/>
        <w:t>where</w:t>
      </w:r>
      <w:r>
        <w:rPr>
          <w:spacing w:val="-16"/>
        </w:rPr>
        <w:t> </w:t>
      </w:r>
      <w:r>
        <w:rPr/>
        <w:t>several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>
          <w:sz w:val="23"/>
        </w:rPr>
        <w:t>estimates</w:t>
      </w:r>
      <w:r>
        <w:rPr>
          <w:spacing w:val="-56"/>
          <w:sz w:val="23"/>
        </w:rPr>
        <w:t> </w:t>
      </w:r>
      <w:r>
        <w:rPr/>
        <w:t>were</w:t>
      </w:r>
      <w:r>
        <w:rPr>
          <w:spacing w:val="-3"/>
        </w:rPr>
        <w:t> </w:t>
      </w:r>
      <w:r>
        <w:rPr/>
        <w:t>in line with the full</w:t>
      </w:r>
      <w:r>
        <w:rPr>
          <w:spacing w:val="2"/>
        </w:rPr>
        <w:t> </w:t>
      </w:r>
      <w:r>
        <w:rPr/>
        <w:t>estimations.</w:t>
      </w:r>
    </w:p>
    <w:p>
      <w:pPr>
        <w:pStyle w:val="BodyText"/>
        <w:spacing w:line="360" w:lineRule="auto" w:before="117"/>
        <w:ind w:left="120" w:right="115"/>
        <w:jc w:val="both"/>
      </w:pPr>
      <w:r>
        <w:rPr/>
        <w:t>The finding indicated that the estimate of household’s size is inversely related with appropriate</w:t>
      </w:r>
      <w:r>
        <w:rPr>
          <w:spacing w:val="1"/>
        </w:rPr>
        <w:t> </w:t>
      </w:r>
      <w:r>
        <w:rPr/>
        <w:t>healthcare utilization. In particular, it was found that as family size increases, the likelihood that</w:t>
      </w:r>
      <w:r>
        <w:rPr>
          <w:spacing w:val="1"/>
        </w:rPr>
        <w:t> </w:t>
      </w:r>
      <w:r>
        <w:rPr/>
        <w:t>household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demonstrate</w:t>
      </w:r>
      <w:r>
        <w:rPr>
          <w:spacing w:val="-8"/>
        </w:rPr>
        <w:t> </w:t>
      </w:r>
      <w:r>
        <w:rPr/>
        <w:t>appropriate</w:t>
      </w:r>
      <w:r>
        <w:rPr>
          <w:spacing w:val="-7"/>
        </w:rPr>
        <w:t> </w:t>
      </w:r>
      <w:r>
        <w:rPr/>
        <w:t>HSB</w:t>
      </w:r>
      <w:r>
        <w:rPr>
          <w:spacing w:val="-7"/>
        </w:rPr>
        <w:t> </w:t>
      </w:r>
      <w:r>
        <w:rPr/>
        <w:t>rises</w:t>
      </w:r>
      <w:r>
        <w:rPr>
          <w:spacing w:val="-5"/>
        </w:rPr>
        <w:t> </w:t>
      </w:r>
      <w:r>
        <w:rPr/>
        <w:t>by</w:t>
      </w:r>
      <w:r>
        <w:rPr>
          <w:spacing w:val="-11"/>
        </w:rPr>
        <w:t> </w:t>
      </w:r>
      <w:r>
        <w:rPr/>
        <w:t>2.5%</w:t>
      </w:r>
      <w:r>
        <w:rPr>
          <w:spacing w:val="-6"/>
        </w:rPr>
        <w:t> </w:t>
      </w:r>
      <w:r>
        <w:rPr/>
        <w:t>(for</w:t>
      </w:r>
      <w:r>
        <w:rPr>
          <w:spacing w:val="-8"/>
        </w:rPr>
        <w:t> </w:t>
      </w:r>
      <w:r>
        <w:rPr/>
        <w:t>POLS),</w:t>
      </w:r>
      <w:r>
        <w:rPr>
          <w:spacing w:val="-9"/>
        </w:rPr>
        <w:t> </w:t>
      </w:r>
      <w:r>
        <w:rPr/>
        <w:t>0.12%</w:t>
      </w:r>
      <w:r>
        <w:rPr>
          <w:spacing w:val="-8"/>
        </w:rPr>
        <w:t> </w:t>
      </w:r>
      <w:r>
        <w:rPr/>
        <w:t>(for</w:t>
      </w:r>
      <w:r>
        <w:rPr>
          <w:spacing w:val="-6"/>
        </w:rPr>
        <w:t> </w:t>
      </w:r>
      <w:r>
        <w:rPr/>
        <w:t>FE),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1.9%</w:t>
      </w:r>
      <w:r>
        <w:rPr>
          <w:spacing w:val="-57"/>
        </w:rPr>
        <w:t> </w:t>
      </w:r>
      <w:r>
        <w:rPr>
          <w:spacing w:val="-1"/>
        </w:rPr>
        <w:t>(for</w:t>
      </w:r>
      <w:r>
        <w:rPr>
          <w:spacing w:val="-16"/>
        </w:rPr>
        <w:t> </w:t>
      </w:r>
      <w:r>
        <w:rPr>
          <w:spacing w:val="-1"/>
        </w:rPr>
        <w:t>RE),</w:t>
      </w:r>
      <w:r>
        <w:rPr>
          <w:spacing w:val="-11"/>
        </w:rPr>
        <w:t> </w:t>
      </w:r>
      <w:r>
        <w:rPr>
          <w:spacing w:val="-1"/>
        </w:rPr>
        <w:t>respectively.</w:t>
      </w:r>
      <w:r>
        <w:rPr>
          <w:spacing w:val="-10"/>
        </w:rPr>
        <w:t> </w:t>
      </w:r>
      <w:r>
        <w:rPr/>
        <w:t>This,</w:t>
      </w:r>
      <w:r>
        <w:rPr>
          <w:spacing w:val="-15"/>
        </w:rPr>
        <w:t> </w:t>
      </w:r>
      <w:r>
        <w:rPr/>
        <w:t>not</w:t>
      </w:r>
      <w:r>
        <w:rPr>
          <w:spacing w:val="-13"/>
        </w:rPr>
        <w:t> </w:t>
      </w:r>
      <w:r>
        <w:rPr/>
        <w:t>only</w:t>
      </w:r>
      <w:r>
        <w:rPr>
          <w:spacing w:val="-18"/>
        </w:rPr>
        <w:t> </w:t>
      </w:r>
      <w:r>
        <w:rPr/>
        <w:t>justified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earlier</w:t>
      </w:r>
      <w:r>
        <w:rPr>
          <w:spacing w:val="-16"/>
        </w:rPr>
        <w:t> </w:t>
      </w:r>
      <w:r>
        <w:rPr/>
        <w:t>results,</w:t>
      </w:r>
      <w:r>
        <w:rPr>
          <w:spacing w:val="-14"/>
        </w:rPr>
        <w:t> </w:t>
      </w:r>
      <w:r>
        <w:rPr/>
        <w:t>but</w:t>
      </w:r>
      <w:r>
        <w:rPr>
          <w:spacing w:val="-13"/>
        </w:rPr>
        <w:t> </w:t>
      </w:r>
      <w:r>
        <w:rPr/>
        <w:t>also</w:t>
      </w:r>
      <w:r>
        <w:rPr>
          <w:spacing w:val="-14"/>
        </w:rPr>
        <w:t> </w:t>
      </w:r>
      <w:r>
        <w:rPr/>
        <w:t>consistent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theoretical</w:t>
      </w:r>
      <w:r>
        <w:rPr>
          <w:spacing w:val="-58"/>
        </w:rPr>
        <w:t> </w:t>
      </w:r>
      <w:r>
        <w:rPr/>
        <w:t>expectation, as well as the results of Senbeto </w:t>
      </w:r>
      <w:r>
        <w:rPr>
          <w:i/>
        </w:rPr>
        <w:t>et al. </w:t>
      </w:r>
      <w:r>
        <w:rPr/>
        <w:t>(2013) and Huang </w:t>
      </w:r>
      <w:r>
        <w:rPr>
          <w:i/>
        </w:rPr>
        <w:t>et al. </w:t>
      </w:r>
      <w:r>
        <w:rPr/>
        <w:t>(2017) that increasing</w:t>
      </w:r>
      <w:r>
        <w:rPr>
          <w:spacing w:val="-57"/>
        </w:rPr>
        <w:t> </w:t>
      </w:r>
      <w:r>
        <w:rPr/>
        <w:t>family</w:t>
      </w:r>
      <w:r>
        <w:rPr>
          <w:spacing w:val="-6"/>
        </w:rPr>
        <w:t> </w:t>
      </w:r>
      <w:r>
        <w:rPr/>
        <w:t>size</w:t>
      </w:r>
      <w:r>
        <w:rPr>
          <w:spacing w:val="-1"/>
        </w:rPr>
        <w:t> </w:t>
      </w:r>
      <w:r>
        <w:rPr/>
        <w:t>is related to rising</w:t>
      </w:r>
      <w:r>
        <w:rPr>
          <w:spacing w:val="-2"/>
        </w:rPr>
        <w:t> </w:t>
      </w:r>
      <w:r>
        <w:rPr/>
        <w:t>health needs.</w:t>
      </w:r>
    </w:p>
    <w:p>
      <w:pPr>
        <w:pStyle w:val="BodyText"/>
        <w:spacing w:line="360" w:lineRule="auto" w:before="113"/>
        <w:ind w:left="120" w:right="116"/>
        <w:jc w:val="both"/>
      </w:pPr>
      <w:r>
        <w:rPr/>
        <w:t>Literacy level is also one of the key determinants of medical consultation in times of illness. The</w:t>
      </w:r>
      <w:r>
        <w:rPr>
          <w:spacing w:val="1"/>
        </w:rPr>
        <w:t> </w:t>
      </w:r>
      <w:r>
        <w:rPr/>
        <w:t>household’s heads with no basic education related inversely with appropriate healthcare services.</w:t>
      </w:r>
      <w:r>
        <w:rPr>
          <w:spacing w:val="-57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statistically</w:t>
      </w:r>
      <w:r>
        <w:rPr>
          <w:spacing w:val="-13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model.</w:t>
      </w:r>
      <w:r>
        <w:rPr>
          <w:spacing w:val="-6"/>
        </w:rPr>
        <w:t> </w:t>
      </w:r>
      <w:r>
        <w:rPr/>
        <w:t>Those</w:t>
      </w:r>
      <w:r>
        <w:rPr>
          <w:spacing w:val="-9"/>
        </w:rPr>
        <w:t> </w:t>
      </w:r>
      <w:r>
        <w:rPr/>
        <w:t>with</w:t>
      </w:r>
      <w:r>
        <w:rPr>
          <w:spacing w:val="-6"/>
        </w:rPr>
        <w:t> </w:t>
      </w:r>
      <w:r>
        <w:rPr/>
        <w:t>primary,</w:t>
      </w:r>
      <w:r>
        <w:rPr>
          <w:spacing w:val="-5"/>
        </w:rPr>
        <w:t> </w:t>
      </w:r>
      <w:r>
        <w:rPr/>
        <w:t>secondary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higher</w:t>
      </w:r>
      <w:r>
        <w:rPr>
          <w:spacing w:val="-7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levels were mostly statistically significant and positively associated. These are indications that as</w:t>
      </w:r>
      <w:r>
        <w:rPr>
          <w:spacing w:val="-57"/>
        </w:rPr>
        <w:t> </w:t>
      </w:r>
      <w:r>
        <w:rPr/>
        <w:t>the household’s head becomes more educated, they may consult appropriate healthcare services.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probability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household’s</w:t>
      </w:r>
      <w:r>
        <w:rPr>
          <w:spacing w:val="-4"/>
        </w:rPr>
        <w:t> </w:t>
      </w:r>
      <w:r>
        <w:rPr/>
        <w:t>members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often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healthcare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12.7%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POLS,</w:t>
      </w:r>
      <w:r>
        <w:rPr>
          <w:spacing w:val="-58"/>
        </w:rPr>
        <w:t> </w:t>
      </w:r>
      <w:r>
        <w:rPr/>
        <w:t>1.1%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12%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/>
        <w:t>FE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RE</w:t>
      </w:r>
      <w:r>
        <w:rPr>
          <w:spacing w:val="-10"/>
        </w:rPr>
        <w:t> </w:t>
      </w:r>
      <w:r>
        <w:rPr/>
        <w:t>models,</w:t>
      </w:r>
      <w:r>
        <w:rPr>
          <w:spacing w:val="-9"/>
        </w:rPr>
        <w:t> </w:t>
      </w:r>
      <w:r>
        <w:rPr/>
        <w:t>respectively.</w:t>
      </w:r>
      <w:r>
        <w:rPr>
          <w:spacing w:val="-5"/>
        </w:rPr>
        <w:t> </w:t>
      </w:r>
      <w:r>
        <w:rPr/>
        <w:t>This</w:t>
      </w:r>
      <w:r>
        <w:rPr>
          <w:spacing w:val="-9"/>
        </w:rPr>
        <w:t> </w:t>
      </w:r>
      <w:r>
        <w:rPr/>
        <w:t>further</w:t>
      </w:r>
      <w:r>
        <w:rPr>
          <w:spacing w:val="-10"/>
        </w:rPr>
        <w:t> </w:t>
      </w:r>
      <w:r>
        <w:rPr/>
        <w:t>implies</w:t>
      </w:r>
      <w:r>
        <w:rPr>
          <w:spacing w:val="-8"/>
        </w:rPr>
        <w:t> </w:t>
      </w:r>
      <w:r>
        <w:rPr/>
        <w:t>that</w:t>
      </w:r>
      <w:r>
        <w:rPr>
          <w:spacing w:val="-11"/>
        </w:rPr>
        <w:t> </w:t>
      </w:r>
      <w:r>
        <w:rPr/>
        <w:t>educated</w:t>
      </w:r>
      <w:r>
        <w:rPr>
          <w:spacing w:val="-9"/>
        </w:rPr>
        <w:t> </w:t>
      </w:r>
      <w:r>
        <w:rPr/>
        <w:t>heads</w:t>
      </w:r>
      <w:r>
        <w:rPr>
          <w:spacing w:val="-8"/>
        </w:rPr>
        <w:t> </w:t>
      </w:r>
      <w:r>
        <w:rPr/>
        <w:t>might</w:t>
      </w:r>
      <w:r>
        <w:rPr>
          <w:spacing w:val="-58"/>
        </w:rPr>
        <w:t> </w:t>
      </w:r>
      <w:r>
        <w:rPr/>
        <w:t>appreciate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important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accessing</w:t>
      </w:r>
      <w:r>
        <w:rPr>
          <w:spacing w:val="-10"/>
        </w:rPr>
        <w:t> </w:t>
      </w:r>
      <w:r>
        <w:rPr/>
        <w:t>appropriate</w:t>
      </w:r>
      <w:r>
        <w:rPr>
          <w:spacing w:val="-7"/>
        </w:rPr>
        <w:t> </w:t>
      </w:r>
      <w:r>
        <w:rPr/>
        <w:t>healthcare</w:t>
      </w:r>
      <w:r>
        <w:rPr>
          <w:spacing w:val="-11"/>
        </w:rPr>
        <w:t> </w:t>
      </w:r>
      <w:r>
        <w:rPr/>
        <w:t>services.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line</w:t>
      </w:r>
      <w:r>
        <w:rPr>
          <w:spacing w:val="-10"/>
        </w:rPr>
        <w:t> </w:t>
      </w:r>
      <w:r>
        <w:rPr/>
        <w:t>with</w:t>
      </w:r>
      <w:r>
        <w:rPr>
          <w:spacing w:val="-8"/>
        </w:rPr>
        <w:t> </w:t>
      </w:r>
      <w:r>
        <w:rPr/>
        <w:t>Zajacova</w:t>
      </w:r>
      <w:r>
        <w:rPr>
          <w:spacing w:val="-58"/>
        </w:rPr>
        <w:t> </w:t>
      </w:r>
      <w:r>
        <w:rPr/>
        <w:t>and Lawrence (2018) that education is paramount to health-seeking behavior most especially in</w:t>
      </w:r>
      <w:r>
        <w:rPr>
          <w:spacing w:val="1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nations.</w:t>
      </w:r>
    </w:p>
    <w:p>
      <w:pPr>
        <w:pStyle w:val="BodyText"/>
        <w:spacing w:line="360" w:lineRule="auto" w:before="162"/>
        <w:ind w:left="120" w:right="116"/>
        <w:jc w:val="both"/>
      </w:pPr>
      <w:r>
        <w:rPr/>
        <w:t>Although gender was signed as expected, the variable for male is insignificant in all the models.</w:t>
      </w:r>
      <w:r>
        <w:rPr>
          <w:spacing w:val="1"/>
        </w:rPr>
        <w:t> </w:t>
      </w:r>
      <w:r>
        <w:rPr/>
        <w:t>The findings indicate that females use appropriate healthcare services during illness. Specifically,</w:t>
      </w:r>
      <w:r>
        <w:rPr>
          <w:spacing w:val="-58"/>
        </w:rPr>
        <w:t> </w:t>
      </w:r>
      <w:r>
        <w:rPr/>
        <w:t>the</w:t>
      </w:r>
      <w:r>
        <w:rPr>
          <w:spacing w:val="-9"/>
        </w:rPr>
        <w:t> </w:t>
      </w:r>
      <w:r>
        <w:rPr/>
        <w:t>likelihood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female</w:t>
      </w:r>
      <w:r>
        <w:rPr>
          <w:spacing w:val="-6"/>
        </w:rPr>
        <w:t> </w:t>
      </w:r>
      <w:r>
        <w:rPr/>
        <w:t>seeking</w:t>
      </w:r>
      <w:r>
        <w:rPr>
          <w:spacing w:val="-11"/>
        </w:rPr>
        <w:t> </w:t>
      </w:r>
      <w:r>
        <w:rPr/>
        <w:t>appropriate</w:t>
      </w:r>
      <w:r>
        <w:rPr>
          <w:spacing w:val="-5"/>
        </w:rPr>
        <w:t> </w:t>
      </w:r>
      <w:r>
        <w:rPr/>
        <w:t>healthcare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6%,</w:t>
      </w:r>
      <w:r>
        <w:rPr>
          <w:spacing w:val="-7"/>
        </w:rPr>
        <w:t> </w:t>
      </w:r>
      <w:r>
        <w:rPr/>
        <w:t>0.7%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8%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POLS,</w:t>
      </w:r>
      <w:r>
        <w:rPr>
          <w:spacing w:val="-6"/>
        </w:rPr>
        <w:t> </w:t>
      </w:r>
      <w:r>
        <w:rPr/>
        <w:t>FE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RE</w:t>
      </w:r>
      <w:r>
        <w:rPr>
          <w:spacing w:val="-58"/>
        </w:rPr>
        <w:t> </w:t>
      </w:r>
      <w:r>
        <w:rPr/>
        <w:t>respectively. This result is also consistent with the main findings. Perhaps, female often have the</w:t>
      </w:r>
      <w:r>
        <w:rPr>
          <w:spacing w:val="1"/>
        </w:rPr>
        <w:t> </w:t>
      </w:r>
      <w:r>
        <w:rPr/>
        <w:t>greatest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in households’ health and their</w:t>
      </w:r>
      <w:r>
        <w:rPr>
          <w:spacing w:val="-1"/>
        </w:rPr>
        <w:t> </w:t>
      </w:r>
      <w:r>
        <w:rPr/>
        <w:t>survival.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Heading4"/>
        <w:spacing w:before="77" w:after="3"/>
        <w:ind w:left="120"/>
        <w:jc w:val="left"/>
      </w:pPr>
      <w:r>
        <w:rPr/>
        <w:t>Table</w:t>
      </w:r>
      <w:r>
        <w:rPr>
          <w:spacing w:val="-1"/>
        </w:rPr>
        <w:t> </w:t>
      </w:r>
      <w:r>
        <w:rPr/>
        <w:t>5.24:</w:t>
      </w:r>
      <w:r>
        <w:rPr>
          <w:spacing w:val="-1"/>
        </w:rPr>
        <w:t> </w:t>
      </w:r>
      <w:r>
        <w:rPr/>
        <w:t>Panel</w:t>
      </w:r>
      <w:r>
        <w:rPr>
          <w:spacing w:val="-1"/>
        </w:rPr>
        <w:t> </w:t>
      </w:r>
      <w:r>
        <w:rPr/>
        <w:t>Logistic Estimations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NGHPS Wave</w:t>
      </w:r>
      <w:r>
        <w:rPr>
          <w:spacing w:val="-2"/>
        </w:rPr>
        <w:t> </w:t>
      </w:r>
      <w:r>
        <w:rPr/>
        <w:t>I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8"/>
        <w:gridCol w:w="1954"/>
        <w:gridCol w:w="2023"/>
        <w:gridCol w:w="2076"/>
      </w:tblGrid>
      <w:tr>
        <w:trPr>
          <w:trHeight w:val="506" w:hRule="atLeast"/>
        </w:trPr>
        <w:tc>
          <w:tcPr>
            <w:tcW w:w="32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54" w:type="dxa"/>
          </w:tcPr>
          <w:p>
            <w:pPr>
              <w:pStyle w:val="TableParagraph"/>
              <w:spacing w:line="251" w:lineRule="exact"/>
              <w:ind w:left="667" w:right="657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POLS</w:t>
            </w:r>
          </w:p>
        </w:tc>
        <w:tc>
          <w:tcPr>
            <w:tcW w:w="2023" w:type="dxa"/>
          </w:tcPr>
          <w:p>
            <w:pPr>
              <w:pStyle w:val="TableParagraph"/>
              <w:spacing w:line="251" w:lineRule="exact"/>
              <w:ind w:left="127" w:right="118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FIXED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EFFECTS</w:t>
            </w:r>
          </w:p>
        </w:tc>
        <w:tc>
          <w:tcPr>
            <w:tcW w:w="2076" w:type="dxa"/>
          </w:tcPr>
          <w:p>
            <w:pPr>
              <w:pStyle w:val="TableParagraph"/>
              <w:spacing w:line="254" w:lineRule="exact"/>
              <w:ind w:left="540" w:right="503" w:hanging="12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RANDOM</w:t>
            </w:r>
            <w:r>
              <w:rPr>
                <w:rFonts w:asci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EFFECTS</w:t>
            </w:r>
          </w:p>
        </w:tc>
      </w:tr>
      <w:tr>
        <w:trPr>
          <w:trHeight w:val="251" w:hRule="atLeast"/>
        </w:trPr>
        <w:tc>
          <w:tcPr>
            <w:tcW w:w="9351" w:type="dxa"/>
            <w:gridSpan w:val="4"/>
          </w:tcPr>
          <w:p>
            <w:pPr>
              <w:pStyle w:val="TableParagraph"/>
              <w:spacing w:line="232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Dependent</w:t>
            </w:r>
            <w:r>
              <w:rPr>
                <w:rFonts w:ascii="Times New Roman"/>
                <w:b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Variable: </w:t>
            </w:r>
            <w:r>
              <w:rPr>
                <w:rFonts w:ascii="Times New Roman"/>
                <w:sz w:val="22"/>
              </w:rPr>
              <w:t>Appropriate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Medical-care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Consultation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times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illnesses</w:t>
            </w:r>
          </w:p>
        </w:tc>
      </w:tr>
      <w:tr>
        <w:trPr>
          <w:trHeight w:val="567" w:hRule="atLeast"/>
        </w:trPr>
        <w:tc>
          <w:tcPr>
            <w:tcW w:w="3298" w:type="dxa"/>
            <w:vMerge w:val="restart"/>
          </w:tcPr>
          <w:p>
            <w:pPr>
              <w:pStyle w:val="TableParagraph"/>
              <w:ind w:left="107" w:right="111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HOUSEHOLD</w:t>
            </w:r>
            <w:r>
              <w:rPr>
                <w:rFonts w:ascii="Times New Roman"/>
                <w:b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w w:val="95"/>
                <w:sz w:val="20"/>
              </w:rPr>
              <w:t>CHARACTRISTICS</w:t>
            </w:r>
          </w:p>
          <w:p>
            <w:pPr>
              <w:pStyle w:val="TableParagraph"/>
              <w:ind w:left="208" w:right="1904" w:firstLine="50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Family Size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Literacy</w:t>
            </w:r>
            <w:r>
              <w:rPr>
                <w:rFonts w:ascii="Times New Roman"/>
                <w:b/>
                <w:i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Level</w:t>
            </w:r>
          </w:p>
          <w:p>
            <w:pPr>
              <w:pStyle w:val="TableParagraph"/>
              <w:spacing w:line="226" w:lineRule="exact"/>
              <w:ind w:left="42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  <w:p>
            <w:pPr>
              <w:pStyle w:val="TableParagraph"/>
              <w:ind w:left="460" w:right="1113" w:hanging="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Primary Education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Secondary </w:t>
            </w:r>
            <w:r>
              <w:rPr>
                <w:rFonts w:ascii="Times New Roman"/>
                <w:sz w:val="20"/>
              </w:rPr>
              <w:t>Education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Higher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Degrees</w:t>
            </w:r>
          </w:p>
          <w:p>
            <w:pPr>
              <w:pStyle w:val="TableParagraph"/>
              <w:spacing w:line="228" w:lineRule="exact"/>
              <w:ind w:left="208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Gender</w:t>
            </w:r>
          </w:p>
          <w:p>
            <w:pPr>
              <w:pStyle w:val="TableParagraph"/>
              <w:ind w:left="460" w:right="2225" w:hanging="3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Male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Female</w:t>
            </w:r>
          </w:p>
          <w:p>
            <w:pPr>
              <w:pStyle w:val="TableParagraph"/>
              <w:spacing w:line="237" w:lineRule="auto" w:before="6"/>
              <w:ind w:left="426" w:right="1754" w:hanging="16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Marital Status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Married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Single Parent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Widowed</w:t>
            </w:r>
          </w:p>
          <w:p>
            <w:pPr>
              <w:pStyle w:val="TableParagraph"/>
              <w:spacing w:before="2"/>
              <w:ind w:left="46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Never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Married</w:t>
            </w:r>
          </w:p>
          <w:p>
            <w:pPr>
              <w:pStyle w:val="TableParagraph"/>
              <w:spacing w:line="228" w:lineRule="exact" w:before="5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Does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your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spouse live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with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you?</w:t>
            </w:r>
          </w:p>
          <w:p>
            <w:pPr>
              <w:pStyle w:val="TableParagraph"/>
              <w:spacing w:line="230" w:lineRule="exact"/>
              <w:ind w:left="460" w:right="2530" w:hanging="3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1954" w:type="dxa"/>
            <w:tcBorders>
              <w:bottom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4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-0.0258*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(0.1457)</w:t>
            </w:r>
          </w:p>
        </w:tc>
        <w:tc>
          <w:tcPr>
            <w:tcW w:w="2023" w:type="dxa"/>
            <w:tcBorders>
              <w:bottom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24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-0.0012*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(0.0010)</w:t>
            </w:r>
          </w:p>
        </w:tc>
        <w:tc>
          <w:tcPr>
            <w:tcW w:w="2076" w:type="dxa"/>
            <w:tcBorders>
              <w:bottom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-0.0189*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(0.0153)</w:t>
            </w:r>
          </w:p>
        </w:tc>
      </w:tr>
      <w:tr>
        <w:trPr>
          <w:trHeight w:val="334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4"/>
              <w:ind w:left="27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-0.0238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(0.0747)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4"/>
              <w:ind w:left="124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-0.0030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(0.0056)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4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-0.0414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(0.0770)</w:t>
            </w:r>
          </w:p>
        </w:tc>
      </w:tr>
      <w:tr>
        <w:trPr>
          <w:trHeight w:val="220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2.2447*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(1.3549)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24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0.0885*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(0.0810)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91" w:right="18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1..9585*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(1.3885)</w:t>
            </w:r>
          </w:p>
        </w:tc>
      </w:tr>
      <w:tr>
        <w:trPr>
          <w:trHeight w:val="220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right="1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0.4936***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(0.0473)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24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0.0569***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(0.0630)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0.4581***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(0.0486)</w:t>
            </w:r>
          </w:p>
        </w:tc>
      </w:tr>
      <w:tr>
        <w:trPr>
          <w:trHeight w:val="334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right="1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0.1198***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(0.0365)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24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0.0105***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(0.0030)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0.1141***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(0.0371)</w:t>
            </w:r>
          </w:p>
        </w:tc>
      </w:tr>
      <w:tr>
        <w:trPr>
          <w:trHeight w:val="334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4"/>
              <w:ind w:left="33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0.0941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(0.1110)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4"/>
              <w:ind w:left="127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0.0032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(0.0073)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4"/>
              <w:ind w:left="191" w:right="18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0.0486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(0.1137)</w:t>
            </w:r>
          </w:p>
        </w:tc>
      </w:tr>
      <w:tr>
        <w:trPr>
          <w:trHeight w:val="335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2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0.0623*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(0.0603)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24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0.0067*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(0.0049)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0.0771*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(0.0617)</w:t>
            </w:r>
          </w:p>
        </w:tc>
      </w:tr>
      <w:tr>
        <w:trPr>
          <w:trHeight w:val="335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2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0.4440**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(0.2289)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124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0.0187*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(0.0135)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0.3931*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(0.2346)</w:t>
            </w:r>
          </w:p>
        </w:tc>
      </w:tr>
      <w:tr>
        <w:trPr>
          <w:trHeight w:val="219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1.6743*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(1.1268)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27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0.0661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(0.0676)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1.4928*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(1.1550)</w:t>
            </w:r>
          </w:p>
        </w:tc>
      </w:tr>
      <w:tr>
        <w:trPr>
          <w:trHeight w:val="219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33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0.3868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(0.2965)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27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0.0128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(0.0188)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91" w:right="18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0.3018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(0.3044)</w:t>
            </w:r>
          </w:p>
        </w:tc>
      </w:tr>
      <w:tr>
        <w:trPr>
          <w:trHeight w:val="335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righ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-0.7196***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(0.0516)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26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-0.0610***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(0.0039)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91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-0.8630***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(0.0563)</w:t>
            </w:r>
          </w:p>
        </w:tc>
      </w:tr>
      <w:tr>
        <w:trPr>
          <w:trHeight w:val="335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2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0.3830**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(0.2176)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124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0.0196*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(0.0144)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0.3369*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(0.2247)</w:t>
            </w:r>
          </w:p>
        </w:tc>
      </w:tr>
      <w:tr>
        <w:trPr>
          <w:trHeight w:val="455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righ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-2.8231***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(0.0525)</w:t>
            </w:r>
          </w:p>
        </w:tc>
        <w:tc>
          <w:tcPr>
            <w:tcW w:w="2023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126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-0.3631***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(0.0046)</w:t>
            </w:r>
          </w:p>
        </w:tc>
        <w:tc>
          <w:tcPr>
            <w:tcW w:w="2076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191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-2.8928***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(0.0553)</w:t>
            </w:r>
          </w:p>
        </w:tc>
      </w:tr>
      <w:tr>
        <w:trPr>
          <w:trHeight w:val="2301" w:hRule="atLeast"/>
        </w:trPr>
        <w:tc>
          <w:tcPr>
            <w:tcW w:w="3298" w:type="dxa"/>
          </w:tcPr>
          <w:p>
            <w:pPr>
              <w:pStyle w:val="TableParagraph"/>
              <w:ind w:left="107" w:right="953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HOUSEHOLDS’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TOTAL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INCOME</w:t>
            </w:r>
          </w:p>
          <w:p>
            <w:pPr>
              <w:pStyle w:val="TableParagraph"/>
              <w:ind w:left="107" w:right="6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Wages and Salaries Incomes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Business Enterprises or Trades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Farming or Livestock Incomes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Remittances</w:t>
            </w:r>
          </w:p>
          <w:p>
            <w:pPr>
              <w:pStyle w:val="TableParagraph"/>
              <w:ind w:left="107" w:right="75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Monetary </w:t>
            </w:r>
            <w:r>
              <w:rPr>
                <w:rFonts w:ascii="Times New Roman"/>
                <w:sz w:val="20"/>
              </w:rPr>
              <w:t>Transfer/Assistance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Pensions and</w:t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Grants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Dividend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Investment</w:t>
            </w:r>
          </w:p>
          <w:p>
            <w:pPr>
              <w:pStyle w:val="TableParagraph"/>
              <w:spacing w:line="216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Properties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Owned</w:t>
            </w:r>
          </w:p>
        </w:tc>
        <w:tc>
          <w:tcPr>
            <w:tcW w:w="1954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0.3737**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(0.1477)</w:t>
            </w:r>
          </w:p>
          <w:p>
            <w:pPr>
              <w:pStyle w:val="TableParagraph"/>
              <w:ind w:left="2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0.0019*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(0.0024)</w:t>
            </w:r>
          </w:p>
          <w:p>
            <w:pPr>
              <w:pStyle w:val="TableParagraph"/>
              <w:spacing w:before="1"/>
              <w:ind w:left="2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0.5176**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(0.2913)</w:t>
            </w:r>
          </w:p>
          <w:p>
            <w:pPr>
              <w:pStyle w:val="TableParagraph"/>
              <w:ind w:left="15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-0.2027***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(0.0425)</w:t>
            </w:r>
          </w:p>
          <w:p>
            <w:pPr>
              <w:pStyle w:val="TableParagraph"/>
              <w:ind w:left="18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0.7143***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(0.2718)</w:t>
            </w:r>
          </w:p>
          <w:p>
            <w:pPr>
              <w:pStyle w:val="TableParagraph"/>
              <w:spacing w:line="229" w:lineRule="exact" w:before="1"/>
              <w:ind w:left="3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-0.0130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(0.0107)</w:t>
            </w:r>
          </w:p>
          <w:p>
            <w:pPr>
              <w:pStyle w:val="TableParagraph"/>
              <w:spacing w:line="229" w:lineRule="exact"/>
              <w:ind w:left="3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-0.0622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(0.1109)</w:t>
            </w:r>
          </w:p>
          <w:p>
            <w:pPr>
              <w:pStyle w:val="TableParagraph"/>
              <w:spacing w:before="1"/>
              <w:ind w:left="3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-0.0469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(0.0564)</w:t>
            </w:r>
          </w:p>
        </w:tc>
        <w:tc>
          <w:tcPr>
            <w:tcW w:w="2023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1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0.0583***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(0.0131)</w:t>
            </w:r>
          </w:p>
          <w:p>
            <w:pPr>
              <w:pStyle w:val="TableParagraph"/>
              <w:ind w:left="3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0.0003*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(0.0015)</w:t>
            </w:r>
          </w:p>
          <w:p>
            <w:pPr>
              <w:pStyle w:val="TableParagraph"/>
              <w:spacing w:before="1"/>
              <w:ind w:left="3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0.0321*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(0.0227)</w:t>
            </w:r>
          </w:p>
          <w:p>
            <w:pPr>
              <w:pStyle w:val="TableParagraph"/>
              <w:ind w:left="18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-0.0169***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(0.0227)</w:t>
            </w:r>
          </w:p>
          <w:p>
            <w:pPr>
              <w:pStyle w:val="TableParagraph"/>
              <w:ind w:left="26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0.0481**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(0.0207)</w:t>
            </w:r>
          </w:p>
          <w:p>
            <w:pPr>
              <w:pStyle w:val="TableParagraph"/>
              <w:spacing w:line="229" w:lineRule="exact" w:before="1"/>
              <w:ind w:left="3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0.0017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(0.0020)</w:t>
            </w:r>
          </w:p>
          <w:p>
            <w:pPr>
              <w:pStyle w:val="TableParagraph"/>
              <w:spacing w:line="229" w:lineRule="exact"/>
              <w:ind w:left="3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-0.0040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(0.0067)</w:t>
            </w:r>
          </w:p>
          <w:p>
            <w:pPr>
              <w:pStyle w:val="TableParagraph"/>
              <w:spacing w:before="1"/>
              <w:ind w:left="3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-0.0011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(0.0010</w:t>
            </w:r>
          </w:p>
        </w:tc>
        <w:tc>
          <w:tcPr>
            <w:tcW w:w="2076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9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0.3803**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(0.1509)</w:t>
            </w:r>
          </w:p>
          <w:p>
            <w:pPr>
              <w:pStyle w:val="TableParagraph"/>
              <w:ind w:left="34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0.0007*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(0.0024)</w:t>
            </w:r>
          </w:p>
          <w:p>
            <w:pPr>
              <w:pStyle w:val="TableParagraph"/>
              <w:spacing w:before="1"/>
              <w:ind w:left="34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0.4861*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(0.2991)</w:t>
            </w:r>
          </w:p>
          <w:p>
            <w:pPr>
              <w:pStyle w:val="TableParagraph"/>
              <w:ind w:left="21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-0.2328***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(0.0451)</w:t>
            </w:r>
          </w:p>
          <w:p>
            <w:pPr>
              <w:pStyle w:val="TableParagraph"/>
              <w:ind w:left="24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0.7076***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(0.2687)</w:t>
            </w:r>
          </w:p>
          <w:p>
            <w:pPr>
              <w:pStyle w:val="TableParagraph"/>
              <w:spacing w:line="229" w:lineRule="exact" w:before="1"/>
              <w:ind w:left="3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0.0048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(0.0248)</w:t>
            </w:r>
          </w:p>
          <w:p>
            <w:pPr>
              <w:pStyle w:val="TableParagraph"/>
              <w:spacing w:line="229" w:lineRule="exact"/>
              <w:ind w:left="36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-0.0401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(0.1146)</w:t>
            </w:r>
          </w:p>
          <w:p>
            <w:pPr>
              <w:pStyle w:val="TableParagraph"/>
              <w:spacing w:before="1"/>
              <w:ind w:left="3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-0.05440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(0.0588)</w:t>
            </w:r>
          </w:p>
        </w:tc>
      </w:tr>
      <w:tr>
        <w:trPr>
          <w:trHeight w:val="688" w:hRule="atLeast"/>
        </w:trPr>
        <w:tc>
          <w:tcPr>
            <w:tcW w:w="3298" w:type="dxa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INCOME</w:t>
            </w:r>
            <w:r>
              <w:rPr>
                <w:rFonts w:asci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INEQUALITY</w:t>
            </w:r>
          </w:p>
          <w:p>
            <w:pPr>
              <w:pStyle w:val="TableParagraph"/>
              <w:spacing w:line="230" w:lineRule="exact"/>
              <w:ind w:left="208" w:right="175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Gini-Coefficient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Constant</w:t>
            </w:r>
          </w:p>
        </w:tc>
        <w:tc>
          <w:tcPr>
            <w:tcW w:w="1954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-0.2042**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(0.0740)</w:t>
            </w:r>
          </w:p>
          <w:p>
            <w:pPr>
              <w:pStyle w:val="TableParagraph"/>
              <w:spacing w:line="215" w:lineRule="exact"/>
              <w:ind w:left="3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-1.4915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(1.6619)</w:t>
            </w:r>
          </w:p>
        </w:tc>
        <w:tc>
          <w:tcPr>
            <w:tcW w:w="2023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8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-0.01625**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(0.0051)</w:t>
            </w:r>
          </w:p>
          <w:p>
            <w:pPr>
              <w:pStyle w:val="TableParagraph"/>
              <w:spacing w:line="215" w:lineRule="exact"/>
              <w:ind w:left="21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0.5559***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(0.1005)</w:t>
            </w:r>
          </w:p>
        </w:tc>
        <w:tc>
          <w:tcPr>
            <w:tcW w:w="2076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5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-0.1954**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(0.0777)</w:t>
            </w:r>
          </w:p>
          <w:p>
            <w:pPr>
              <w:pStyle w:val="TableParagraph"/>
              <w:spacing w:line="215" w:lineRule="exact"/>
              <w:ind w:left="36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-0.7911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(1.7051)</w:t>
            </w:r>
          </w:p>
        </w:tc>
      </w:tr>
      <w:tr>
        <w:trPr>
          <w:trHeight w:val="231" w:hRule="atLeast"/>
        </w:trPr>
        <w:tc>
          <w:tcPr>
            <w:tcW w:w="3298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Number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of</w:t>
            </w:r>
            <w:r>
              <w:rPr>
                <w:rFonts w:ascii="Times New Roman"/>
                <w:b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States</w:t>
            </w:r>
          </w:p>
        </w:tc>
        <w:tc>
          <w:tcPr>
            <w:tcW w:w="1954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666" w:right="65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</w:t>
            </w:r>
          </w:p>
        </w:tc>
        <w:tc>
          <w:tcPr>
            <w:tcW w:w="2023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27" w:right="1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</w:t>
            </w:r>
          </w:p>
        </w:tc>
        <w:tc>
          <w:tcPr>
            <w:tcW w:w="2076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91" w:right="1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</w:t>
            </w:r>
          </w:p>
        </w:tc>
      </w:tr>
      <w:tr>
        <w:trPr>
          <w:trHeight w:val="229" w:hRule="atLeast"/>
        </w:trPr>
        <w:tc>
          <w:tcPr>
            <w:tcW w:w="32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Observations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664" w:right="65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26,184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27" w:right="11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26,184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91" w:right="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26,184</w:t>
            </w:r>
          </w:p>
        </w:tc>
      </w:tr>
      <w:tr>
        <w:trPr>
          <w:trHeight w:val="230" w:hRule="atLeast"/>
        </w:trPr>
        <w:tc>
          <w:tcPr>
            <w:tcW w:w="3298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Probability</w:t>
            </w:r>
          </w:p>
        </w:tc>
        <w:tc>
          <w:tcPr>
            <w:tcW w:w="1954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664" w:right="65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0.0000</w:t>
            </w:r>
          </w:p>
        </w:tc>
        <w:tc>
          <w:tcPr>
            <w:tcW w:w="2023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27" w:right="11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0.0000</w:t>
            </w:r>
          </w:p>
        </w:tc>
        <w:tc>
          <w:tcPr>
            <w:tcW w:w="2076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91" w:right="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0.0000</w:t>
            </w:r>
          </w:p>
        </w:tc>
      </w:tr>
    </w:tbl>
    <w:p>
      <w:pPr>
        <w:spacing w:before="0"/>
        <w:ind w:left="120" w:right="0" w:firstLine="0"/>
        <w:jc w:val="left"/>
        <w:rPr>
          <w:sz w:val="20"/>
        </w:rPr>
      </w:pPr>
      <w:r>
        <w:rPr>
          <w:sz w:val="20"/>
        </w:rPr>
        <w:t>*p&lt;0.05</w:t>
      </w:r>
      <w:r>
        <w:rPr>
          <w:spacing w:val="-1"/>
          <w:sz w:val="20"/>
        </w:rPr>
        <w:t> </w:t>
      </w:r>
      <w:r>
        <w:rPr>
          <w:sz w:val="20"/>
        </w:rPr>
        <w:t>indicates</w:t>
      </w:r>
      <w:r>
        <w:rPr>
          <w:spacing w:val="-3"/>
          <w:sz w:val="20"/>
        </w:rPr>
        <w:t> </w:t>
      </w:r>
      <w:r>
        <w:rPr>
          <w:sz w:val="20"/>
        </w:rPr>
        <w:t>significance</w:t>
      </w:r>
      <w:r>
        <w:rPr>
          <w:spacing w:val="2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5%</w:t>
      </w:r>
      <w:r>
        <w:rPr>
          <w:spacing w:val="-3"/>
          <w:sz w:val="20"/>
        </w:rPr>
        <w:t> </w:t>
      </w:r>
      <w:r>
        <w:rPr>
          <w:sz w:val="20"/>
        </w:rPr>
        <w:t>level; **</w:t>
      </w:r>
      <w:r>
        <w:rPr>
          <w:spacing w:val="-2"/>
          <w:sz w:val="20"/>
        </w:rPr>
        <w:t> </w:t>
      </w:r>
      <w:r>
        <w:rPr>
          <w:sz w:val="20"/>
        </w:rPr>
        <w:t>p&lt;0.01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1%</w:t>
      </w:r>
      <w:r>
        <w:rPr>
          <w:spacing w:val="-2"/>
          <w:sz w:val="20"/>
        </w:rPr>
        <w:t> </w:t>
      </w:r>
      <w:r>
        <w:rPr>
          <w:sz w:val="20"/>
        </w:rPr>
        <w:t>level;</w:t>
      </w:r>
      <w:r>
        <w:rPr>
          <w:spacing w:val="7"/>
          <w:sz w:val="20"/>
        </w:rPr>
        <w:t> </w:t>
      </w:r>
      <w:r>
        <w:rPr>
          <w:sz w:val="20"/>
        </w:rPr>
        <w:t>***</w:t>
      </w:r>
      <w:r>
        <w:rPr>
          <w:spacing w:val="-5"/>
          <w:sz w:val="20"/>
        </w:rPr>
        <w:t> </w:t>
      </w:r>
      <w:r>
        <w:rPr>
          <w:sz w:val="20"/>
        </w:rPr>
        <w:t>p&lt;0.001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1%</w:t>
      </w:r>
      <w:r>
        <w:rPr>
          <w:spacing w:val="-3"/>
          <w:sz w:val="20"/>
        </w:rPr>
        <w:t> </w:t>
      </w:r>
      <w:r>
        <w:rPr>
          <w:sz w:val="20"/>
        </w:rPr>
        <w:t>level</w:t>
      </w:r>
    </w:p>
    <w:p>
      <w:pPr>
        <w:spacing w:before="13"/>
        <w:ind w:left="120" w:right="0" w:firstLine="0"/>
        <w:jc w:val="left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2"/>
          <w:sz w:val="20"/>
        </w:rPr>
        <w:t> </w:t>
      </w:r>
      <w:r>
        <w:rPr>
          <w:sz w:val="20"/>
        </w:rPr>
        <w:t>Researcher’s</w:t>
      </w:r>
      <w:r>
        <w:rPr>
          <w:spacing w:val="-1"/>
          <w:sz w:val="20"/>
        </w:rPr>
        <w:t> </w:t>
      </w:r>
      <w:r>
        <w:rPr>
          <w:sz w:val="20"/>
        </w:rPr>
        <w:t>Computation</w:t>
      </w:r>
      <w:r>
        <w:rPr>
          <w:spacing w:val="-3"/>
          <w:sz w:val="20"/>
        </w:rPr>
        <w:t> </w:t>
      </w:r>
      <w:r>
        <w:rPr>
          <w:sz w:val="20"/>
        </w:rPr>
        <w:t>using</w:t>
      </w:r>
      <w:r>
        <w:rPr>
          <w:spacing w:val="-3"/>
          <w:sz w:val="20"/>
        </w:rPr>
        <w:t> </w:t>
      </w:r>
      <w:r>
        <w:rPr>
          <w:sz w:val="20"/>
        </w:rPr>
        <w:t>Stata</w:t>
      </w:r>
      <w:r>
        <w:rPr>
          <w:spacing w:val="-2"/>
          <w:sz w:val="20"/>
        </w:rPr>
        <w:t> </w:t>
      </w:r>
      <w:r>
        <w:rPr>
          <w:sz w:val="20"/>
        </w:rPr>
        <w:t>13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2"/>
        <w:jc w:val="both"/>
      </w:pPr>
      <w:r>
        <w:rPr/>
        <w:t>For marital status of households’ heads, the effects of being married is positive and statistically</w:t>
      </w:r>
      <w:r>
        <w:rPr>
          <w:spacing w:val="1"/>
        </w:rPr>
        <w:t> </w:t>
      </w:r>
      <w:r>
        <w:rPr/>
        <w:t>significant on HSB in all the models. Like the full result, the estimation for marital status shown</w:t>
      </w:r>
      <w:r>
        <w:rPr>
          <w:spacing w:val="1"/>
        </w:rPr>
        <w:t> </w:t>
      </w:r>
      <w:r>
        <w:rPr/>
        <w:t>that the likelihood married seeking appropriate healthcare is 55% for POLS, 2% for FE, and 48%</w:t>
      </w:r>
      <w:r>
        <w:rPr>
          <w:spacing w:val="-57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/>
        <w:t>RE.</w:t>
      </w:r>
      <w:r>
        <w:rPr>
          <w:spacing w:val="-10"/>
        </w:rPr>
        <w:t> </w:t>
      </w:r>
      <w:r>
        <w:rPr/>
        <w:t>Single</w:t>
      </w:r>
      <w:r>
        <w:rPr>
          <w:spacing w:val="-8"/>
        </w:rPr>
        <w:t> </w:t>
      </w:r>
      <w:r>
        <w:rPr/>
        <w:t>parent</w:t>
      </w:r>
      <w:r>
        <w:rPr>
          <w:spacing w:val="-9"/>
        </w:rPr>
        <w:t> </w:t>
      </w:r>
      <w:r>
        <w:rPr/>
        <w:t>estimate</w:t>
      </w:r>
      <w:r>
        <w:rPr>
          <w:spacing w:val="-10"/>
        </w:rPr>
        <w:t> </w:t>
      </w:r>
      <w:r>
        <w:rPr/>
        <w:t>relate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appropriate</w:t>
      </w:r>
      <w:r>
        <w:rPr>
          <w:spacing w:val="-11"/>
        </w:rPr>
        <w:t> </w:t>
      </w:r>
      <w:r>
        <w:rPr/>
        <w:t>medical-care</w:t>
      </w:r>
      <w:r>
        <w:rPr>
          <w:spacing w:val="-12"/>
        </w:rPr>
        <w:t> </w:t>
      </w:r>
      <w:r>
        <w:rPr/>
        <w:t>significantly</w:t>
      </w:r>
      <w:r>
        <w:rPr>
          <w:spacing w:val="-15"/>
        </w:rPr>
        <w:t> </w:t>
      </w:r>
      <w:r>
        <w:rPr/>
        <w:t>in</w:t>
      </w:r>
      <w:r>
        <w:rPr>
          <w:spacing w:val="-10"/>
        </w:rPr>
        <w:t> </w:t>
      </w:r>
      <w:r>
        <w:rPr/>
        <w:t>both</w:t>
      </w:r>
      <w:r>
        <w:rPr>
          <w:spacing w:val="-10"/>
        </w:rPr>
        <w:t> </w:t>
      </w:r>
      <w:r>
        <w:rPr/>
        <w:t>POLS</w:t>
      </w:r>
      <w:r>
        <w:rPr>
          <w:spacing w:val="-7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RE</w:t>
      </w:r>
      <w:r>
        <w:rPr>
          <w:spacing w:val="-13"/>
        </w:rPr>
        <w:t> </w:t>
      </w:r>
      <w:r>
        <w:rPr>
          <w:spacing w:val="-1"/>
        </w:rPr>
        <w:t>models,</w:t>
      </w:r>
      <w:r>
        <w:rPr>
          <w:spacing w:val="-12"/>
        </w:rPr>
        <w:t> </w:t>
      </w:r>
      <w:r>
        <w:rPr/>
        <w:t>except</w:t>
      </w:r>
      <w:r>
        <w:rPr>
          <w:spacing w:val="-12"/>
        </w:rPr>
        <w:t> </w:t>
      </w:r>
      <w:r>
        <w:rPr/>
        <w:t>FE</w:t>
      </w:r>
      <w:r>
        <w:rPr>
          <w:spacing w:val="-12"/>
        </w:rPr>
        <w:t> </w:t>
      </w:r>
      <w:r>
        <w:rPr/>
        <w:t>model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was</w:t>
      </w:r>
      <w:r>
        <w:rPr>
          <w:spacing w:val="-9"/>
        </w:rPr>
        <w:t> </w:t>
      </w:r>
      <w:r>
        <w:rPr/>
        <w:t>found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>
          <w:sz w:val="23"/>
        </w:rPr>
        <w:t>statistically</w:t>
      </w:r>
      <w:r>
        <w:rPr>
          <w:spacing w:val="-16"/>
          <w:sz w:val="23"/>
        </w:rPr>
        <w:t> </w:t>
      </w:r>
      <w:r>
        <w:rPr>
          <w:sz w:val="23"/>
        </w:rPr>
        <w:t>insignificant</w:t>
      </w:r>
      <w:r>
        <w:rPr/>
        <w:t>.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estimate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widow</w:t>
      </w:r>
      <w:r>
        <w:rPr>
          <w:spacing w:val="-58"/>
        </w:rPr>
        <w:t> </w:t>
      </w:r>
      <w:r>
        <w:rPr/>
        <w:t>is</w:t>
      </w:r>
      <w:r>
        <w:rPr>
          <w:spacing w:val="-8"/>
        </w:rPr>
        <w:t> </w:t>
      </w:r>
      <w:r>
        <w:rPr/>
        <w:t>positively</w:t>
      </w:r>
      <w:r>
        <w:rPr>
          <w:spacing w:val="-13"/>
        </w:rPr>
        <w:t> </w:t>
      </w:r>
      <w:r>
        <w:rPr/>
        <w:t>related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appropriate</w:t>
      </w:r>
      <w:r>
        <w:rPr>
          <w:spacing w:val="-6"/>
        </w:rPr>
        <w:t> </w:t>
      </w:r>
      <w:r>
        <w:rPr/>
        <w:t>healthcare</w:t>
      </w:r>
      <w:r>
        <w:rPr>
          <w:spacing w:val="-8"/>
        </w:rPr>
        <w:t> </w:t>
      </w:r>
      <w:r>
        <w:rPr/>
        <w:t>seeking</w:t>
      </w:r>
      <w:r>
        <w:rPr>
          <w:spacing w:val="-11"/>
        </w:rPr>
        <w:t> </w:t>
      </w:r>
      <w:r>
        <w:rPr/>
        <w:t>in</w:t>
      </w:r>
      <w:r>
        <w:rPr>
          <w:spacing w:val="-5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models,</w:t>
      </w:r>
      <w:r>
        <w:rPr>
          <w:spacing w:val="-8"/>
        </w:rPr>
        <w:t> </w:t>
      </w:r>
      <w:r>
        <w:rPr/>
        <w:t>but</w:t>
      </w:r>
      <w:r>
        <w:rPr>
          <w:spacing w:val="-5"/>
        </w:rPr>
        <w:t> </w:t>
      </w:r>
      <w:r>
        <w:rPr/>
        <w:t>non-significant.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marital</w:t>
      </w:r>
      <w:r>
        <w:rPr>
          <w:spacing w:val="-14"/>
        </w:rPr>
        <w:t> </w:t>
      </w:r>
      <w:r>
        <w:rPr/>
        <w:t>status</w:t>
      </w:r>
      <w:r>
        <w:rPr>
          <w:spacing w:val="-13"/>
        </w:rPr>
        <w:t> </w:t>
      </w:r>
      <w:r>
        <w:rPr/>
        <w:t>findings</w:t>
      </w:r>
      <w:r>
        <w:rPr>
          <w:spacing w:val="-13"/>
        </w:rPr>
        <w:t> </w:t>
      </w:r>
      <w:r>
        <w:rPr/>
        <w:t>are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consistent</w:t>
      </w:r>
      <w:r>
        <w:rPr>
          <w:spacing w:val="-14"/>
        </w:rPr>
        <w:t> </w:t>
      </w:r>
      <w:r>
        <w:rPr/>
        <w:t>with</w:t>
      </w:r>
      <w:r>
        <w:rPr>
          <w:spacing w:val="-11"/>
        </w:rPr>
        <w:t> </w:t>
      </w:r>
      <w:r>
        <w:rPr/>
        <w:t>previous</w:t>
      </w:r>
      <w:r>
        <w:rPr>
          <w:spacing w:val="-13"/>
        </w:rPr>
        <w:t> </w:t>
      </w:r>
      <w:r>
        <w:rPr/>
        <w:t>results,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findings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Vespa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Painter</w:t>
      </w:r>
      <w:r>
        <w:rPr>
          <w:spacing w:val="-58"/>
        </w:rPr>
        <w:t> </w:t>
      </w:r>
      <w:r>
        <w:rPr/>
        <w:t>(2011)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marriage</w:t>
      </w:r>
      <w:r>
        <w:rPr>
          <w:spacing w:val="-3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frequent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medical-care</w:t>
      </w:r>
      <w:r>
        <w:rPr>
          <w:spacing w:val="-4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statistically. However,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never married relates with medical-care seeking inversely and significantly in all the models. The</w:t>
      </w:r>
      <w:r>
        <w:rPr>
          <w:spacing w:val="-57"/>
        </w:rPr>
        <w:t> </w:t>
      </w:r>
      <w:r>
        <w:rPr>
          <w:spacing w:val="-1"/>
          <w:sz w:val="23"/>
        </w:rPr>
        <w:t>findings</w:t>
      </w:r>
      <w:r>
        <w:rPr>
          <w:spacing w:val="-10"/>
          <w:sz w:val="23"/>
        </w:rPr>
        <w:t> </w:t>
      </w:r>
      <w:r>
        <w:rPr>
          <w:spacing w:val="-1"/>
        </w:rPr>
        <w:t>show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/>
        <w:t>if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couple</w:t>
      </w:r>
      <w:r>
        <w:rPr>
          <w:spacing w:val="-14"/>
        </w:rPr>
        <w:t> </w:t>
      </w:r>
      <w:r>
        <w:rPr>
          <w:sz w:val="23"/>
        </w:rPr>
        <w:t>live</w:t>
      </w:r>
      <w:r>
        <w:rPr>
          <w:spacing w:val="-12"/>
          <w:sz w:val="23"/>
        </w:rPr>
        <w:t> </w:t>
      </w:r>
      <w:r>
        <w:rPr>
          <w:sz w:val="23"/>
        </w:rPr>
        <w:t>together</w:t>
      </w:r>
      <w:r>
        <w:rPr/>
        <w:t>,</w:t>
      </w:r>
      <w:r>
        <w:rPr>
          <w:spacing w:val="-15"/>
        </w:rPr>
        <w:t> </w:t>
      </w:r>
      <w:r>
        <w:rPr/>
        <w:t>they</w:t>
      </w:r>
      <w:r>
        <w:rPr>
          <w:spacing w:val="-19"/>
        </w:rPr>
        <w:t> </w:t>
      </w:r>
      <w:r>
        <w:rPr>
          <w:sz w:val="23"/>
        </w:rPr>
        <w:t>seek</w:t>
      </w:r>
      <w:r>
        <w:rPr>
          <w:spacing w:val="-11"/>
          <w:sz w:val="23"/>
        </w:rPr>
        <w:t> </w:t>
      </w:r>
      <w:r>
        <w:rPr>
          <w:sz w:val="23"/>
        </w:rPr>
        <w:t>healthcare</w:t>
      </w:r>
      <w:r>
        <w:rPr>
          <w:spacing w:val="-9"/>
          <w:sz w:val="23"/>
        </w:rPr>
        <w:t> </w:t>
      </w:r>
      <w:r>
        <w:rPr/>
        <w:t>from</w:t>
      </w:r>
      <w:r>
        <w:rPr>
          <w:spacing w:val="-14"/>
        </w:rPr>
        <w:t> </w:t>
      </w:r>
      <w:r>
        <w:rPr>
          <w:sz w:val="23"/>
        </w:rPr>
        <w:t>appropriate</w:t>
      </w:r>
      <w:r>
        <w:rPr>
          <w:spacing w:val="-10"/>
          <w:sz w:val="23"/>
        </w:rPr>
        <w:t> </w:t>
      </w:r>
      <w:r>
        <w:rPr/>
        <w:t>hands</w:t>
      </w:r>
      <w:r>
        <w:rPr>
          <w:spacing w:val="-14"/>
        </w:rPr>
        <w:t> </w:t>
      </w:r>
      <w:r>
        <w:rPr/>
        <w:t>significantly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when 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living</w:t>
      </w:r>
      <w:r>
        <w:rPr>
          <w:spacing w:val="-2"/>
        </w:rPr>
        <w:t> </w:t>
      </w:r>
      <w:r>
        <w:rPr/>
        <w:t>apart.</w:t>
      </w:r>
      <w:r>
        <w:rPr>
          <w:spacing w:val="1"/>
        </w:rPr>
        <w:t> </w:t>
      </w:r>
      <w:r>
        <w:rPr/>
        <w:t>All these</w:t>
      </w:r>
      <w:r>
        <w:rPr>
          <w:spacing w:val="-1"/>
        </w:rPr>
        <w:t> </w:t>
      </w:r>
      <w:r>
        <w:rPr/>
        <w:t>justified</w:t>
      </w:r>
      <w:r>
        <w:rPr>
          <w:spacing w:val="1"/>
        </w:rPr>
        <w:t> </w:t>
      </w:r>
      <w:r>
        <w:rPr/>
        <w:t>the earlier findings.</w:t>
      </w:r>
    </w:p>
    <w:p>
      <w:pPr>
        <w:pStyle w:val="BodyText"/>
        <w:spacing w:line="360" w:lineRule="auto" w:before="139"/>
        <w:ind w:left="120" w:right="115"/>
        <w:jc w:val="both"/>
      </w:pPr>
      <w:r>
        <w:rPr/>
        <w:t>For the effect of various household’s incomes, wages and salaries, enterprises or trading, farming</w:t>
      </w:r>
      <w:r>
        <w:rPr>
          <w:spacing w:val="-57"/>
        </w:rPr>
        <w:t> </w:t>
      </w:r>
      <w:r>
        <w:rPr>
          <w:spacing w:val="-1"/>
        </w:rPr>
        <w:t>or</w:t>
      </w:r>
      <w:r>
        <w:rPr>
          <w:spacing w:val="-16"/>
        </w:rPr>
        <w:t> </w:t>
      </w:r>
      <w:r>
        <w:rPr>
          <w:spacing w:val="-1"/>
        </w:rPr>
        <w:t>livestock</w:t>
      </w:r>
      <w:r>
        <w:rPr>
          <w:spacing w:val="-15"/>
        </w:rPr>
        <w:t> </w:t>
      </w:r>
      <w:r>
        <w:rPr/>
        <w:t>incomes,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monetary</w:t>
      </w:r>
      <w:r>
        <w:rPr>
          <w:spacing w:val="-20"/>
        </w:rPr>
        <w:t> </w:t>
      </w:r>
      <w:r>
        <w:rPr/>
        <w:t>assistance</w:t>
      </w:r>
      <w:r>
        <w:rPr>
          <w:spacing w:val="-16"/>
        </w:rPr>
        <w:t> </w:t>
      </w:r>
      <w:r>
        <w:rPr/>
        <w:t>were</w:t>
      </w:r>
      <w:r>
        <w:rPr>
          <w:spacing w:val="-14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with</w:t>
      </w:r>
      <w:r>
        <w:rPr>
          <w:spacing w:val="-14"/>
        </w:rPr>
        <w:t> </w:t>
      </w:r>
      <w:r>
        <w:rPr/>
        <w:t>seeking</w:t>
      </w:r>
      <w:r>
        <w:rPr>
          <w:spacing w:val="-15"/>
        </w:rPr>
        <w:t> </w:t>
      </w:r>
      <w:r>
        <w:rPr/>
        <w:t>appropriate</w:t>
      </w:r>
      <w:r>
        <w:rPr>
          <w:spacing w:val="-15"/>
        </w:rPr>
        <w:t> </w:t>
      </w:r>
      <w:r>
        <w:rPr/>
        <w:t>healthcare</w:t>
      </w:r>
      <w:r>
        <w:rPr>
          <w:spacing w:val="-57"/>
        </w:rPr>
        <w:t> </w:t>
      </w:r>
      <w:r>
        <w:rPr/>
        <w:t>services.</w:t>
      </w:r>
      <w:r>
        <w:rPr>
          <w:spacing w:val="-12"/>
        </w:rPr>
        <w:t> </w:t>
      </w:r>
      <w:r>
        <w:rPr/>
        <w:t>Remittance,</w:t>
      </w:r>
      <w:r>
        <w:rPr>
          <w:spacing w:val="-12"/>
        </w:rPr>
        <w:t> </w:t>
      </w:r>
      <w:r>
        <w:rPr/>
        <w:t>pensions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grants,</w:t>
      </w:r>
      <w:r>
        <w:rPr>
          <w:spacing w:val="-10"/>
        </w:rPr>
        <w:t> </w:t>
      </w:r>
      <w:r>
        <w:rPr/>
        <w:t>dividend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investments,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income</w:t>
      </w:r>
      <w:r>
        <w:rPr>
          <w:spacing w:val="-13"/>
        </w:rPr>
        <w:t> </w:t>
      </w:r>
      <w:r>
        <w:rPr/>
        <w:t>from</w:t>
      </w:r>
      <w:r>
        <w:rPr>
          <w:spacing w:val="-11"/>
        </w:rPr>
        <w:t> </w:t>
      </w:r>
      <w:r>
        <w:rPr/>
        <w:t>properties</w:t>
      </w:r>
      <w:r>
        <w:rPr>
          <w:spacing w:val="-58"/>
        </w:rPr>
        <w:t> </w:t>
      </w:r>
      <w:r>
        <w:rPr/>
        <w:t>were insignificant and positive. The estimates from all models further indicated that the estimates</w:t>
      </w:r>
      <w:r>
        <w:rPr>
          <w:spacing w:val="-57"/>
        </w:rPr>
        <w:t> </w:t>
      </w:r>
      <w:r>
        <w:rPr/>
        <w:t>of Gini-coefficient on healthcare seeking were positive and significant. In specific terms, the</w:t>
      </w:r>
      <w:r>
        <w:rPr>
          <w:spacing w:val="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of income</w:t>
      </w:r>
      <w:r>
        <w:rPr>
          <w:spacing w:val="-1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 inappropriate health-seeking</w:t>
      </w:r>
      <w:r>
        <w:rPr>
          <w:spacing w:val="-3"/>
        </w:rPr>
        <w:t> </w:t>
      </w:r>
      <w:r>
        <w:rPr/>
        <w:t>behavior is</w:t>
      </w:r>
      <w:r>
        <w:rPr>
          <w:spacing w:val="2"/>
        </w:rPr>
        <w:t> </w:t>
      </w:r>
      <w:r>
        <w:rPr/>
        <w:t>1.6%.</w:t>
      </w:r>
    </w:p>
    <w:p>
      <w:pPr>
        <w:pStyle w:val="BodyText"/>
        <w:spacing w:line="357" w:lineRule="auto" w:before="183"/>
        <w:ind w:left="120" w:right="112"/>
        <w:jc w:val="both"/>
      </w:pPr>
      <w:r>
        <w:rPr>
          <w:sz w:val="22"/>
        </w:rPr>
        <w:t>Again, to determine the best, consistent and most efficient model among POLS, FE and RE </w:t>
      </w:r>
      <w:r>
        <w:rPr/>
        <w:t>estimation</w:t>
      </w:r>
      <w:r>
        <w:rPr>
          <w:sz w:val="22"/>
        </w:rPr>
        <w:t>s,</w:t>
      </w:r>
      <w:r>
        <w:rPr>
          <w:spacing w:val="1"/>
          <w:sz w:val="22"/>
        </w:rPr>
        <w:t> </w:t>
      </w:r>
      <w:r>
        <w:rPr>
          <w:sz w:val="22"/>
        </w:rPr>
        <w:t>BPLM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5"/>
          <w:sz w:val="22"/>
        </w:rPr>
        <w:t> </w:t>
      </w:r>
      <w:r>
        <w:rPr>
          <w:sz w:val="22"/>
        </w:rPr>
        <w:t>was</w:t>
      </w:r>
      <w:r>
        <w:rPr>
          <w:spacing w:val="-5"/>
          <w:sz w:val="22"/>
        </w:rPr>
        <w:t> </w:t>
      </w:r>
      <w:r>
        <w:rPr>
          <w:sz w:val="22"/>
        </w:rPr>
        <w:t>used.</w:t>
      </w:r>
      <w:r>
        <w:rPr>
          <w:spacing w:val="-5"/>
          <w:sz w:val="22"/>
        </w:rPr>
        <w:t> </w:t>
      </w:r>
      <w:r>
        <w:rPr/>
        <w:t>The</w:t>
      </w:r>
      <w:r>
        <w:rPr>
          <w:spacing w:val="-7"/>
        </w:rPr>
        <w:t> </w:t>
      </w:r>
      <w:r>
        <w:rPr/>
        <w:t>underlying</w:t>
      </w:r>
      <w:r>
        <w:rPr>
          <w:spacing w:val="-6"/>
        </w:rPr>
        <w:t> </w:t>
      </w:r>
      <w:r>
        <w:rPr/>
        <w:t>assumption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POLS</w:t>
      </w:r>
      <w:r>
        <w:rPr>
          <w:spacing w:val="-3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homogeneity,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>
          <w:i/>
        </w:rPr>
        <w:t>no</w:t>
      </w:r>
      <w:r>
        <w:rPr>
          <w:i/>
          <w:spacing w:val="-58"/>
        </w:rPr>
        <w:t> </w:t>
      </w:r>
      <w:r>
        <w:rPr/>
        <w:t>unique</w:t>
      </w:r>
      <w:r>
        <w:rPr>
          <w:spacing w:val="-12"/>
        </w:rPr>
        <w:t> </w:t>
      </w:r>
      <w:r>
        <w:rPr/>
        <w:t>attribute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households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terms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medical</w:t>
      </w:r>
      <w:r>
        <w:rPr>
          <w:spacing w:val="-11"/>
        </w:rPr>
        <w:t> </w:t>
      </w:r>
      <w:r>
        <w:rPr/>
        <w:t>consultations.</w:t>
      </w:r>
      <w:r>
        <w:rPr>
          <w:spacing w:val="-8"/>
        </w:rPr>
        <w:t> </w:t>
      </w:r>
      <w:r>
        <w:rPr/>
        <w:t>It</w:t>
      </w:r>
      <w:r>
        <w:rPr>
          <w:spacing w:val="-11"/>
        </w:rPr>
        <w:t> </w:t>
      </w:r>
      <w:r>
        <w:rPr/>
        <w:t>implies</w:t>
      </w:r>
      <w:r>
        <w:rPr>
          <w:spacing w:val="-10"/>
        </w:rPr>
        <w:t> </w:t>
      </w:r>
      <w:r>
        <w:rPr/>
        <w:t>that,</w:t>
      </w:r>
      <w:r>
        <w:rPr>
          <w:spacing w:val="-11"/>
        </w:rPr>
        <w:t> </w:t>
      </w:r>
      <w:r>
        <w:rPr/>
        <w:t>seeking</w:t>
      </w:r>
      <w:r>
        <w:rPr>
          <w:spacing w:val="-58"/>
        </w:rPr>
        <w:t> </w:t>
      </w:r>
      <w:r>
        <w:rPr/>
        <w:t>healthcare is based on individual decisions and households are not the same or heterogeneous in</w:t>
      </w:r>
      <w:r>
        <w:rPr>
          <w:spacing w:val="1"/>
        </w:rPr>
        <w:t> </w:t>
      </w:r>
      <w:r>
        <w:rPr/>
        <w:t>matter related to medical seeking. The null hypothesis (</w:t>
      </w:r>
      <w:r>
        <w:rPr>
          <w:i/>
          <w:sz w:val="25"/>
        </w:rPr>
        <w:t>H</w:t>
      </w:r>
      <w:r>
        <w:rPr>
          <w:i/>
          <w:sz w:val="25"/>
          <w:vertAlign w:val="subscript"/>
        </w:rPr>
        <w:t>o</w:t>
      </w:r>
      <w:r>
        <w:rPr>
          <w:i/>
          <w:vertAlign w:val="baseline"/>
        </w:rPr>
        <w:t>) </w:t>
      </w:r>
      <w:r>
        <w:rPr>
          <w:vertAlign w:val="baseline"/>
        </w:rPr>
        <w:t>of BPLM is POLS model might be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appropriate. As presented in Table 5.25, the findings of heterogeneity from BPLM indicates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estimated chi-squared value is very high at 1,467, with lowest p-value of 0.0000. Thus, since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probability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value</w:t>
      </w:r>
      <w:r>
        <w:rPr>
          <w:spacing w:val="-11"/>
          <w:vertAlign w:val="baseline"/>
        </w:rPr>
        <w:t> </w:t>
      </w:r>
      <w:r>
        <w:rPr>
          <w:vertAlign w:val="baseline"/>
        </w:rPr>
        <w:t>is</w:t>
      </w:r>
      <w:r>
        <w:rPr>
          <w:spacing w:val="-9"/>
          <w:vertAlign w:val="baseline"/>
        </w:rPr>
        <w:t> </w:t>
      </w:r>
      <w:r>
        <w:rPr>
          <w:vertAlign w:val="baseline"/>
        </w:rPr>
        <w:t>below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threshold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1%</w:t>
      </w:r>
      <w:r>
        <w:rPr>
          <w:spacing w:val="-11"/>
          <w:vertAlign w:val="baseline"/>
        </w:rPr>
        <w:t> </w:t>
      </w:r>
      <w:r>
        <w:rPr>
          <w:vertAlign w:val="baseline"/>
        </w:rPr>
        <w:t>level</w:t>
      </w:r>
      <w:r>
        <w:rPr>
          <w:spacing w:val="-10"/>
          <w:vertAlign w:val="baseline"/>
        </w:rPr>
        <w:t> </w:t>
      </w:r>
      <w:r>
        <w:rPr>
          <w:vertAlign w:val="baseline"/>
        </w:rPr>
        <w:t>statistically,</w:t>
      </w:r>
      <w:r>
        <w:rPr>
          <w:spacing w:val="-7"/>
          <w:vertAlign w:val="baseline"/>
        </w:rPr>
        <w:t> </w:t>
      </w:r>
      <w:r>
        <w:rPr>
          <w:i/>
          <w:sz w:val="25"/>
          <w:vertAlign w:val="baseline"/>
        </w:rPr>
        <w:t>H</w:t>
      </w:r>
      <w:r>
        <w:rPr>
          <w:i/>
          <w:sz w:val="25"/>
          <w:vertAlign w:val="subscript"/>
        </w:rPr>
        <w:t>o</w:t>
      </w:r>
      <w:r>
        <w:rPr>
          <w:i/>
          <w:spacing w:val="-5"/>
          <w:sz w:val="25"/>
          <w:vertAlign w:val="baseline"/>
        </w:rPr>
        <w:t> </w:t>
      </w:r>
      <w:r>
        <w:rPr>
          <w:vertAlign w:val="baseline"/>
        </w:rPr>
        <w:t>is</w:t>
      </w:r>
      <w:r>
        <w:rPr>
          <w:spacing w:val="-9"/>
          <w:vertAlign w:val="baseline"/>
        </w:rPr>
        <w:t> </w:t>
      </w:r>
      <w:r>
        <w:rPr>
          <w:vertAlign w:val="baseline"/>
        </w:rPr>
        <w:t>rejected.</w:t>
      </w:r>
      <w:r>
        <w:rPr>
          <w:spacing w:val="-10"/>
          <w:vertAlign w:val="baseline"/>
        </w:rPr>
        <w:t> </w:t>
      </w:r>
      <w:r>
        <w:rPr>
          <w:vertAlign w:val="baseline"/>
        </w:rPr>
        <w:t>By</w:t>
      </w:r>
      <w:r>
        <w:rPr>
          <w:spacing w:val="-17"/>
          <w:vertAlign w:val="baseline"/>
        </w:rPr>
        <w:t> </w:t>
      </w:r>
      <w:r>
        <w:rPr>
          <w:vertAlign w:val="baseline"/>
        </w:rPr>
        <w:t>implication,</w:t>
      </w:r>
      <w:r>
        <w:rPr>
          <w:spacing w:val="-58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POLS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insignificant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health-seeking</w:t>
      </w:r>
      <w:r>
        <w:rPr>
          <w:spacing w:val="1"/>
          <w:vertAlign w:val="baseline"/>
        </w:rPr>
        <w:t> </w:t>
      </w:r>
      <w:r>
        <w:rPr>
          <w:vertAlign w:val="baseline"/>
        </w:rPr>
        <w:t>behavior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households</w:t>
      </w:r>
      <w:r>
        <w:rPr>
          <w:spacing w:val="-1"/>
          <w:vertAlign w:val="baseline"/>
        </w:rPr>
        <w:t> </w:t>
      </w:r>
      <w:r>
        <w:rPr>
          <w:vertAlign w:val="baseline"/>
        </w:rPr>
        <w:t>in Nigeria.</w:t>
      </w:r>
    </w:p>
    <w:p>
      <w:pPr>
        <w:pStyle w:val="Heading4"/>
        <w:spacing w:before="177" w:after="42"/>
        <w:ind w:left="120"/>
      </w:pPr>
      <w:r>
        <w:rPr/>
        <w:t>Table</w:t>
      </w:r>
      <w:r>
        <w:rPr>
          <w:spacing w:val="-2"/>
        </w:rPr>
        <w:t> </w:t>
      </w:r>
      <w:r>
        <w:rPr/>
        <w:t>5.25</w:t>
      </w:r>
      <w:r>
        <w:rPr>
          <w:spacing w:val="-2"/>
        </w:rPr>
        <w:t> </w:t>
      </w:r>
      <w:r>
        <w:rPr/>
        <w:t>Homogeneity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 from</w:t>
      </w:r>
      <w:r>
        <w:rPr>
          <w:spacing w:val="-2"/>
        </w:rPr>
        <w:t> </w:t>
      </w:r>
      <w:r>
        <w:rPr/>
        <w:t>NGHPS</w:t>
      </w:r>
      <w:r>
        <w:rPr>
          <w:spacing w:val="-1"/>
        </w:rPr>
        <w:t> </w:t>
      </w:r>
      <w:r>
        <w:rPr/>
        <w:t>Wave</w:t>
      </w:r>
      <w:r>
        <w:rPr>
          <w:spacing w:val="-2"/>
        </w:rPr>
        <w:t> </w:t>
      </w:r>
      <w:r>
        <w:rPr/>
        <w:t>I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1532"/>
        <w:gridCol w:w="6385"/>
      </w:tblGrid>
      <w:tr>
        <w:trPr>
          <w:trHeight w:val="318" w:hRule="atLeast"/>
        </w:trPr>
        <w:tc>
          <w:tcPr>
            <w:tcW w:w="1435" w:type="dxa"/>
          </w:tcPr>
          <w:p>
            <w:pPr>
              <w:pStyle w:val="TableParagraph"/>
              <w:spacing w:before="4"/>
              <w:ind w:left="209" w:right="20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rFonts w:ascii="Cambria Math" w:hAnsi="Cambria Math" w:eastAsia="Cambria Math"/>
                <w:w w:val="105"/>
                <w:sz w:val="22"/>
              </w:rPr>
              <w:t>𝐶ℎ𝑖</w:t>
            </w:r>
            <w:r>
              <w:rPr>
                <w:rFonts w:ascii="Cambria Math" w:hAnsi="Cambria Math" w:eastAsia="Cambria Math"/>
                <w:w w:val="105"/>
                <w:sz w:val="22"/>
                <w:vertAlign w:val="superscript"/>
              </w:rPr>
              <w:t>2</w:t>
            </w:r>
          </w:p>
        </w:tc>
        <w:tc>
          <w:tcPr>
            <w:tcW w:w="1532" w:type="dxa"/>
          </w:tcPr>
          <w:p>
            <w:pPr>
              <w:pStyle w:val="TableParagraph"/>
              <w:spacing w:line="247" w:lineRule="exact"/>
              <w:ind w:left="242" w:right="237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Probability</w:t>
            </w:r>
          </w:p>
        </w:tc>
        <w:tc>
          <w:tcPr>
            <w:tcW w:w="6385" w:type="dxa"/>
          </w:tcPr>
          <w:p>
            <w:pPr>
              <w:pStyle w:val="TableParagraph"/>
              <w:spacing w:line="270" w:lineRule="exact"/>
              <w:ind w:left="2794" w:right="279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Remark</w:t>
            </w:r>
          </w:p>
        </w:tc>
      </w:tr>
      <w:tr>
        <w:trPr>
          <w:trHeight w:val="323" w:hRule="atLeast"/>
        </w:trPr>
        <w:tc>
          <w:tcPr>
            <w:tcW w:w="1435" w:type="dxa"/>
          </w:tcPr>
          <w:p>
            <w:pPr>
              <w:pStyle w:val="TableParagraph"/>
              <w:spacing w:line="270" w:lineRule="exact"/>
              <w:ind w:left="217" w:right="20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1,466.88</w:t>
            </w:r>
          </w:p>
        </w:tc>
        <w:tc>
          <w:tcPr>
            <w:tcW w:w="1532" w:type="dxa"/>
          </w:tcPr>
          <w:p>
            <w:pPr>
              <w:pStyle w:val="TableParagraph"/>
              <w:spacing w:line="270" w:lineRule="exact"/>
              <w:ind w:left="242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0.0000</w:t>
            </w:r>
          </w:p>
        </w:tc>
        <w:tc>
          <w:tcPr>
            <w:tcW w:w="6385" w:type="dxa"/>
          </w:tcPr>
          <w:p>
            <w:pPr>
              <w:pStyle w:val="TableParagraph"/>
              <w:spacing w:line="304" w:lineRule="exact"/>
              <w:ind w:left="105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Times New Roman" w:eastAsia="Times New Roman"/>
                <w:sz w:val="22"/>
              </w:rPr>
              <w:t>Since</w:t>
            </w:r>
            <w:r>
              <w:rPr>
                <w:rFonts w:ascii="Times New Roman" w:eastAsia="Times New Roman"/>
                <w:spacing w:val="-2"/>
                <w:sz w:val="22"/>
              </w:rPr>
              <w:t> </w:t>
            </w:r>
            <w:r>
              <w:rPr>
                <w:rFonts w:ascii="Cambria Math" w:eastAsia="Cambria Math"/>
                <w:sz w:val="24"/>
              </w:rPr>
              <w:t>𝑝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&lt;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0.0000</w:t>
            </w:r>
            <w:r>
              <w:rPr>
                <w:rFonts w:ascii="Cambria Math" w:eastAsia="Cambria Math"/>
                <w:spacing w:val="11"/>
                <w:sz w:val="24"/>
              </w:rPr>
              <w:t> </w:t>
            </w:r>
            <w:r>
              <w:rPr>
                <w:rFonts w:ascii="Times New Roman" w:eastAsia="Times New Roman"/>
                <w:sz w:val="22"/>
              </w:rPr>
              <w:t>is</w:t>
            </w:r>
            <w:r>
              <w:rPr>
                <w:rFonts w:ascii="Times New Roman" w:eastAsia="Times New Roman"/>
                <w:spacing w:val="-2"/>
                <w:sz w:val="22"/>
              </w:rPr>
              <w:t> </w:t>
            </w:r>
            <w:r>
              <w:rPr>
                <w:rFonts w:ascii="Times New Roman" w:eastAsia="Times New Roman"/>
                <w:i/>
                <w:sz w:val="22"/>
              </w:rPr>
              <w:t>below</w:t>
            </w:r>
            <w:r>
              <w:rPr>
                <w:rFonts w:ascii="Times New Roman" w:eastAsia="Times New Roman"/>
                <w:i/>
                <w:spacing w:val="-1"/>
                <w:sz w:val="22"/>
              </w:rPr>
              <w:t> </w:t>
            </w:r>
            <w:r>
              <w:rPr>
                <w:rFonts w:ascii="Times New Roman" w:eastAsia="Times New Roman"/>
                <w:sz w:val="22"/>
              </w:rPr>
              <w:t>the</w:t>
            </w:r>
            <w:r>
              <w:rPr>
                <w:rFonts w:ascii="Times New Roman" w:eastAsia="Times New Roman"/>
                <w:spacing w:val="-2"/>
                <w:sz w:val="22"/>
              </w:rPr>
              <w:t> </w:t>
            </w:r>
            <w:r>
              <w:rPr>
                <w:rFonts w:ascii="Times New Roman" w:eastAsia="Times New Roman"/>
                <w:sz w:val="22"/>
              </w:rPr>
              <w:t>threshold of 1% level. Rejects </w:t>
            </w:r>
            <w:r>
              <w:rPr>
                <w:rFonts w:ascii="Cambria Math" w:eastAsia="Cambria Math"/>
                <w:sz w:val="22"/>
              </w:rPr>
              <w:t>H</w:t>
            </w:r>
            <w:r>
              <w:rPr>
                <w:rFonts w:ascii="Cambria Math" w:eastAsia="Cambria Math"/>
                <w:position w:val="-4"/>
                <w:sz w:val="16"/>
              </w:rPr>
              <w:t>o</w:t>
            </w:r>
            <w:r>
              <w:rPr>
                <w:rFonts w:ascii="Cambria Math" w:eastAsia="Cambria Math"/>
                <w:sz w:val="22"/>
              </w:rPr>
              <w:t>.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Researcher’s</w:t>
      </w:r>
      <w:r>
        <w:rPr>
          <w:spacing w:val="-3"/>
          <w:sz w:val="20"/>
        </w:rPr>
        <w:t> </w:t>
      </w:r>
      <w:r>
        <w:rPr>
          <w:sz w:val="20"/>
        </w:rPr>
        <w:t>Preparation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Stata</w:t>
      </w:r>
      <w:r>
        <w:rPr>
          <w:spacing w:val="-2"/>
          <w:sz w:val="20"/>
        </w:rPr>
        <w:t> </w:t>
      </w:r>
      <w:r>
        <w:rPr>
          <w:sz w:val="20"/>
        </w:rPr>
        <w:t>13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5"/>
        <w:jc w:val="both"/>
      </w:pPr>
      <w:r>
        <w:rPr/>
        <w:t>This then suggest need to specify the most consistent and efficient model between FE and RE</w:t>
      </w:r>
      <w:r>
        <w:rPr>
          <w:spacing w:val="1"/>
        </w:rPr>
        <w:t> </w:t>
      </w:r>
      <w:r>
        <w:rPr/>
        <w:t>estimations</w:t>
      </w:r>
      <w:r>
        <w:rPr>
          <w:spacing w:val="-6"/>
        </w:rPr>
        <w:t> </w:t>
      </w:r>
      <w:r>
        <w:rPr/>
        <w:t>using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Hausman</w:t>
      </w:r>
      <w:r>
        <w:rPr>
          <w:spacing w:val="-7"/>
        </w:rPr>
        <w:t> </w:t>
      </w:r>
      <w:r>
        <w:rPr/>
        <w:t>test.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because,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FE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RE</w:t>
      </w:r>
      <w:r>
        <w:rPr>
          <w:spacing w:val="-3"/>
        </w:rPr>
        <w:t> </w:t>
      </w:r>
      <w:r>
        <w:rPr/>
        <w:t>model</w:t>
      </w:r>
      <w:r>
        <w:rPr>
          <w:spacing w:val="-6"/>
        </w:rPr>
        <w:t> </w:t>
      </w:r>
      <w:r>
        <w:rPr/>
        <w:t>enabled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control</w:t>
      </w:r>
      <w:r>
        <w:rPr>
          <w:spacing w:val="-6"/>
        </w:rPr>
        <w:t> </w:t>
      </w:r>
      <w:r>
        <w:rPr/>
        <w:t>for</w:t>
      </w:r>
      <w:r>
        <w:rPr>
          <w:spacing w:val="-57"/>
        </w:rPr>
        <w:t> </w:t>
      </w:r>
      <w:r>
        <w:rPr/>
        <w:t>unobserved</w:t>
      </w:r>
      <w:r>
        <w:rPr>
          <w:spacing w:val="-11"/>
        </w:rPr>
        <w:t> </w:t>
      </w:r>
      <w:r>
        <w:rPr/>
        <w:t>heterogeneity.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Hausman</w:t>
      </w:r>
      <w:r>
        <w:rPr>
          <w:spacing w:val="-9"/>
        </w:rPr>
        <w:t> </w:t>
      </w:r>
      <w:r>
        <w:rPr/>
        <w:t>estimates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presented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Table</w:t>
      </w:r>
      <w:r>
        <w:rPr>
          <w:spacing w:val="-9"/>
        </w:rPr>
        <w:t> </w:t>
      </w:r>
      <w:r>
        <w:rPr/>
        <w:t>5.26</w:t>
      </w:r>
      <w:r>
        <w:rPr>
          <w:spacing w:val="-9"/>
        </w:rPr>
        <w:t> </w:t>
      </w:r>
      <w:r>
        <w:rPr/>
        <w:t>shows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chi-squared</w:t>
      </w:r>
      <w:r>
        <w:rPr>
          <w:spacing w:val="-57"/>
        </w:rPr>
        <w:t> </w:t>
      </w:r>
      <w:r>
        <w:rPr/>
        <w:t>of 33.12 with p-value of 0.0602 or 6% (see Appendix Table A5 for full results). Therefore, since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p-value</w:t>
      </w:r>
      <w:r>
        <w:rPr>
          <w:spacing w:val="-13"/>
        </w:rPr>
        <w:t> </w:t>
      </w:r>
      <w:r>
        <w:rPr>
          <w:spacing w:val="-1"/>
        </w:rPr>
        <w:t>(6%)</w:t>
      </w:r>
      <w:r>
        <w:rPr>
          <w:spacing w:val="-13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less</w:t>
      </w:r>
      <w:r>
        <w:rPr>
          <w:spacing w:val="-11"/>
        </w:rPr>
        <w:t> </w:t>
      </w:r>
      <w:r>
        <w:rPr>
          <w:spacing w:val="-1"/>
        </w:rPr>
        <w:t>than</w:t>
      </w:r>
      <w:r>
        <w:rPr>
          <w:spacing w:val="-12"/>
        </w:rPr>
        <w:t> </w:t>
      </w:r>
      <w:r>
        <w:rPr>
          <w:sz w:val="23"/>
        </w:rPr>
        <w:t>the</w:t>
      </w:r>
      <w:r>
        <w:rPr>
          <w:spacing w:val="-12"/>
          <w:sz w:val="23"/>
        </w:rPr>
        <w:t> </w:t>
      </w:r>
      <w:r>
        <w:rPr>
          <w:sz w:val="23"/>
        </w:rPr>
        <w:t>threshold</w:t>
      </w:r>
      <w:r>
        <w:rPr>
          <w:spacing w:val="-11"/>
          <w:sz w:val="23"/>
        </w:rPr>
        <w:t> </w:t>
      </w:r>
      <w:r>
        <w:rPr/>
        <w:t>of</w:t>
      </w:r>
      <w:r>
        <w:rPr>
          <w:spacing w:val="-12"/>
        </w:rPr>
        <w:t> </w:t>
      </w:r>
      <w:r>
        <w:rPr/>
        <w:t>10%,</w:t>
      </w:r>
      <w:r>
        <w:rPr>
          <w:spacing w:val="-15"/>
        </w:rPr>
        <w:t> </w:t>
      </w:r>
      <w:r>
        <w:rPr/>
        <w:t>FE</w:t>
      </w:r>
      <w:r>
        <w:rPr>
          <w:spacing w:val="-13"/>
        </w:rPr>
        <w:t> </w:t>
      </w:r>
      <w:r>
        <w:rPr/>
        <w:t>model</w:t>
      </w:r>
      <w:r>
        <w:rPr>
          <w:spacing w:val="-12"/>
        </w:rPr>
        <w:t> </w:t>
      </w:r>
      <w:r>
        <w:rPr/>
        <w:t>seems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3"/>
        </w:rPr>
        <w:t> </w:t>
      </w:r>
      <w:r>
        <w:rPr/>
        <w:t>more</w:t>
      </w:r>
      <w:r>
        <w:rPr>
          <w:spacing w:val="-14"/>
        </w:rPr>
        <w:t> </w:t>
      </w:r>
      <w:r>
        <w:rPr>
          <w:sz w:val="23"/>
        </w:rPr>
        <w:t>appropriate,</w:t>
      </w:r>
      <w:r>
        <w:rPr>
          <w:spacing w:val="-11"/>
          <w:sz w:val="23"/>
        </w:rPr>
        <w:t> </w:t>
      </w:r>
      <w:r>
        <w:rPr>
          <w:sz w:val="23"/>
        </w:rPr>
        <w:t>efficient</w:t>
      </w:r>
      <w:r>
        <w:rPr>
          <w:spacing w:val="-55"/>
          <w:sz w:val="23"/>
        </w:rPr>
        <w:t> </w:t>
      </w:r>
      <w:r>
        <w:rPr/>
        <w:t>and</w:t>
      </w:r>
      <w:r>
        <w:rPr>
          <w:spacing w:val="-1"/>
        </w:rPr>
        <w:t> </w:t>
      </w:r>
      <w:r>
        <w:rPr/>
        <w:t>consistent, while</w:t>
      </w:r>
      <w:r>
        <w:rPr>
          <w:spacing w:val="-1"/>
        </w:rPr>
        <w:t> </w:t>
      </w:r>
      <w:r>
        <w:rPr/>
        <w:t>RE is inconsistent statistically.</w:t>
      </w:r>
    </w:p>
    <w:p>
      <w:pPr>
        <w:pStyle w:val="Heading4"/>
        <w:spacing w:before="166" w:after="42"/>
        <w:ind w:left="120"/>
      </w:pPr>
      <w:r>
        <w:rPr/>
        <w:t>Table</w:t>
      </w:r>
      <w:r>
        <w:rPr>
          <w:spacing w:val="-1"/>
        </w:rPr>
        <w:t> </w:t>
      </w:r>
      <w:r>
        <w:rPr/>
        <w:t>5.26:</w:t>
      </w:r>
      <w:r>
        <w:rPr>
          <w:spacing w:val="-1"/>
        </w:rPr>
        <w:t> </w:t>
      </w:r>
      <w:r>
        <w:rPr/>
        <w:t>Hausman</w:t>
      </w:r>
      <w:r>
        <w:rPr>
          <w:spacing w:val="-1"/>
        </w:rPr>
        <w:t> </w:t>
      </w:r>
      <w:r>
        <w:rPr/>
        <w:t>Test Results from</w:t>
      </w:r>
      <w:r>
        <w:rPr>
          <w:spacing w:val="-5"/>
        </w:rPr>
        <w:t> </w:t>
      </w:r>
      <w:r>
        <w:rPr/>
        <w:t>Wave</w:t>
      </w:r>
      <w:r>
        <w:rPr>
          <w:spacing w:val="-1"/>
        </w:rPr>
        <w:t> </w:t>
      </w:r>
      <w:r>
        <w:rPr/>
        <w:t>I</w:t>
      </w:r>
      <w:r>
        <w:rPr>
          <w:spacing w:val="2"/>
        </w:rPr>
        <w:t> </w:t>
      </w:r>
      <w:r>
        <w:rPr/>
        <w:t>(2010/2011)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4"/>
        <w:gridCol w:w="1978"/>
        <w:gridCol w:w="3080"/>
      </w:tblGrid>
      <w:tr>
        <w:trPr>
          <w:trHeight w:val="292" w:hRule="atLeast"/>
        </w:trPr>
        <w:tc>
          <w:tcPr>
            <w:tcW w:w="4124" w:type="dxa"/>
          </w:tcPr>
          <w:p>
            <w:pPr>
              <w:pStyle w:val="TableParagraph"/>
              <w:spacing w:line="247" w:lineRule="exact"/>
              <w:ind w:left="1068" w:right="1058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Chi-squared</w:t>
            </w:r>
            <w:r>
              <w:rPr>
                <w:rFonts w:asci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Statistics</w:t>
            </w:r>
          </w:p>
        </w:tc>
        <w:tc>
          <w:tcPr>
            <w:tcW w:w="1978" w:type="dxa"/>
          </w:tcPr>
          <w:p>
            <w:pPr>
              <w:pStyle w:val="TableParagraph"/>
              <w:spacing w:line="247" w:lineRule="exact"/>
              <w:ind w:left="199" w:right="189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Probability</w:t>
            </w:r>
          </w:p>
        </w:tc>
        <w:tc>
          <w:tcPr>
            <w:tcW w:w="3080" w:type="dxa"/>
          </w:tcPr>
          <w:p>
            <w:pPr>
              <w:pStyle w:val="TableParagraph"/>
              <w:spacing w:line="247" w:lineRule="exact"/>
              <w:ind w:left="796" w:right="787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Model</w:t>
            </w:r>
            <w:r>
              <w:rPr>
                <w:rFonts w:ascii="Times New Roman"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Indicated</w:t>
            </w:r>
          </w:p>
        </w:tc>
      </w:tr>
      <w:tr>
        <w:trPr>
          <w:trHeight w:val="290" w:hRule="atLeast"/>
        </w:trPr>
        <w:tc>
          <w:tcPr>
            <w:tcW w:w="4124" w:type="dxa"/>
          </w:tcPr>
          <w:p>
            <w:pPr>
              <w:pStyle w:val="TableParagraph"/>
              <w:spacing w:line="247" w:lineRule="exact"/>
              <w:ind w:left="1068" w:right="105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33.12</w:t>
            </w:r>
          </w:p>
        </w:tc>
        <w:tc>
          <w:tcPr>
            <w:tcW w:w="1978" w:type="dxa"/>
          </w:tcPr>
          <w:p>
            <w:pPr>
              <w:pStyle w:val="TableParagraph"/>
              <w:spacing w:line="247" w:lineRule="exact"/>
              <w:ind w:left="199" w:right="18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0.0602</w:t>
            </w:r>
          </w:p>
        </w:tc>
        <w:tc>
          <w:tcPr>
            <w:tcW w:w="3080" w:type="dxa"/>
          </w:tcPr>
          <w:p>
            <w:pPr>
              <w:pStyle w:val="TableParagraph"/>
              <w:spacing w:line="247" w:lineRule="exact"/>
              <w:ind w:left="796" w:right="78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Model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Researcher’s</w:t>
      </w:r>
      <w:r>
        <w:rPr>
          <w:spacing w:val="-3"/>
          <w:sz w:val="20"/>
        </w:rPr>
        <w:t> </w:t>
      </w:r>
      <w:r>
        <w:rPr>
          <w:sz w:val="20"/>
        </w:rPr>
        <w:t>Preparation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Stata</w:t>
      </w:r>
      <w:r>
        <w:rPr>
          <w:spacing w:val="-2"/>
          <w:sz w:val="20"/>
        </w:rPr>
        <w:t> </w:t>
      </w:r>
      <w:r>
        <w:rPr>
          <w:sz w:val="20"/>
        </w:rPr>
        <w:t>13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60" w:lineRule="auto"/>
        <w:ind w:left="120" w:right="118"/>
        <w:jc w:val="both"/>
      </w:pP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other</w:t>
      </w:r>
      <w:r>
        <w:rPr>
          <w:spacing w:val="-14"/>
        </w:rPr>
        <w:t> </w:t>
      </w:r>
      <w:r>
        <w:rPr/>
        <w:t>hand,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>
          <w:sz w:val="23"/>
        </w:rPr>
        <w:t>estimation</w:t>
      </w:r>
      <w:r>
        <w:rPr>
          <w:spacing w:val="-9"/>
          <w:sz w:val="23"/>
        </w:rPr>
        <w:t> </w:t>
      </w:r>
      <w:r>
        <w:rPr/>
        <w:t>results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NGHPS</w:t>
      </w:r>
      <w:r>
        <w:rPr>
          <w:spacing w:val="-12"/>
        </w:rPr>
        <w:t> </w:t>
      </w:r>
      <w:r>
        <w:rPr/>
        <w:t>Wave</w:t>
      </w:r>
      <w:r>
        <w:rPr>
          <w:spacing w:val="-9"/>
        </w:rPr>
        <w:t> </w:t>
      </w:r>
      <w:r>
        <w:rPr/>
        <w:t>II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presented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Table</w:t>
      </w:r>
      <w:r>
        <w:rPr>
          <w:spacing w:val="-12"/>
        </w:rPr>
        <w:t> </w:t>
      </w:r>
      <w:r>
        <w:rPr/>
        <w:t>5.27.</w:t>
      </w:r>
      <w:r>
        <w:rPr>
          <w:spacing w:val="-10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estimates, it was found that household’s characteristics, such as, family size estimates related</w:t>
      </w:r>
      <w:r>
        <w:rPr>
          <w:spacing w:val="1"/>
        </w:rPr>
        <w:t> </w:t>
      </w:r>
      <w:r>
        <w:rPr/>
        <w:t>with appropriate health-seeking behavior inversely. The probability that household will utilize</w:t>
      </w:r>
      <w:r>
        <w:rPr>
          <w:spacing w:val="1"/>
        </w:rPr>
        <w:t> </w:t>
      </w:r>
      <w:r>
        <w:rPr/>
        <w:t>inappropriate HSB as their membership rises is 4% for POLS, 0.2% for FE, and 4.3% for RE</w:t>
      </w:r>
      <w:r>
        <w:rPr>
          <w:spacing w:val="1"/>
        </w:rPr>
        <w:t> </w:t>
      </w:r>
      <w:r>
        <w:rPr/>
        <w:t>models,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360" w:lineRule="auto" w:before="114"/>
        <w:ind w:left="120" w:right="116"/>
        <w:jc w:val="both"/>
      </w:pP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terms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education,</w:t>
      </w:r>
      <w:r>
        <w:rPr>
          <w:spacing w:val="-15"/>
        </w:rPr>
        <w:t> </w:t>
      </w:r>
      <w:r>
        <w:rPr/>
        <w:t>those</w:t>
      </w:r>
      <w:r>
        <w:rPr>
          <w:spacing w:val="-16"/>
        </w:rPr>
        <w:t> </w:t>
      </w:r>
      <w:r>
        <w:rPr/>
        <w:t>heads</w:t>
      </w:r>
      <w:r>
        <w:rPr>
          <w:spacing w:val="-12"/>
        </w:rPr>
        <w:t> </w:t>
      </w:r>
      <w:r>
        <w:rPr/>
        <w:t>with</w:t>
      </w:r>
      <w:r>
        <w:rPr>
          <w:spacing w:val="-14"/>
        </w:rPr>
        <w:t> </w:t>
      </w:r>
      <w:r>
        <w:rPr/>
        <w:t>no</w:t>
      </w:r>
      <w:r>
        <w:rPr>
          <w:spacing w:val="-15"/>
        </w:rPr>
        <w:t> </w:t>
      </w:r>
      <w:r>
        <w:rPr/>
        <w:t>basic</w:t>
      </w:r>
      <w:r>
        <w:rPr>
          <w:spacing w:val="-15"/>
        </w:rPr>
        <w:t> </w:t>
      </w:r>
      <w:r>
        <w:rPr/>
        <w:t>education</w:t>
      </w:r>
      <w:r>
        <w:rPr>
          <w:spacing w:val="-15"/>
        </w:rPr>
        <w:t> </w:t>
      </w:r>
      <w:r>
        <w:rPr/>
        <w:t>relate</w:t>
      </w:r>
      <w:r>
        <w:rPr>
          <w:spacing w:val="-12"/>
        </w:rPr>
        <w:t> </w:t>
      </w:r>
      <w:r>
        <w:rPr/>
        <w:t>negatively</w:t>
      </w:r>
      <w:r>
        <w:rPr>
          <w:spacing w:val="-16"/>
        </w:rPr>
        <w:t> </w:t>
      </w:r>
      <w:r>
        <w:rPr/>
        <w:t>with</w:t>
      </w:r>
      <w:r>
        <w:rPr>
          <w:spacing w:val="-14"/>
        </w:rPr>
        <w:t> </w:t>
      </w:r>
      <w:r>
        <w:rPr/>
        <w:t>appropriate</w:t>
      </w:r>
      <w:r>
        <w:rPr>
          <w:spacing w:val="-13"/>
        </w:rPr>
        <w:t> </w:t>
      </w:r>
      <w:r>
        <w:rPr/>
        <w:t>health</w:t>
      </w:r>
      <w:r>
        <w:rPr>
          <w:spacing w:val="-57"/>
        </w:rPr>
        <w:t> </w:t>
      </w:r>
      <w:r>
        <w:rPr/>
        <w:t>care seeking, as this is true for all the models except POLS. While those with primary, secondary</w:t>
      </w:r>
      <w:r>
        <w:rPr>
          <w:spacing w:val="-57"/>
        </w:rPr>
        <w:t> </w:t>
      </w:r>
      <w:r>
        <w:rPr/>
        <w:t>and</w:t>
      </w:r>
      <w:r>
        <w:rPr>
          <w:spacing w:val="-6"/>
        </w:rPr>
        <w:t> </w:t>
      </w:r>
      <w:r>
        <w:rPr/>
        <w:t>higher</w:t>
      </w:r>
      <w:r>
        <w:rPr>
          <w:spacing w:val="-7"/>
        </w:rPr>
        <w:t> </w:t>
      </w:r>
      <w:r>
        <w:rPr/>
        <w:t>educational</w:t>
      </w:r>
      <w:r>
        <w:rPr>
          <w:spacing w:val="-6"/>
        </w:rPr>
        <w:t> </w:t>
      </w:r>
      <w:r>
        <w:rPr/>
        <w:t>levels</w:t>
      </w:r>
      <w:r>
        <w:rPr>
          <w:spacing w:val="-5"/>
        </w:rPr>
        <w:t> </w:t>
      </w:r>
      <w:r>
        <w:rPr/>
        <w:t>were</w:t>
      </w:r>
      <w:r>
        <w:rPr>
          <w:spacing w:val="-8"/>
        </w:rPr>
        <w:t> </w:t>
      </w:r>
      <w:r>
        <w:rPr/>
        <w:t>mostly</w:t>
      </w:r>
      <w:r>
        <w:rPr>
          <w:spacing w:val="-13"/>
        </w:rPr>
        <w:t> </w:t>
      </w:r>
      <w:r>
        <w:rPr/>
        <w:t>statistically</w:t>
      </w:r>
      <w:r>
        <w:rPr>
          <w:spacing w:val="-11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positively</w:t>
      </w:r>
      <w:r>
        <w:rPr>
          <w:spacing w:val="-11"/>
        </w:rPr>
        <w:t> </w:t>
      </w:r>
      <w:r>
        <w:rPr/>
        <w:t>associated.</w:t>
      </w:r>
      <w:r>
        <w:rPr>
          <w:spacing w:val="-6"/>
        </w:rPr>
        <w:t> </w:t>
      </w:r>
      <w:r>
        <w:rPr/>
        <w:t>These</w:t>
      </w:r>
      <w:r>
        <w:rPr>
          <w:spacing w:val="-58"/>
        </w:rPr>
        <w:t> </w:t>
      </w:r>
      <w:r>
        <w:rPr/>
        <w:t>estimates</w:t>
      </w:r>
      <w:r>
        <w:rPr>
          <w:spacing w:val="-15"/>
        </w:rPr>
        <w:t> </w:t>
      </w:r>
      <w:r>
        <w:rPr/>
        <w:t>reveal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heads</w:t>
      </w:r>
      <w:r>
        <w:rPr>
          <w:spacing w:val="-15"/>
        </w:rPr>
        <w:t> </w:t>
      </w:r>
      <w:r>
        <w:rPr/>
        <w:t>becomes</w:t>
      </w:r>
      <w:r>
        <w:rPr>
          <w:spacing w:val="-14"/>
        </w:rPr>
        <w:t> </w:t>
      </w:r>
      <w:r>
        <w:rPr/>
        <w:t>more</w:t>
      </w:r>
      <w:r>
        <w:rPr>
          <w:spacing w:val="-16"/>
        </w:rPr>
        <w:t> </w:t>
      </w:r>
      <w:r>
        <w:rPr/>
        <w:t>educated,</w:t>
      </w:r>
      <w:r>
        <w:rPr>
          <w:spacing w:val="-15"/>
        </w:rPr>
        <w:t> </w:t>
      </w:r>
      <w:r>
        <w:rPr/>
        <w:t>they</w:t>
      </w:r>
      <w:r>
        <w:rPr>
          <w:spacing w:val="-20"/>
        </w:rPr>
        <w:t> </w:t>
      </w:r>
      <w:r>
        <w:rPr/>
        <w:t>might</w:t>
      </w:r>
      <w:r>
        <w:rPr>
          <w:spacing w:val="-13"/>
        </w:rPr>
        <w:t> </w:t>
      </w:r>
      <w:r>
        <w:rPr/>
        <w:t>consult</w:t>
      </w:r>
      <w:r>
        <w:rPr>
          <w:spacing w:val="-14"/>
        </w:rPr>
        <w:t> </w:t>
      </w:r>
      <w:r>
        <w:rPr/>
        <w:t>orthodoxy</w:t>
      </w:r>
      <w:r>
        <w:rPr>
          <w:spacing w:val="-22"/>
        </w:rPr>
        <w:t> </w:t>
      </w:r>
      <w:r>
        <w:rPr/>
        <w:t>healthcare</w:t>
      </w:r>
      <w:r>
        <w:rPr>
          <w:spacing w:val="-57"/>
        </w:rPr>
        <w:t> </w:t>
      </w:r>
      <w:r>
        <w:rPr/>
        <w:t>services.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utilizing</w:t>
      </w:r>
      <w:r>
        <w:rPr>
          <w:spacing w:val="-5"/>
        </w:rPr>
        <w:t> </w:t>
      </w:r>
      <w:r>
        <w:rPr/>
        <w:t>appropriate</w:t>
      </w:r>
      <w:r>
        <w:rPr>
          <w:spacing w:val="-5"/>
        </w:rPr>
        <w:t> </w:t>
      </w:r>
      <w:r>
        <w:rPr/>
        <w:t>health-care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1.7%</w:t>
      </w:r>
      <w:r>
        <w:rPr>
          <w:spacing w:val="-5"/>
        </w:rPr>
        <w:t> </w:t>
      </w:r>
      <w:r>
        <w:rPr/>
        <w:t>(for</w:t>
      </w:r>
      <w:r>
        <w:rPr>
          <w:spacing w:val="-5"/>
        </w:rPr>
        <w:t> </w:t>
      </w:r>
      <w:r>
        <w:rPr/>
        <w:t>POLS),</w:t>
      </w:r>
      <w:r>
        <w:rPr>
          <w:spacing w:val="-6"/>
        </w:rPr>
        <w:t> </w:t>
      </w:r>
      <w:r>
        <w:rPr/>
        <w:t>17%</w:t>
      </w:r>
      <w:r>
        <w:rPr>
          <w:spacing w:val="-2"/>
        </w:rPr>
        <w:t> </w:t>
      </w:r>
      <w:r>
        <w:rPr/>
        <w:t>(in</w:t>
      </w:r>
      <w:r>
        <w:rPr>
          <w:spacing w:val="-4"/>
        </w:rPr>
        <w:t> </w:t>
      </w:r>
      <w:r>
        <w:rPr/>
        <w:t>FE),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21%</w:t>
      </w:r>
      <w:r>
        <w:rPr>
          <w:spacing w:val="-2"/>
        </w:rPr>
        <w:t> </w:t>
      </w:r>
      <w:r>
        <w:rPr/>
        <w:t>(for RE)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those heads with higher educational qualifications.</w:t>
      </w:r>
    </w:p>
    <w:p>
      <w:pPr>
        <w:pStyle w:val="BodyText"/>
        <w:spacing w:line="360" w:lineRule="auto" w:before="140"/>
        <w:ind w:left="120" w:right="113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result</w:t>
      </w:r>
      <w:r>
        <w:rPr>
          <w:spacing w:val="-9"/>
        </w:rPr>
        <w:t> </w:t>
      </w:r>
      <w:r>
        <w:rPr>
          <w:spacing w:val="-1"/>
          <w:sz w:val="23"/>
        </w:rPr>
        <w:t>further</w:t>
      </w:r>
      <w:r>
        <w:rPr>
          <w:spacing w:val="-10"/>
          <w:sz w:val="23"/>
        </w:rPr>
        <w:t> </w:t>
      </w:r>
      <w:r>
        <w:rPr>
          <w:sz w:val="23"/>
        </w:rPr>
        <w:t>shows</w:t>
      </w:r>
      <w:r>
        <w:rPr>
          <w:spacing w:val="-13"/>
          <w:sz w:val="23"/>
        </w:rPr>
        <w:t> </w:t>
      </w:r>
      <w:r>
        <w:rPr>
          <w:sz w:val="23"/>
        </w:rPr>
        <w:t>that</w:t>
      </w:r>
      <w:r>
        <w:rPr>
          <w:spacing w:val="-7"/>
          <w:sz w:val="23"/>
        </w:rPr>
        <w:t> </w:t>
      </w:r>
      <w:r>
        <w:rPr/>
        <w:t>female</w:t>
      </w:r>
      <w:r>
        <w:rPr>
          <w:spacing w:val="-13"/>
        </w:rPr>
        <w:t> </w:t>
      </w:r>
      <w:r>
        <w:rPr/>
        <w:t>relate</w:t>
      </w:r>
      <w:r>
        <w:rPr>
          <w:spacing w:val="-13"/>
        </w:rPr>
        <w:t> </w:t>
      </w:r>
      <w:r>
        <w:rPr/>
        <w:t>with</w:t>
      </w:r>
      <w:r>
        <w:rPr>
          <w:spacing w:val="-11"/>
        </w:rPr>
        <w:t> </w:t>
      </w:r>
      <w:r>
        <w:rPr>
          <w:sz w:val="23"/>
        </w:rPr>
        <w:t>seeking</w:t>
      </w:r>
      <w:r>
        <w:rPr>
          <w:spacing w:val="-11"/>
          <w:sz w:val="23"/>
        </w:rPr>
        <w:t> </w:t>
      </w:r>
      <w:r>
        <w:rPr>
          <w:sz w:val="23"/>
        </w:rPr>
        <w:t>appropriate</w:t>
      </w:r>
      <w:r>
        <w:rPr>
          <w:spacing w:val="-7"/>
          <w:sz w:val="23"/>
        </w:rPr>
        <w:t> </w:t>
      </w:r>
      <w:r>
        <w:rPr/>
        <w:t>healthcare</w:t>
      </w:r>
      <w:r>
        <w:rPr>
          <w:spacing w:val="-13"/>
        </w:rPr>
        <w:t> </w:t>
      </w:r>
      <w:r>
        <w:rPr/>
        <w:t>services</w:t>
      </w:r>
      <w:r>
        <w:rPr>
          <w:spacing w:val="-11"/>
        </w:rPr>
        <w:t> </w:t>
      </w:r>
      <w:r>
        <w:rPr>
          <w:sz w:val="23"/>
        </w:rPr>
        <w:t>significantly,</w:t>
      </w:r>
      <w:r>
        <w:rPr>
          <w:spacing w:val="-55"/>
          <w:sz w:val="23"/>
        </w:rPr>
        <w:t> </w:t>
      </w:r>
      <w:r>
        <w:rPr/>
        <w:t>while</w:t>
      </w:r>
      <w:r>
        <w:rPr>
          <w:spacing w:val="-11"/>
        </w:rPr>
        <w:t> </w:t>
      </w:r>
      <w:r>
        <w:rPr/>
        <w:t>contrary</w:t>
      </w:r>
      <w:r>
        <w:rPr>
          <w:spacing w:val="-15"/>
        </w:rPr>
        <w:t> </w:t>
      </w:r>
      <w:r>
        <w:rPr/>
        <w:t>was</w:t>
      </w:r>
      <w:r>
        <w:rPr>
          <w:spacing w:val="-10"/>
        </w:rPr>
        <w:t> </w:t>
      </w:r>
      <w:r>
        <w:rPr/>
        <w:t>found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male.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estimate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/>
        <w:t>married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positive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statistically</w:t>
      </w:r>
      <w:r>
        <w:rPr>
          <w:spacing w:val="-15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in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models.</w:t>
      </w:r>
      <w:r>
        <w:rPr>
          <w:spacing w:val="-6"/>
        </w:rPr>
        <w:t> </w:t>
      </w:r>
      <w:r>
        <w:rPr/>
        <w:t>This</w:t>
      </w:r>
      <w:r>
        <w:rPr>
          <w:spacing w:val="-8"/>
        </w:rPr>
        <w:t> </w:t>
      </w:r>
      <w:r>
        <w:rPr/>
        <w:t>reveal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marriage</w:t>
      </w:r>
      <w:r>
        <w:rPr>
          <w:spacing w:val="-6"/>
        </w:rPr>
        <w:t> </w:t>
      </w:r>
      <w:r>
        <w:rPr/>
        <w:t>associated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seeking</w:t>
      </w:r>
      <w:r>
        <w:rPr>
          <w:spacing w:val="-8"/>
        </w:rPr>
        <w:t> </w:t>
      </w:r>
      <w:r>
        <w:rPr/>
        <w:t>appropriate</w:t>
      </w:r>
      <w:r>
        <w:rPr>
          <w:spacing w:val="-7"/>
        </w:rPr>
        <w:t> </w:t>
      </w:r>
      <w:r>
        <w:rPr/>
        <w:t>healthcare</w:t>
      </w:r>
      <w:r>
        <w:rPr>
          <w:spacing w:val="-5"/>
        </w:rPr>
        <w:t> </w:t>
      </w:r>
      <w:r>
        <w:rPr/>
        <w:t>by</w:t>
      </w:r>
      <w:r>
        <w:rPr>
          <w:spacing w:val="-12"/>
        </w:rPr>
        <w:t> </w:t>
      </w:r>
      <w:r>
        <w:rPr/>
        <w:t>29%</w:t>
      </w:r>
      <w:r>
        <w:rPr>
          <w:spacing w:val="-58"/>
        </w:rPr>
        <w:t> </w:t>
      </w:r>
      <w:r>
        <w:rPr/>
        <w:t>for POLS, 1.8% for FE, and 27% for RE. Whereas, in all the models, the results for single parent,</w:t>
      </w:r>
      <w:r>
        <w:rPr>
          <w:spacing w:val="-58"/>
        </w:rPr>
        <w:t> </w:t>
      </w:r>
      <w:r>
        <w:rPr/>
        <w:t>and</w:t>
      </w:r>
      <w:r>
        <w:rPr>
          <w:spacing w:val="-4"/>
        </w:rPr>
        <w:t> </w:t>
      </w:r>
      <w:r>
        <w:rPr/>
        <w:t>widowed/widower</w:t>
      </w:r>
      <w:r>
        <w:rPr>
          <w:spacing w:val="-5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orthodoxy</w:t>
      </w:r>
      <w:r>
        <w:rPr>
          <w:spacing w:val="-6"/>
        </w:rPr>
        <w:t> </w:t>
      </w:r>
      <w:r>
        <w:rPr/>
        <w:t>healthcare</w:t>
      </w:r>
      <w:r>
        <w:rPr>
          <w:spacing w:val="-5"/>
        </w:rPr>
        <w:t> </w:t>
      </w:r>
      <w:r>
        <w:rPr/>
        <w:t>seeking</w:t>
      </w:r>
      <w:r>
        <w:rPr>
          <w:spacing w:val="-5"/>
        </w:rPr>
        <w:t> </w:t>
      </w:r>
      <w:r>
        <w:rPr/>
        <w:t>negatively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significantly.</w:t>
      </w:r>
      <w:r>
        <w:rPr>
          <w:spacing w:val="-57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never</w:t>
      </w:r>
      <w:r>
        <w:rPr>
          <w:spacing w:val="-11"/>
        </w:rPr>
        <w:t> </w:t>
      </w:r>
      <w:r>
        <w:rPr/>
        <w:t>married,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finding</w:t>
      </w:r>
      <w:r>
        <w:rPr>
          <w:spacing w:val="-10"/>
        </w:rPr>
        <w:t> </w:t>
      </w:r>
      <w:r>
        <w:rPr/>
        <w:t>indicates</w:t>
      </w:r>
      <w:r>
        <w:rPr>
          <w:spacing w:val="-7"/>
        </w:rPr>
        <w:t> </w:t>
      </w:r>
      <w:r>
        <w:rPr/>
        <w:t>negative</w:t>
      </w:r>
      <w:r>
        <w:rPr>
          <w:spacing w:val="-12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on</w:t>
      </w:r>
      <w:r>
        <w:rPr>
          <w:spacing w:val="-8"/>
        </w:rPr>
        <w:t> </w:t>
      </w:r>
      <w:r>
        <w:rPr/>
        <w:t>medical-care</w:t>
      </w:r>
      <w:r>
        <w:rPr>
          <w:spacing w:val="-10"/>
        </w:rPr>
        <w:t> </w:t>
      </w:r>
      <w:r>
        <w:rPr/>
        <w:t>seeking</w:t>
      </w:r>
      <w:r>
        <w:rPr>
          <w:spacing w:val="-10"/>
        </w:rPr>
        <w:t> </w:t>
      </w:r>
      <w:r>
        <w:rPr/>
        <w:t>only</w:t>
      </w:r>
      <w:r>
        <w:rPr>
          <w:spacing w:val="-57"/>
        </w:rPr>
        <w:t> </w:t>
      </w:r>
      <w:r>
        <w:rPr/>
        <w:t>in FE and RE models significantly, POLS is non-significant. Further, like the main results, the</w:t>
      </w:r>
      <w:r>
        <w:rPr>
          <w:spacing w:val="1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show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when</w:t>
      </w:r>
      <w:r>
        <w:rPr>
          <w:spacing w:val="-3"/>
        </w:rPr>
        <w:t> </w:t>
      </w:r>
      <w:r>
        <w:rPr/>
        <w:t>couple</w:t>
      </w:r>
      <w:r>
        <w:rPr>
          <w:spacing w:val="-6"/>
        </w:rPr>
        <w:t> </w:t>
      </w:r>
      <w:r>
        <w:rPr/>
        <w:t>live</w:t>
      </w:r>
      <w:r>
        <w:rPr>
          <w:spacing w:val="-6"/>
        </w:rPr>
        <w:t> </w:t>
      </w:r>
      <w:r>
        <w:rPr/>
        <w:t>together,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probability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seeking</w:t>
      </w:r>
      <w:r>
        <w:rPr>
          <w:spacing w:val="-5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was</w:t>
      </w:r>
      <w:r>
        <w:rPr>
          <w:spacing w:val="-6"/>
        </w:rPr>
        <w:t> </w:t>
      </w:r>
      <w:r>
        <w:rPr/>
        <w:t>31%</w:t>
      </w:r>
      <w:r>
        <w:rPr>
          <w:spacing w:val="-4"/>
        </w:rPr>
        <w:t> </w:t>
      </w:r>
      <w:r>
        <w:rPr/>
        <w:t>(in</w:t>
      </w:r>
      <w:r>
        <w:rPr>
          <w:spacing w:val="-57"/>
        </w:rPr>
        <w:t> </w:t>
      </w:r>
      <w:r>
        <w:rPr/>
        <w:t>POLS), 2.5% (in FE), and 52% (in RE). These findings were significant to when the couple are</w:t>
      </w:r>
      <w:r>
        <w:rPr>
          <w:spacing w:val="1"/>
        </w:rPr>
        <w:t> </w:t>
      </w:r>
      <w:r>
        <w:rPr>
          <w:spacing w:val="-1"/>
        </w:rPr>
        <w:t>living</w:t>
      </w:r>
      <w:r>
        <w:rPr>
          <w:spacing w:val="-14"/>
        </w:rPr>
        <w:t> </w:t>
      </w:r>
      <w:r>
        <w:rPr/>
        <w:t>apart.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these</w:t>
      </w:r>
      <w:r>
        <w:rPr>
          <w:spacing w:val="-11"/>
        </w:rPr>
        <w:t> </w:t>
      </w:r>
      <w:r>
        <w:rPr/>
        <w:t>also</w:t>
      </w:r>
      <w:r>
        <w:rPr>
          <w:spacing w:val="-10"/>
        </w:rPr>
        <w:t> </w:t>
      </w:r>
      <w:r>
        <w:rPr/>
        <w:t>showed</w:t>
      </w:r>
      <w:r>
        <w:rPr>
          <w:spacing w:val="-10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estimates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FE</w:t>
      </w:r>
      <w:r>
        <w:rPr>
          <w:spacing w:val="-11"/>
        </w:rPr>
        <w:t> </w:t>
      </w:r>
      <w:r>
        <w:rPr/>
        <w:t>model</w:t>
      </w:r>
      <w:r>
        <w:rPr>
          <w:spacing w:val="-10"/>
        </w:rPr>
        <w:t> </w:t>
      </w:r>
      <w:r>
        <w:rPr/>
        <w:t>(in</w:t>
      </w:r>
      <w:r>
        <w:rPr>
          <w:spacing w:val="-13"/>
        </w:rPr>
        <w:t> </w:t>
      </w:r>
      <w:r>
        <w:rPr/>
        <w:t>Table</w:t>
      </w:r>
      <w:r>
        <w:rPr>
          <w:spacing w:val="-8"/>
        </w:rPr>
        <w:t> </w:t>
      </w:r>
      <w:r>
        <w:rPr/>
        <w:t>5.19)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highly</w:t>
      </w:r>
      <w:r>
        <w:rPr>
          <w:spacing w:val="-15"/>
        </w:rPr>
        <w:t> </w:t>
      </w:r>
      <w:r>
        <w:rPr/>
        <w:t>robust.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Heading4"/>
        <w:spacing w:before="77" w:after="3"/>
        <w:ind w:left="120"/>
        <w:jc w:val="left"/>
      </w:pPr>
      <w:r>
        <w:rPr/>
        <w:t>Table</w:t>
      </w:r>
      <w:r>
        <w:rPr>
          <w:spacing w:val="-1"/>
        </w:rPr>
        <w:t> </w:t>
      </w:r>
      <w:r>
        <w:rPr/>
        <w:t>5.27:</w:t>
      </w:r>
      <w:r>
        <w:rPr>
          <w:spacing w:val="-1"/>
        </w:rPr>
        <w:t> </w:t>
      </w:r>
      <w:r>
        <w:rPr/>
        <w:t>Panel</w:t>
      </w:r>
      <w:r>
        <w:rPr>
          <w:spacing w:val="-1"/>
        </w:rPr>
        <w:t> </w:t>
      </w:r>
      <w:r>
        <w:rPr/>
        <w:t>Logistic</w:t>
      </w:r>
      <w:r>
        <w:rPr>
          <w:spacing w:val="-1"/>
        </w:rPr>
        <w:t> </w:t>
      </w:r>
      <w:r>
        <w:rPr/>
        <w:t>Estimations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NGHS Wave</w:t>
      </w:r>
      <w:r>
        <w:rPr>
          <w:spacing w:val="-2"/>
        </w:rPr>
        <w:t> </w:t>
      </w:r>
      <w:r>
        <w:rPr/>
        <w:t>II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8"/>
        <w:gridCol w:w="1954"/>
        <w:gridCol w:w="2023"/>
        <w:gridCol w:w="2076"/>
      </w:tblGrid>
      <w:tr>
        <w:trPr>
          <w:trHeight w:val="506" w:hRule="atLeast"/>
        </w:trPr>
        <w:tc>
          <w:tcPr>
            <w:tcW w:w="329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54" w:type="dxa"/>
          </w:tcPr>
          <w:p>
            <w:pPr>
              <w:pStyle w:val="TableParagraph"/>
              <w:spacing w:line="251" w:lineRule="exact"/>
              <w:ind w:left="669" w:right="655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POLS</w:t>
            </w:r>
          </w:p>
        </w:tc>
        <w:tc>
          <w:tcPr>
            <w:tcW w:w="2023" w:type="dxa"/>
          </w:tcPr>
          <w:p>
            <w:pPr>
              <w:pStyle w:val="TableParagraph"/>
              <w:spacing w:line="251" w:lineRule="exact"/>
              <w:ind w:right="136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FIXED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EFFECTS</w:t>
            </w:r>
          </w:p>
        </w:tc>
        <w:tc>
          <w:tcPr>
            <w:tcW w:w="2076" w:type="dxa"/>
          </w:tcPr>
          <w:p>
            <w:pPr>
              <w:pStyle w:val="TableParagraph"/>
              <w:spacing w:line="254" w:lineRule="exact"/>
              <w:ind w:left="540" w:right="503" w:hanging="12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RANDOM</w:t>
            </w:r>
            <w:r>
              <w:rPr>
                <w:rFonts w:asci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EFFECTS</w:t>
            </w:r>
          </w:p>
        </w:tc>
      </w:tr>
      <w:tr>
        <w:trPr>
          <w:trHeight w:val="251" w:hRule="atLeast"/>
        </w:trPr>
        <w:tc>
          <w:tcPr>
            <w:tcW w:w="9351" w:type="dxa"/>
            <w:gridSpan w:val="4"/>
          </w:tcPr>
          <w:p>
            <w:pPr>
              <w:pStyle w:val="TableParagraph"/>
              <w:spacing w:line="232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Dependent</w:t>
            </w:r>
            <w:r>
              <w:rPr>
                <w:rFonts w:ascii="Times New Roman"/>
                <w:b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Variable: </w:t>
            </w:r>
            <w:r>
              <w:rPr>
                <w:rFonts w:ascii="Times New Roman"/>
                <w:sz w:val="22"/>
              </w:rPr>
              <w:t>Appropriate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Medical-care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Consultation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times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illnesses</w:t>
            </w:r>
          </w:p>
        </w:tc>
      </w:tr>
      <w:tr>
        <w:trPr>
          <w:trHeight w:val="567" w:hRule="atLeast"/>
        </w:trPr>
        <w:tc>
          <w:tcPr>
            <w:tcW w:w="3298" w:type="dxa"/>
            <w:vMerge w:val="restart"/>
          </w:tcPr>
          <w:p>
            <w:pPr>
              <w:pStyle w:val="TableParagraph"/>
              <w:ind w:left="107" w:right="111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HOUSEHOLD</w:t>
            </w:r>
            <w:r>
              <w:rPr>
                <w:rFonts w:ascii="Times New Roman"/>
                <w:b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w w:val="95"/>
                <w:sz w:val="20"/>
              </w:rPr>
              <w:t>CHARACTRISTICS</w:t>
            </w:r>
          </w:p>
          <w:p>
            <w:pPr>
              <w:pStyle w:val="TableParagraph"/>
              <w:ind w:left="208" w:right="1904" w:firstLine="50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Family Size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Literacy</w:t>
            </w:r>
            <w:r>
              <w:rPr>
                <w:rFonts w:ascii="Times New Roman"/>
                <w:b/>
                <w:i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Level</w:t>
            </w:r>
          </w:p>
          <w:p>
            <w:pPr>
              <w:pStyle w:val="TableParagraph"/>
              <w:spacing w:line="226" w:lineRule="exact"/>
              <w:ind w:left="42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  <w:p>
            <w:pPr>
              <w:pStyle w:val="TableParagraph"/>
              <w:ind w:left="460" w:right="1113" w:hanging="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Primary Education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Secondary </w:t>
            </w:r>
            <w:r>
              <w:rPr>
                <w:rFonts w:ascii="Times New Roman"/>
                <w:sz w:val="20"/>
              </w:rPr>
              <w:t>Education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Higher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Degrees</w:t>
            </w:r>
          </w:p>
          <w:p>
            <w:pPr>
              <w:pStyle w:val="TableParagraph"/>
              <w:spacing w:line="228" w:lineRule="exact"/>
              <w:ind w:left="208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Gender</w:t>
            </w:r>
          </w:p>
          <w:p>
            <w:pPr>
              <w:pStyle w:val="TableParagraph"/>
              <w:ind w:left="460" w:right="2225" w:hanging="3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Male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Female</w:t>
            </w:r>
          </w:p>
          <w:p>
            <w:pPr>
              <w:pStyle w:val="TableParagraph"/>
              <w:spacing w:line="237" w:lineRule="auto" w:before="6"/>
              <w:ind w:left="426" w:right="1754" w:hanging="16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Marital Status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Married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Single Parent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Widowed</w:t>
            </w:r>
          </w:p>
          <w:p>
            <w:pPr>
              <w:pStyle w:val="TableParagraph"/>
              <w:spacing w:before="2"/>
              <w:ind w:left="46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Never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Married</w:t>
            </w:r>
          </w:p>
          <w:p>
            <w:pPr>
              <w:pStyle w:val="TableParagraph"/>
              <w:spacing w:line="228" w:lineRule="exact" w:before="5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Does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your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spouse live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with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you?</w:t>
            </w:r>
          </w:p>
          <w:p>
            <w:pPr>
              <w:pStyle w:val="TableParagraph"/>
              <w:spacing w:line="230" w:lineRule="exact"/>
              <w:ind w:left="460" w:right="2530" w:hanging="3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1954" w:type="dxa"/>
            <w:tcBorders>
              <w:bottom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right="2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-0.0409*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(0.0266)</w:t>
            </w:r>
          </w:p>
        </w:tc>
        <w:tc>
          <w:tcPr>
            <w:tcW w:w="2023" w:type="dxa"/>
            <w:tcBorders>
              <w:bottom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-0.0025*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(0.0022)</w:t>
            </w:r>
          </w:p>
        </w:tc>
        <w:tc>
          <w:tcPr>
            <w:tcW w:w="2076" w:type="dxa"/>
            <w:tcBorders>
              <w:bottom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-0.0438*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(0.0303)</w:t>
            </w:r>
          </w:p>
        </w:tc>
      </w:tr>
      <w:tr>
        <w:trPr>
          <w:trHeight w:val="334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4"/>
              <w:ind w:left="27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0.0136</w:t>
            </w:r>
            <w:r>
              <w:rPr>
                <w:rFonts w:ascii="Times New Roman"/>
                <w:spacing w:val="6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(0.3357)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4"/>
              <w:ind w:left="3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-0.0002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(0.0026)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4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-0.0092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(0.0361)</w:t>
            </w:r>
          </w:p>
        </w:tc>
      </w:tr>
      <w:tr>
        <w:trPr>
          <w:trHeight w:val="220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3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0.0542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(0.0862)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3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0.0013*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(0.0070)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0.0575*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(0.0881)</w:t>
            </w:r>
          </w:p>
        </w:tc>
      </w:tr>
      <w:tr>
        <w:trPr>
          <w:trHeight w:val="220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0.0311*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(0.1214)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3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0.0003*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(0.0103)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-0.0196*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(0.1244)</w:t>
            </w:r>
          </w:p>
        </w:tc>
      </w:tr>
      <w:tr>
        <w:trPr>
          <w:trHeight w:val="334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right="2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3.3667**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(0.0500)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21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0.4258***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(0.0042)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3.4083***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(0.0522)</w:t>
            </w:r>
          </w:p>
        </w:tc>
      </w:tr>
      <w:tr>
        <w:trPr>
          <w:trHeight w:val="334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4"/>
              <w:ind w:right="1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-0.9022**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(0.1326)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4"/>
              <w:ind w:right="1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-0.0904***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(0.0117)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4"/>
              <w:ind w:left="191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-0.8218***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(0.1361)</w:t>
            </w:r>
          </w:p>
        </w:tc>
      </w:tr>
      <w:tr>
        <w:trPr>
          <w:trHeight w:val="335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2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0.0147*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(0.0192)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3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0.0006*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(0.0014)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0.0079*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(0.0200)</w:t>
            </w:r>
          </w:p>
        </w:tc>
      </w:tr>
      <w:tr>
        <w:trPr>
          <w:trHeight w:val="335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right="1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0.2563***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(0.1326)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3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0.0176*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(0.0043)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191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0.2395***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(0.0639)</w:t>
            </w:r>
          </w:p>
        </w:tc>
      </w:tr>
      <w:tr>
        <w:trPr>
          <w:trHeight w:val="219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right="1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-0.8076***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(0.0940)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right="1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-0.0072***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(0.0079)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91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-0.8031***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(0.0933)</w:t>
            </w:r>
          </w:p>
        </w:tc>
      </w:tr>
      <w:tr>
        <w:trPr>
          <w:trHeight w:val="219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right="1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-0.3668**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(0.1240)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right="1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-0.0249***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(0.0093)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89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-0.4088**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(0.1274)</w:t>
            </w:r>
          </w:p>
        </w:tc>
      </w:tr>
      <w:tr>
        <w:trPr>
          <w:trHeight w:val="335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3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-0.0726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(0.0768)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2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-0.0072*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(0.0058)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90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-0.0791*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(0.0774)</w:t>
            </w:r>
          </w:p>
        </w:tc>
      </w:tr>
      <w:tr>
        <w:trPr>
          <w:trHeight w:val="335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3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0.0628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(0.0919)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3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0.0032*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(0.0070)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191" w:right="18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0.0558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(0.0929)</w:t>
            </w:r>
          </w:p>
        </w:tc>
      </w:tr>
      <w:tr>
        <w:trPr>
          <w:trHeight w:val="455" w:hRule="atLeast"/>
        </w:trPr>
        <w:tc>
          <w:tcPr>
            <w:tcW w:w="3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right="1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-0.6384***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(0.1367)</w:t>
            </w:r>
          </w:p>
        </w:tc>
        <w:tc>
          <w:tcPr>
            <w:tcW w:w="2023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right="1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-0.08808***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(0.0121)</w:t>
            </w:r>
          </w:p>
        </w:tc>
        <w:tc>
          <w:tcPr>
            <w:tcW w:w="2076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189" w:right="1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-0.7388**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(0.1403)</w:t>
            </w:r>
          </w:p>
        </w:tc>
      </w:tr>
      <w:tr>
        <w:trPr>
          <w:trHeight w:val="2301" w:hRule="atLeast"/>
        </w:trPr>
        <w:tc>
          <w:tcPr>
            <w:tcW w:w="3298" w:type="dxa"/>
          </w:tcPr>
          <w:p>
            <w:pPr>
              <w:pStyle w:val="TableParagraph"/>
              <w:ind w:left="107" w:right="953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HOUSEHOLDS’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TOTAL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INCOME</w:t>
            </w:r>
          </w:p>
          <w:p>
            <w:pPr>
              <w:pStyle w:val="TableParagraph"/>
              <w:ind w:left="107" w:right="6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Wages and Salaries Incomes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Business Enterprises or Trades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Farming or Livestock Incomes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Remittances</w:t>
            </w:r>
          </w:p>
          <w:p>
            <w:pPr>
              <w:pStyle w:val="TableParagraph"/>
              <w:ind w:left="107" w:right="75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Monetary </w:t>
            </w:r>
            <w:r>
              <w:rPr>
                <w:rFonts w:ascii="Times New Roman"/>
                <w:sz w:val="20"/>
              </w:rPr>
              <w:t>Transfer/Assistance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Pensions and</w:t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Grants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Dividend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Investment</w:t>
            </w:r>
          </w:p>
          <w:p>
            <w:pPr>
              <w:pStyle w:val="TableParagraph"/>
              <w:spacing w:line="216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Properties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Owned</w:t>
            </w:r>
          </w:p>
        </w:tc>
        <w:tc>
          <w:tcPr>
            <w:tcW w:w="1954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0.0342*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(0.0618)</w:t>
            </w:r>
          </w:p>
          <w:p>
            <w:pPr>
              <w:pStyle w:val="TableParagraph"/>
              <w:ind w:left="2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0.1392*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(0.1206)</w:t>
            </w:r>
          </w:p>
          <w:p>
            <w:pPr>
              <w:pStyle w:val="TableParagraph"/>
              <w:spacing w:before="1"/>
              <w:ind w:left="2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0.0029*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(0.0020)</w:t>
            </w:r>
          </w:p>
          <w:p>
            <w:pPr>
              <w:pStyle w:val="TableParagraph"/>
              <w:ind w:left="3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0.0644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(0.1049)</w:t>
            </w:r>
          </w:p>
          <w:p>
            <w:pPr>
              <w:pStyle w:val="TableParagraph"/>
              <w:ind w:left="18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0.6248***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(0.1829)</w:t>
            </w:r>
          </w:p>
          <w:p>
            <w:pPr>
              <w:pStyle w:val="TableParagraph"/>
              <w:spacing w:line="229" w:lineRule="exact" w:before="1"/>
              <w:ind w:left="3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0.0236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(0.0737)</w:t>
            </w:r>
          </w:p>
          <w:p>
            <w:pPr>
              <w:pStyle w:val="TableParagraph"/>
              <w:spacing w:line="229" w:lineRule="exact"/>
              <w:ind w:left="3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-0.1225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(0.1387)</w:t>
            </w:r>
          </w:p>
          <w:p>
            <w:pPr>
              <w:pStyle w:val="TableParagraph"/>
              <w:spacing w:before="1"/>
              <w:ind w:left="25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-0.0496*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(0.0307)</w:t>
            </w:r>
          </w:p>
        </w:tc>
        <w:tc>
          <w:tcPr>
            <w:tcW w:w="2023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3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0.0021*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(0.0044)</w:t>
            </w:r>
          </w:p>
          <w:p>
            <w:pPr>
              <w:pStyle w:val="TableParagraph"/>
              <w:ind w:left="3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0.0171*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(0.0107)</w:t>
            </w:r>
          </w:p>
          <w:p>
            <w:pPr>
              <w:pStyle w:val="TableParagraph"/>
              <w:spacing w:before="1"/>
              <w:ind w:left="3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0.0003*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(0.0002)</w:t>
            </w:r>
          </w:p>
          <w:p>
            <w:pPr>
              <w:pStyle w:val="TableParagraph"/>
              <w:ind w:left="36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0.0002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(0.0073)</w:t>
            </w:r>
          </w:p>
          <w:p>
            <w:pPr>
              <w:pStyle w:val="TableParagraph"/>
              <w:ind w:left="26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0.0375**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(0.0118)</w:t>
            </w:r>
          </w:p>
          <w:p>
            <w:pPr>
              <w:pStyle w:val="TableParagraph"/>
              <w:spacing w:line="229" w:lineRule="exact" w:before="1"/>
              <w:ind w:left="36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0.0026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(0.0051)</w:t>
            </w:r>
          </w:p>
          <w:p>
            <w:pPr>
              <w:pStyle w:val="TableParagraph"/>
              <w:spacing w:line="229" w:lineRule="exact"/>
              <w:ind w:left="3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0.0008*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(0.0090)</w:t>
            </w:r>
          </w:p>
          <w:p>
            <w:pPr>
              <w:pStyle w:val="TableParagraph"/>
              <w:spacing w:before="1"/>
              <w:ind w:left="2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-0.0025*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(0.0023)</w:t>
            </w:r>
          </w:p>
        </w:tc>
        <w:tc>
          <w:tcPr>
            <w:tcW w:w="2076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34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0.0826*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(0.0638)</w:t>
            </w:r>
          </w:p>
          <w:p>
            <w:pPr>
              <w:pStyle w:val="TableParagraph"/>
              <w:ind w:left="34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0.2412*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(0.1438)</w:t>
            </w:r>
          </w:p>
          <w:p>
            <w:pPr>
              <w:pStyle w:val="TableParagraph"/>
              <w:spacing w:before="1"/>
              <w:ind w:left="34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0.0041*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(0.0022)</w:t>
            </w:r>
          </w:p>
          <w:p>
            <w:pPr>
              <w:pStyle w:val="TableParagraph"/>
              <w:ind w:left="3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0.0297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(0.1081)</w:t>
            </w:r>
          </w:p>
          <w:p>
            <w:pPr>
              <w:pStyle w:val="TableParagraph"/>
              <w:ind w:left="29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0.5608**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(0.1864)</w:t>
            </w:r>
          </w:p>
          <w:p>
            <w:pPr>
              <w:pStyle w:val="TableParagraph"/>
              <w:spacing w:line="229" w:lineRule="exact" w:before="1"/>
              <w:ind w:left="3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0.0004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(0.1440)</w:t>
            </w:r>
          </w:p>
          <w:p>
            <w:pPr>
              <w:pStyle w:val="TableParagraph"/>
              <w:spacing w:line="229" w:lineRule="exact"/>
              <w:ind w:left="36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-0.0261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(0.0326)</w:t>
            </w:r>
          </w:p>
          <w:p>
            <w:pPr>
              <w:pStyle w:val="TableParagraph"/>
              <w:spacing w:before="1"/>
              <w:ind w:left="36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-0.0261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(0.0326)</w:t>
            </w:r>
          </w:p>
        </w:tc>
      </w:tr>
      <w:tr>
        <w:trPr>
          <w:trHeight w:val="688" w:hRule="atLeast"/>
        </w:trPr>
        <w:tc>
          <w:tcPr>
            <w:tcW w:w="3298" w:type="dxa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INCOME</w:t>
            </w:r>
            <w:r>
              <w:rPr>
                <w:rFonts w:asci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INEQUALITY</w:t>
            </w:r>
          </w:p>
          <w:p>
            <w:pPr>
              <w:pStyle w:val="TableParagraph"/>
              <w:spacing w:line="230" w:lineRule="exact"/>
              <w:ind w:left="208" w:right="175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Gini-Coefficient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Constant</w:t>
            </w:r>
          </w:p>
        </w:tc>
        <w:tc>
          <w:tcPr>
            <w:tcW w:w="1954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-0.2810**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(0.1098)</w:t>
            </w:r>
          </w:p>
          <w:p>
            <w:pPr>
              <w:pStyle w:val="TableParagraph"/>
              <w:spacing w:line="215" w:lineRule="exact"/>
              <w:ind w:left="3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-1.6999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(0.2793)</w:t>
            </w:r>
          </w:p>
        </w:tc>
        <w:tc>
          <w:tcPr>
            <w:tcW w:w="2023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8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-0.0325***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(0.0089)</w:t>
            </w:r>
          </w:p>
          <w:p>
            <w:pPr>
              <w:pStyle w:val="TableParagraph"/>
              <w:spacing w:line="215" w:lineRule="exact"/>
              <w:ind w:left="21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0.2895***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(0.0203)</w:t>
            </w:r>
          </w:p>
        </w:tc>
        <w:tc>
          <w:tcPr>
            <w:tcW w:w="2076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5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-0.2546**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(0.1123)</w:t>
            </w:r>
          </w:p>
          <w:p>
            <w:pPr>
              <w:pStyle w:val="TableParagraph"/>
              <w:spacing w:line="215" w:lineRule="exact"/>
              <w:ind w:left="21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-1.6208***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(0.2930)</w:t>
            </w:r>
          </w:p>
        </w:tc>
      </w:tr>
      <w:tr>
        <w:trPr>
          <w:trHeight w:val="231" w:hRule="atLeast"/>
        </w:trPr>
        <w:tc>
          <w:tcPr>
            <w:tcW w:w="3298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Number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of</w:t>
            </w:r>
            <w:r>
              <w:rPr>
                <w:rFonts w:ascii="Times New Roman"/>
                <w:b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States</w:t>
            </w:r>
          </w:p>
        </w:tc>
        <w:tc>
          <w:tcPr>
            <w:tcW w:w="1954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669" w:right="65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</w:t>
            </w:r>
          </w:p>
        </w:tc>
        <w:tc>
          <w:tcPr>
            <w:tcW w:w="2023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25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</w:t>
            </w:r>
          </w:p>
        </w:tc>
        <w:tc>
          <w:tcPr>
            <w:tcW w:w="2076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91" w:right="1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</w:t>
            </w:r>
          </w:p>
        </w:tc>
      </w:tr>
      <w:tr>
        <w:trPr>
          <w:trHeight w:val="229" w:hRule="atLeast"/>
        </w:trPr>
        <w:tc>
          <w:tcPr>
            <w:tcW w:w="32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Observations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669" w:right="65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27,363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23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27,363</w:t>
            </w:r>
          </w:p>
        </w:tc>
        <w:tc>
          <w:tcPr>
            <w:tcW w:w="20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91" w:right="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27,363</w:t>
            </w:r>
          </w:p>
        </w:tc>
      </w:tr>
      <w:tr>
        <w:trPr>
          <w:trHeight w:val="230" w:hRule="atLeast"/>
        </w:trPr>
        <w:tc>
          <w:tcPr>
            <w:tcW w:w="3298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Probability</w:t>
            </w:r>
          </w:p>
        </w:tc>
        <w:tc>
          <w:tcPr>
            <w:tcW w:w="1954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669" w:right="65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0.0000</w:t>
            </w:r>
          </w:p>
        </w:tc>
        <w:tc>
          <w:tcPr>
            <w:tcW w:w="2023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23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0.0000</w:t>
            </w:r>
          </w:p>
        </w:tc>
        <w:tc>
          <w:tcPr>
            <w:tcW w:w="2076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91" w:right="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0.0000</w:t>
            </w:r>
          </w:p>
        </w:tc>
      </w:tr>
    </w:tbl>
    <w:p>
      <w:pPr>
        <w:spacing w:before="0"/>
        <w:ind w:left="120" w:right="0" w:firstLine="0"/>
        <w:jc w:val="left"/>
        <w:rPr>
          <w:sz w:val="20"/>
        </w:rPr>
      </w:pPr>
      <w:r>
        <w:rPr>
          <w:sz w:val="20"/>
        </w:rPr>
        <w:t>*p&lt;0.05</w:t>
      </w:r>
      <w:r>
        <w:rPr>
          <w:spacing w:val="-1"/>
          <w:sz w:val="20"/>
        </w:rPr>
        <w:t> </w:t>
      </w:r>
      <w:r>
        <w:rPr>
          <w:sz w:val="20"/>
        </w:rPr>
        <w:t>indicates</w:t>
      </w:r>
      <w:r>
        <w:rPr>
          <w:spacing w:val="-3"/>
          <w:sz w:val="20"/>
        </w:rPr>
        <w:t> </w:t>
      </w:r>
      <w:r>
        <w:rPr>
          <w:sz w:val="20"/>
        </w:rPr>
        <w:t>significance</w:t>
      </w:r>
      <w:r>
        <w:rPr>
          <w:spacing w:val="2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5%</w:t>
      </w:r>
      <w:r>
        <w:rPr>
          <w:spacing w:val="-3"/>
          <w:sz w:val="20"/>
        </w:rPr>
        <w:t> </w:t>
      </w:r>
      <w:r>
        <w:rPr>
          <w:sz w:val="20"/>
        </w:rPr>
        <w:t>level; **</w:t>
      </w:r>
      <w:r>
        <w:rPr>
          <w:spacing w:val="-2"/>
          <w:sz w:val="20"/>
        </w:rPr>
        <w:t> </w:t>
      </w:r>
      <w:r>
        <w:rPr>
          <w:sz w:val="20"/>
        </w:rPr>
        <w:t>p&lt;0.01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1%</w:t>
      </w:r>
      <w:r>
        <w:rPr>
          <w:spacing w:val="-2"/>
          <w:sz w:val="20"/>
        </w:rPr>
        <w:t> </w:t>
      </w:r>
      <w:r>
        <w:rPr>
          <w:sz w:val="20"/>
        </w:rPr>
        <w:t>level; ***</w:t>
      </w:r>
      <w:r>
        <w:rPr>
          <w:spacing w:val="-5"/>
          <w:sz w:val="20"/>
        </w:rPr>
        <w:t> </w:t>
      </w:r>
      <w:r>
        <w:rPr>
          <w:sz w:val="20"/>
        </w:rPr>
        <w:t>p&lt;0.001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1%</w:t>
      </w:r>
      <w:r>
        <w:rPr>
          <w:spacing w:val="-3"/>
          <w:sz w:val="20"/>
        </w:rPr>
        <w:t> </w:t>
      </w:r>
      <w:r>
        <w:rPr>
          <w:sz w:val="20"/>
        </w:rPr>
        <w:t>level</w:t>
      </w:r>
    </w:p>
    <w:p>
      <w:pPr>
        <w:spacing w:before="13"/>
        <w:ind w:left="120" w:right="0" w:firstLine="0"/>
        <w:jc w:val="left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2"/>
          <w:sz w:val="20"/>
        </w:rPr>
        <w:t> </w:t>
      </w:r>
      <w:r>
        <w:rPr>
          <w:sz w:val="20"/>
        </w:rPr>
        <w:t>Researcher’s</w:t>
      </w:r>
      <w:r>
        <w:rPr>
          <w:spacing w:val="-1"/>
          <w:sz w:val="20"/>
        </w:rPr>
        <w:t> </w:t>
      </w:r>
      <w:r>
        <w:rPr>
          <w:sz w:val="20"/>
        </w:rPr>
        <w:t>Computation</w:t>
      </w:r>
      <w:r>
        <w:rPr>
          <w:spacing w:val="-3"/>
          <w:sz w:val="20"/>
        </w:rPr>
        <w:t> </w:t>
      </w:r>
      <w:r>
        <w:rPr>
          <w:sz w:val="20"/>
        </w:rPr>
        <w:t>using</w:t>
      </w:r>
      <w:r>
        <w:rPr>
          <w:spacing w:val="-3"/>
          <w:sz w:val="20"/>
        </w:rPr>
        <w:t> </w:t>
      </w:r>
      <w:r>
        <w:rPr>
          <w:sz w:val="20"/>
        </w:rPr>
        <w:t>Stata</w:t>
      </w:r>
      <w:r>
        <w:rPr>
          <w:spacing w:val="-2"/>
          <w:sz w:val="20"/>
        </w:rPr>
        <w:t> </w:t>
      </w:r>
      <w:r>
        <w:rPr>
          <w:sz w:val="20"/>
        </w:rPr>
        <w:t>13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1"/>
        <w:jc w:val="both"/>
      </w:pPr>
      <w:r>
        <w:rPr/>
        <w:t>For the incomes-effect of household, incomes from enterprises/trading, farming/livestock, and</w:t>
      </w:r>
      <w:r>
        <w:rPr>
          <w:spacing w:val="1"/>
        </w:rPr>
        <w:t> </w:t>
      </w:r>
      <w:r>
        <w:rPr/>
        <w:t>monetary assistance were found positive and significantly related with seeking orthodoxy health</w:t>
      </w:r>
      <w:r>
        <w:rPr>
          <w:spacing w:val="1"/>
        </w:rPr>
        <w:t> </w:t>
      </w:r>
      <w:r>
        <w:rPr/>
        <w:t>care services. These estimates show that as these incomes rises, households’ members will seek</w:t>
      </w:r>
      <w:r>
        <w:rPr>
          <w:spacing w:val="1"/>
        </w:rPr>
        <w:t> </w:t>
      </w:r>
      <w:r>
        <w:rPr/>
        <w:t>more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>
          <w:sz w:val="23"/>
        </w:rPr>
        <w:t>orthodoxy</w:t>
      </w:r>
      <w:r>
        <w:rPr>
          <w:spacing w:val="-15"/>
          <w:sz w:val="23"/>
        </w:rPr>
        <w:t> </w:t>
      </w:r>
      <w:r>
        <w:rPr/>
        <w:t>medical-care</w:t>
      </w:r>
      <w:r>
        <w:rPr>
          <w:spacing w:val="-11"/>
        </w:rPr>
        <w:t> </w:t>
      </w:r>
      <w:r>
        <w:rPr>
          <w:sz w:val="23"/>
        </w:rPr>
        <w:t>services</w:t>
      </w:r>
      <w:r>
        <w:rPr>
          <w:spacing w:val="-10"/>
          <w:sz w:val="23"/>
        </w:rPr>
        <w:t> </w:t>
      </w:r>
      <w:r>
        <w:rPr/>
        <w:t>in</w:t>
      </w:r>
      <w:r>
        <w:rPr>
          <w:spacing w:val="-13"/>
        </w:rPr>
        <w:t> </w:t>
      </w:r>
      <w:r>
        <w:rPr/>
        <w:t>times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>
          <w:sz w:val="23"/>
        </w:rPr>
        <w:t>health</w:t>
      </w:r>
      <w:r>
        <w:rPr>
          <w:spacing w:val="-12"/>
          <w:sz w:val="23"/>
        </w:rPr>
        <w:t> </w:t>
      </w:r>
      <w:r>
        <w:rPr>
          <w:sz w:val="23"/>
        </w:rPr>
        <w:t>challenges</w:t>
      </w:r>
      <w:r>
        <w:rPr/>
        <w:t>.</w:t>
      </w:r>
      <w:r>
        <w:rPr>
          <w:spacing w:val="-13"/>
        </w:rPr>
        <w:t> </w:t>
      </w:r>
      <w:r>
        <w:rPr/>
        <w:t>But</w:t>
      </w:r>
      <w:r>
        <w:rPr>
          <w:spacing w:val="-10"/>
        </w:rPr>
        <w:t> </w:t>
      </w:r>
      <w:r>
        <w:rPr/>
        <w:t>remittance,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pensions</w:t>
      </w:r>
      <w:r>
        <w:rPr>
          <w:spacing w:val="-57"/>
        </w:rPr>
        <w:t> </w:t>
      </w:r>
      <w:r>
        <w:rPr/>
        <w:t>were non-significant. On the other hand, incomes from investments/properties were negative but</w:t>
      </w:r>
      <w:r>
        <w:rPr>
          <w:spacing w:val="1"/>
        </w:rPr>
        <w:t> </w:t>
      </w:r>
      <w:r>
        <w:rPr>
          <w:spacing w:val="-1"/>
          <w:sz w:val="23"/>
        </w:rPr>
        <w:t>insignificant.</w:t>
      </w:r>
      <w:r>
        <w:rPr>
          <w:spacing w:val="-13"/>
          <w:sz w:val="23"/>
        </w:rPr>
        <w:t> </w:t>
      </w:r>
      <w:r>
        <w:rPr>
          <w:spacing w:val="-1"/>
          <w:sz w:val="23"/>
        </w:rPr>
        <w:t>In</w:t>
      </w:r>
      <w:r>
        <w:rPr>
          <w:spacing w:val="-15"/>
          <w:sz w:val="23"/>
        </w:rPr>
        <w:t> </w:t>
      </w:r>
      <w:r>
        <w:rPr>
          <w:spacing w:val="-1"/>
          <w:sz w:val="23"/>
        </w:rPr>
        <w:t>term</w:t>
      </w:r>
      <w:r>
        <w:rPr>
          <w:spacing w:val="-13"/>
          <w:sz w:val="23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effects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>
          <w:sz w:val="23"/>
        </w:rPr>
        <w:t>Gini-coefficient,</w:t>
      </w:r>
      <w:r>
        <w:rPr>
          <w:spacing w:val="-10"/>
          <w:sz w:val="23"/>
        </w:rPr>
        <w:t> </w:t>
      </w:r>
      <w:r>
        <w:rPr/>
        <w:t>the</w:t>
      </w:r>
      <w:r>
        <w:rPr>
          <w:spacing w:val="-14"/>
        </w:rPr>
        <w:t> </w:t>
      </w:r>
      <w:r>
        <w:rPr/>
        <w:t>estimated</w:t>
      </w:r>
      <w:r>
        <w:rPr>
          <w:spacing w:val="-15"/>
        </w:rPr>
        <w:t> </w:t>
      </w:r>
      <w:r>
        <w:rPr/>
        <w:t>effect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rising</w:t>
      </w:r>
      <w:r>
        <w:rPr>
          <w:spacing w:val="-17"/>
        </w:rPr>
        <w:t> </w:t>
      </w:r>
      <w:r>
        <w:rPr/>
        <w:t>income</w:t>
      </w:r>
      <w:r>
        <w:rPr>
          <w:spacing w:val="-15"/>
        </w:rPr>
        <w:t> </w:t>
      </w:r>
      <w:r>
        <w:rPr/>
        <w:t>disparity</w:t>
      </w:r>
      <w:r>
        <w:rPr>
          <w:spacing w:val="-57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also</w:t>
      </w:r>
      <w:r>
        <w:rPr>
          <w:spacing w:val="-14"/>
        </w:rPr>
        <w:t> </w:t>
      </w:r>
      <w:r>
        <w:rPr>
          <w:spacing w:val="-1"/>
        </w:rPr>
        <w:t>inverse</w:t>
      </w:r>
      <w:r>
        <w:rPr>
          <w:spacing w:val="-16"/>
        </w:rPr>
        <w:t> </w:t>
      </w:r>
      <w:r>
        <w:rPr/>
        <w:t>on</w:t>
      </w:r>
      <w:r>
        <w:rPr>
          <w:spacing w:val="-12"/>
        </w:rPr>
        <w:t> </w:t>
      </w:r>
      <w:r>
        <w:rPr>
          <w:sz w:val="23"/>
        </w:rPr>
        <w:t>orthodoxy</w:t>
      </w:r>
      <w:r>
        <w:rPr>
          <w:spacing w:val="-17"/>
          <w:sz w:val="23"/>
        </w:rPr>
        <w:t> </w:t>
      </w:r>
      <w:r>
        <w:rPr>
          <w:sz w:val="23"/>
        </w:rPr>
        <w:t>healthcare</w:t>
      </w:r>
      <w:r>
        <w:rPr>
          <w:spacing w:val="-9"/>
          <w:sz w:val="23"/>
        </w:rPr>
        <w:t> </w:t>
      </w:r>
      <w:r>
        <w:rPr/>
        <w:t>seeking</w:t>
      </w:r>
      <w:r>
        <w:rPr>
          <w:spacing w:val="-14"/>
        </w:rPr>
        <w:t> </w:t>
      </w:r>
      <w:r>
        <w:rPr/>
        <w:t>at</w:t>
      </w:r>
      <w:r>
        <w:rPr>
          <w:spacing w:val="-14"/>
        </w:rPr>
        <w:t> </w:t>
      </w:r>
      <w:r>
        <w:rPr>
          <w:sz w:val="23"/>
        </w:rPr>
        <w:t>5%</w:t>
      </w:r>
      <w:r>
        <w:rPr>
          <w:spacing w:val="-12"/>
          <w:sz w:val="23"/>
        </w:rPr>
        <w:t> </w:t>
      </w:r>
      <w:r>
        <w:rPr>
          <w:sz w:val="23"/>
        </w:rPr>
        <w:t>significant</w:t>
      </w:r>
      <w:r>
        <w:rPr>
          <w:spacing w:val="-14"/>
          <w:sz w:val="23"/>
        </w:rPr>
        <w:t> </w:t>
      </w:r>
      <w:r>
        <w:rPr>
          <w:sz w:val="23"/>
        </w:rPr>
        <w:t>level.</w:t>
      </w:r>
      <w:r>
        <w:rPr>
          <w:spacing w:val="-9"/>
          <w:sz w:val="23"/>
        </w:rPr>
        <w:t> </w:t>
      </w:r>
      <w:r>
        <w:rPr/>
        <w:t>Again,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overall</w:t>
      </w:r>
      <w:r>
        <w:rPr>
          <w:spacing w:val="-14"/>
        </w:rPr>
        <w:t> </w:t>
      </w:r>
      <w:r>
        <w:rPr/>
        <w:t>probability</w:t>
      </w:r>
      <w:r>
        <w:rPr>
          <w:spacing w:val="-58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the model, p&lt;</w:t>
      </w:r>
      <w:r>
        <w:rPr>
          <w:spacing w:val="-1"/>
        </w:rPr>
        <w:t> </w:t>
      </w:r>
      <w:r>
        <w:rPr/>
        <w:t>0.0001 indicate that the model</w:t>
      </w:r>
      <w:r>
        <w:rPr>
          <w:spacing w:val="-1"/>
        </w:rPr>
        <w:t> </w:t>
      </w:r>
      <w:r>
        <w:rPr/>
        <w:t>has a</w:t>
      </w:r>
      <w:r>
        <w:rPr>
          <w:spacing w:val="-2"/>
        </w:rPr>
        <w:t> </w:t>
      </w:r>
      <w:r>
        <w:rPr/>
        <w:t>strong</w:t>
      </w:r>
      <w:r>
        <w:rPr>
          <w:spacing w:val="-3"/>
        </w:rPr>
        <w:t> </w:t>
      </w:r>
      <w:r>
        <w:rPr/>
        <w:t>explaining</w:t>
      </w:r>
      <w:r>
        <w:rPr>
          <w:spacing w:val="-2"/>
        </w:rPr>
        <w:t> </w:t>
      </w:r>
      <w:r>
        <w:rPr/>
        <w:t>power.</w:t>
      </w:r>
    </w:p>
    <w:p>
      <w:pPr>
        <w:pStyle w:val="BodyText"/>
        <w:spacing w:line="357" w:lineRule="auto" w:before="117"/>
        <w:ind w:left="120" w:right="116"/>
        <w:jc w:val="both"/>
      </w:pPr>
      <w:r>
        <w:rPr/>
        <w:t>The heterogeneity of the NGHPS Wave II’s estimations were also tested with BPLM as reported</w:t>
      </w:r>
      <w:r>
        <w:rPr>
          <w:spacing w:val="1"/>
        </w:rPr>
        <w:t> </w:t>
      </w:r>
      <w:r>
        <w:rPr/>
        <w:t>in Table 5.28. The high chi-squared and low-probability value is an indication that the model is</w:t>
      </w:r>
      <w:r>
        <w:rPr>
          <w:spacing w:val="1"/>
        </w:rPr>
        <w:t> </w:t>
      </w:r>
      <w:r>
        <w:rPr/>
        <w:t>heterogeneous. Thus, the thesis rejects the </w:t>
      </w:r>
      <w:r>
        <w:rPr>
          <w:i/>
          <w:sz w:val="25"/>
        </w:rPr>
        <w:t>H</w:t>
      </w:r>
      <w:r>
        <w:rPr>
          <w:i/>
          <w:sz w:val="25"/>
          <w:vertAlign w:val="subscript"/>
        </w:rPr>
        <w:t>o</w:t>
      </w:r>
      <w:r>
        <w:rPr>
          <w:i/>
          <w:sz w:val="25"/>
          <w:vertAlign w:val="baseline"/>
        </w:rPr>
        <w:t> </w:t>
      </w:r>
      <w:r>
        <w:rPr>
          <w:vertAlign w:val="baseline"/>
        </w:rPr>
        <w:t>of homoskedasticity. That is, POLS is statistically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insignificant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to explain health-seeking</w:t>
      </w:r>
      <w:r>
        <w:rPr>
          <w:spacing w:val="-3"/>
          <w:vertAlign w:val="baseline"/>
        </w:rPr>
        <w:t> </w:t>
      </w:r>
      <w:r>
        <w:rPr>
          <w:vertAlign w:val="baseline"/>
        </w:rPr>
        <w:t>behavior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households in Nigeria.</w:t>
      </w:r>
    </w:p>
    <w:p>
      <w:pPr>
        <w:pStyle w:val="Heading4"/>
        <w:spacing w:before="142" w:after="4"/>
        <w:ind w:left="120"/>
      </w:pPr>
      <w:r>
        <w:rPr/>
        <w:t>Table</w:t>
      </w:r>
      <w:r>
        <w:rPr>
          <w:spacing w:val="-2"/>
        </w:rPr>
        <w:t> </w:t>
      </w:r>
      <w:r>
        <w:rPr/>
        <w:t>5.28</w:t>
      </w:r>
      <w:r>
        <w:rPr>
          <w:spacing w:val="-2"/>
        </w:rPr>
        <w:t> </w:t>
      </w:r>
      <w:r>
        <w:rPr/>
        <w:t>Homogeneity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 from</w:t>
      </w:r>
      <w:r>
        <w:rPr>
          <w:spacing w:val="-2"/>
        </w:rPr>
        <w:t> </w:t>
      </w:r>
      <w:r>
        <w:rPr/>
        <w:t>NGHPS</w:t>
      </w:r>
      <w:r>
        <w:rPr>
          <w:spacing w:val="-1"/>
        </w:rPr>
        <w:t> </w:t>
      </w:r>
      <w:r>
        <w:rPr/>
        <w:t>Wave</w:t>
      </w:r>
      <w:r>
        <w:rPr>
          <w:spacing w:val="-2"/>
        </w:rPr>
        <w:t> </w:t>
      </w:r>
      <w:r>
        <w:rPr/>
        <w:t>II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1532"/>
        <w:gridCol w:w="6385"/>
      </w:tblGrid>
      <w:tr>
        <w:trPr>
          <w:trHeight w:val="316" w:hRule="atLeast"/>
        </w:trPr>
        <w:tc>
          <w:tcPr>
            <w:tcW w:w="1435" w:type="dxa"/>
          </w:tcPr>
          <w:p>
            <w:pPr>
              <w:pStyle w:val="TableParagraph"/>
              <w:spacing w:before="4"/>
              <w:ind w:left="209" w:right="20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rFonts w:ascii="Cambria Math" w:hAnsi="Cambria Math" w:eastAsia="Cambria Math"/>
                <w:w w:val="105"/>
                <w:sz w:val="22"/>
              </w:rPr>
              <w:t>𝐶ℎ𝑖</w:t>
            </w:r>
            <w:r>
              <w:rPr>
                <w:rFonts w:ascii="Cambria Math" w:hAnsi="Cambria Math" w:eastAsia="Cambria Math"/>
                <w:w w:val="105"/>
                <w:sz w:val="22"/>
                <w:vertAlign w:val="superscript"/>
              </w:rPr>
              <w:t>2</w:t>
            </w:r>
          </w:p>
        </w:tc>
        <w:tc>
          <w:tcPr>
            <w:tcW w:w="1532" w:type="dxa"/>
          </w:tcPr>
          <w:p>
            <w:pPr>
              <w:pStyle w:val="TableParagraph"/>
              <w:spacing w:line="247" w:lineRule="exact"/>
              <w:ind w:left="242" w:right="237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Probability</w:t>
            </w:r>
          </w:p>
        </w:tc>
        <w:tc>
          <w:tcPr>
            <w:tcW w:w="6385" w:type="dxa"/>
          </w:tcPr>
          <w:p>
            <w:pPr>
              <w:pStyle w:val="TableParagraph"/>
              <w:spacing w:line="270" w:lineRule="exact"/>
              <w:ind w:left="2794" w:right="279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Remark</w:t>
            </w:r>
          </w:p>
        </w:tc>
      </w:tr>
      <w:tr>
        <w:trPr>
          <w:trHeight w:val="323" w:hRule="atLeast"/>
        </w:trPr>
        <w:tc>
          <w:tcPr>
            <w:tcW w:w="1435" w:type="dxa"/>
          </w:tcPr>
          <w:p>
            <w:pPr>
              <w:pStyle w:val="TableParagraph"/>
              <w:spacing w:line="270" w:lineRule="exact"/>
              <w:ind w:left="217" w:right="20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1,704.60</w:t>
            </w:r>
          </w:p>
        </w:tc>
        <w:tc>
          <w:tcPr>
            <w:tcW w:w="1532" w:type="dxa"/>
          </w:tcPr>
          <w:p>
            <w:pPr>
              <w:pStyle w:val="TableParagraph"/>
              <w:spacing w:line="270" w:lineRule="exact"/>
              <w:ind w:left="242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0.0000</w:t>
            </w:r>
          </w:p>
        </w:tc>
        <w:tc>
          <w:tcPr>
            <w:tcW w:w="6385" w:type="dxa"/>
          </w:tcPr>
          <w:p>
            <w:pPr>
              <w:pStyle w:val="TableParagraph"/>
              <w:spacing w:line="304" w:lineRule="exact"/>
              <w:ind w:left="105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Times New Roman" w:eastAsia="Times New Roman"/>
                <w:sz w:val="22"/>
              </w:rPr>
              <w:t>Since</w:t>
            </w:r>
            <w:r>
              <w:rPr>
                <w:rFonts w:ascii="Times New Roman" w:eastAsia="Times New Roman"/>
                <w:spacing w:val="-2"/>
                <w:sz w:val="22"/>
              </w:rPr>
              <w:t> </w:t>
            </w:r>
            <w:r>
              <w:rPr>
                <w:rFonts w:ascii="Cambria Math" w:eastAsia="Cambria Math"/>
                <w:sz w:val="24"/>
              </w:rPr>
              <w:t>𝑝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&lt;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0.0000</w:t>
            </w:r>
            <w:r>
              <w:rPr>
                <w:rFonts w:ascii="Cambria Math" w:eastAsia="Cambria Math"/>
                <w:spacing w:val="11"/>
                <w:sz w:val="24"/>
              </w:rPr>
              <w:t> </w:t>
            </w:r>
            <w:r>
              <w:rPr>
                <w:rFonts w:ascii="Times New Roman" w:eastAsia="Times New Roman"/>
                <w:sz w:val="22"/>
              </w:rPr>
              <w:t>is</w:t>
            </w:r>
            <w:r>
              <w:rPr>
                <w:rFonts w:ascii="Times New Roman" w:eastAsia="Times New Roman"/>
                <w:spacing w:val="-2"/>
                <w:sz w:val="22"/>
              </w:rPr>
              <w:t> </w:t>
            </w:r>
            <w:r>
              <w:rPr>
                <w:rFonts w:ascii="Times New Roman" w:eastAsia="Times New Roman"/>
                <w:i/>
                <w:sz w:val="22"/>
              </w:rPr>
              <w:t>below</w:t>
            </w:r>
            <w:r>
              <w:rPr>
                <w:rFonts w:ascii="Times New Roman" w:eastAsia="Times New Roman"/>
                <w:i/>
                <w:spacing w:val="-1"/>
                <w:sz w:val="22"/>
              </w:rPr>
              <w:t> </w:t>
            </w:r>
            <w:r>
              <w:rPr>
                <w:rFonts w:ascii="Times New Roman" w:eastAsia="Times New Roman"/>
                <w:sz w:val="22"/>
              </w:rPr>
              <w:t>the</w:t>
            </w:r>
            <w:r>
              <w:rPr>
                <w:rFonts w:ascii="Times New Roman" w:eastAsia="Times New Roman"/>
                <w:spacing w:val="-2"/>
                <w:sz w:val="22"/>
              </w:rPr>
              <w:t> </w:t>
            </w:r>
            <w:r>
              <w:rPr>
                <w:rFonts w:ascii="Times New Roman" w:eastAsia="Times New Roman"/>
                <w:sz w:val="22"/>
              </w:rPr>
              <w:t>threshold of 1% level. Rejects </w:t>
            </w:r>
            <w:r>
              <w:rPr>
                <w:rFonts w:ascii="Cambria Math" w:eastAsia="Cambria Math"/>
                <w:sz w:val="22"/>
              </w:rPr>
              <w:t>H</w:t>
            </w:r>
            <w:r>
              <w:rPr>
                <w:rFonts w:ascii="Cambria Math" w:eastAsia="Cambria Math"/>
                <w:position w:val="-4"/>
                <w:sz w:val="16"/>
              </w:rPr>
              <w:t>o</w:t>
            </w:r>
            <w:r>
              <w:rPr>
                <w:rFonts w:ascii="Cambria Math" w:eastAsia="Cambria Math"/>
                <w:sz w:val="22"/>
              </w:rPr>
              <w:t>.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Researcher’s</w:t>
      </w:r>
      <w:r>
        <w:rPr>
          <w:spacing w:val="-3"/>
          <w:sz w:val="20"/>
        </w:rPr>
        <w:t> </w:t>
      </w:r>
      <w:r>
        <w:rPr>
          <w:sz w:val="20"/>
        </w:rPr>
        <w:t>Preparation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Stata</w:t>
      </w:r>
      <w:r>
        <w:rPr>
          <w:spacing w:val="-2"/>
          <w:sz w:val="20"/>
        </w:rPr>
        <w:t> </w:t>
      </w:r>
      <w:r>
        <w:rPr>
          <w:sz w:val="20"/>
        </w:rPr>
        <w:t>13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120" w:right="117"/>
        <w:jc w:val="both"/>
      </w:pPr>
      <w:r>
        <w:rPr/>
        <w:t>This led to the Hausman specification test for NGHPS Wave II dataset, to specify the appropriate</w:t>
      </w:r>
      <w:r>
        <w:rPr>
          <w:spacing w:val="-57"/>
        </w:rPr>
        <w:t> </w:t>
      </w:r>
      <w:r>
        <w:rPr/>
        <w:t>model</w:t>
      </w:r>
      <w:r>
        <w:rPr>
          <w:spacing w:val="10"/>
        </w:rPr>
        <w:t> </w:t>
      </w:r>
      <w:r>
        <w:rPr/>
        <w:t>between</w:t>
      </w:r>
      <w:r>
        <w:rPr>
          <w:spacing w:val="13"/>
        </w:rPr>
        <w:t> </w:t>
      </w:r>
      <w:r>
        <w:rPr/>
        <w:t>FE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RE.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reported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Table</w:t>
      </w:r>
      <w:r>
        <w:rPr>
          <w:spacing w:val="10"/>
        </w:rPr>
        <w:t> </w:t>
      </w:r>
      <w:r>
        <w:rPr/>
        <w:t>5.29.</w:t>
      </w:r>
      <w:r>
        <w:rPr>
          <w:spacing w:val="11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results,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high</w:t>
      </w:r>
      <w:r>
        <w:rPr>
          <w:spacing w:val="11"/>
        </w:rPr>
        <w:t> </w:t>
      </w:r>
      <w:r>
        <w:rPr/>
        <w:t>p-value</w:t>
      </w:r>
      <w:r>
        <w:rPr>
          <w:spacing w:val="10"/>
        </w:rPr>
        <w:t> </w:t>
      </w:r>
      <w:r>
        <w:rPr/>
        <w:t>of</w:t>
      </w:r>
    </w:p>
    <w:p>
      <w:pPr>
        <w:spacing w:line="360" w:lineRule="auto" w:before="0"/>
        <w:ind w:left="120" w:right="114" w:firstLine="0"/>
        <w:jc w:val="both"/>
        <w:rPr>
          <w:sz w:val="24"/>
        </w:rPr>
      </w:pPr>
      <w:r>
        <w:rPr>
          <w:spacing w:val="-1"/>
          <w:sz w:val="24"/>
        </w:rPr>
        <w:t>0.93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(or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93%),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which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greater</w:t>
      </w:r>
      <w:r>
        <w:rPr>
          <w:spacing w:val="-13"/>
          <w:sz w:val="24"/>
        </w:rPr>
        <w:t> </w:t>
      </w:r>
      <w:r>
        <w:rPr>
          <w:sz w:val="24"/>
        </w:rPr>
        <w:t>than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threshold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10%,</w:t>
      </w:r>
      <w:r>
        <w:rPr>
          <w:spacing w:val="-12"/>
          <w:sz w:val="24"/>
        </w:rPr>
        <w:t> </w:t>
      </w:r>
      <w:r>
        <w:rPr>
          <w:sz w:val="24"/>
        </w:rPr>
        <w:t>is</w:t>
      </w:r>
      <w:r>
        <w:rPr>
          <w:spacing w:val="-12"/>
          <w:sz w:val="24"/>
        </w:rPr>
        <w:t> </w:t>
      </w:r>
      <w:r>
        <w:rPr>
          <w:sz w:val="24"/>
        </w:rPr>
        <w:t>an</w:t>
      </w:r>
      <w:r>
        <w:rPr>
          <w:spacing w:val="-12"/>
          <w:sz w:val="24"/>
        </w:rPr>
        <w:t> </w:t>
      </w:r>
      <w:r>
        <w:rPr>
          <w:sz w:val="24"/>
        </w:rPr>
        <w:t>indication</w:t>
      </w:r>
      <w:r>
        <w:rPr>
          <w:spacing w:val="-12"/>
          <w:sz w:val="24"/>
        </w:rPr>
        <w:t> </w:t>
      </w:r>
      <w:r>
        <w:rPr>
          <w:sz w:val="24"/>
        </w:rPr>
        <w:t>that</w:t>
      </w:r>
      <w:r>
        <w:rPr>
          <w:spacing w:val="-12"/>
          <w:sz w:val="24"/>
        </w:rPr>
        <w:t> </w:t>
      </w:r>
      <w:r>
        <w:rPr>
          <w:sz w:val="24"/>
        </w:rPr>
        <w:t>RE</w:t>
      </w:r>
      <w:r>
        <w:rPr>
          <w:spacing w:val="-15"/>
          <w:sz w:val="24"/>
        </w:rPr>
        <w:t> </w:t>
      </w:r>
      <w:r>
        <w:rPr>
          <w:sz w:val="24"/>
        </w:rPr>
        <w:t>is</w:t>
      </w:r>
      <w:r>
        <w:rPr>
          <w:spacing w:val="-12"/>
          <w:sz w:val="24"/>
        </w:rPr>
        <w:t> </w:t>
      </w:r>
      <w:r>
        <w:rPr>
          <w:sz w:val="24"/>
        </w:rPr>
        <w:t>more</w:t>
      </w:r>
      <w:r>
        <w:rPr>
          <w:spacing w:val="-13"/>
          <w:sz w:val="24"/>
        </w:rPr>
        <w:t> </w:t>
      </w:r>
      <w:r>
        <w:rPr>
          <w:sz w:val="24"/>
        </w:rPr>
        <w:t>efficient,</w:t>
      </w:r>
      <w:r>
        <w:rPr>
          <w:spacing w:val="-57"/>
          <w:sz w:val="24"/>
        </w:rPr>
        <w:t> </w:t>
      </w:r>
      <w:r>
        <w:rPr>
          <w:spacing w:val="-1"/>
          <w:sz w:val="23"/>
        </w:rPr>
        <w:t>appropriate</w:t>
      </w:r>
      <w:r>
        <w:rPr>
          <w:spacing w:val="-10"/>
          <w:sz w:val="23"/>
        </w:rPr>
        <w:t> </w:t>
      </w:r>
      <w:r>
        <w:rPr>
          <w:spacing w:val="-1"/>
          <w:sz w:val="23"/>
        </w:rPr>
        <w:t>and</w:t>
      </w:r>
      <w:r>
        <w:rPr>
          <w:spacing w:val="-13"/>
          <w:sz w:val="23"/>
        </w:rPr>
        <w:t> </w:t>
      </w:r>
      <w:r>
        <w:rPr>
          <w:spacing w:val="-1"/>
          <w:sz w:val="24"/>
        </w:rPr>
        <w:t>consistent,</w:t>
      </w:r>
      <w:r>
        <w:rPr>
          <w:spacing w:val="-12"/>
          <w:sz w:val="24"/>
        </w:rPr>
        <w:t> </w:t>
      </w:r>
      <w:r>
        <w:rPr>
          <w:sz w:val="23"/>
        </w:rPr>
        <w:t>whereas</w:t>
      </w:r>
      <w:r>
        <w:rPr>
          <w:spacing w:val="-13"/>
          <w:sz w:val="23"/>
        </w:rPr>
        <w:t> </w:t>
      </w:r>
      <w:r>
        <w:rPr>
          <w:sz w:val="23"/>
        </w:rPr>
        <w:t>FE</w:t>
      </w:r>
      <w:r>
        <w:rPr>
          <w:spacing w:val="-10"/>
          <w:sz w:val="23"/>
        </w:rPr>
        <w:t> </w:t>
      </w:r>
      <w:r>
        <w:rPr>
          <w:sz w:val="23"/>
        </w:rPr>
        <w:t>model</w:t>
      </w:r>
      <w:r>
        <w:rPr>
          <w:spacing w:val="-12"/>
          <w:sz w:val="23"/>
        </w:rPr>
        <w:t> </w:t>
      </w:r>
      <w:r>
        <w:rPr>
          <w:sz w:val="23"/>
        </w:rPr>
        <w:t>is</w:t>
      </w:r>
      <w:r>
        <w:rPr>
          <w:spacing w:val="-11"/>
          <w:sz w:val="23"/>
        </w:rPr>
        <w:t> </w:t>
      </w:r>
      <w:r>
        <w:rPr>
          <w:sz w:val="23"/>
        </w:rPr>
        <w:t>non-consistent.</w:t>
      </w:r>
      <w:r>
        <w:rPr>
          <w:spacing w:val="-9"/>
          <w:sz w:val="23"/>
        </w:rPr>
        <w:t> </w:t>
      </w:r>
      <w:r>
        <w:rPr>
          <w:sz w:val="23"/>
        </w:rPr>
        <w:t>Clearly,</w:t>
      </w:r>
      <w:r>
        <w:rPr>
          <w:spacing w:val="-10"/>
          <w:sz w:val="23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3"/>
        </w:rPr>
        <w:t>RE</w:t>
      </w:r>
      <w:r>
        <w:rPr>
          <w:spacing w:val="-9"/>
          <w:sz w:val="23"/>
        </w:rPr>
        <w:t> </w:t>
      </w:r>
      <w:r>
        <w:rPr>
          <w:sz w:val="24"/>
        </w:rPr>
        <w:t>estimates</w:t>
      </w:r>
      <w:r>
        <w:rPr>
          <w:spacing w:val="-12"/>
          <w:sz w:val="24"/>
        </w:rPr>
        <w:t> </w:t>
      </w:r>
      <w:r>
        <w:rPr>
          <w:sz w:val="23"/>
        </w:rPr>
        <w:t>from</w:t>
      </w:r>
      <w:r>
        <w:rPr>
          <w:spacing w:val="-10"/>
          <w:sz w:val="23"/>
        </w:rPr>
        <w:t> </w:t>
      </w:r>
      <w:r>
        <w:rPr>
          <w:sz w:val="23"/>
        </w:rPr>
        <w:t>Wave</w:t>
      </w:r>
      <w:r>
        <w:rPr>
          <w:spacing w:val="-55"/>
          <w:sz w:val="23"/>
        </w:rPr>
        <w:t> </w:t>
      </w:r>
      <w:r>
        <w:rPr>
          <w:sz w:val="23"/>
        </w:rPr>
        <w:t>II </w:t>
      </w:r>
      <w:r>
        <w:rPr>
          <w:sz w:val="24"/>
        </w:rPr>
        <w:t>supported the full </w:t>
      </w:r>
      <w:r>
        <w:rPr>
          <w:sz w:val="23"/>
        </w:rPr>
        <w:t>estimations. </w:t>
      </w:r>
      <w:r>
        <w:rPr>
          <w:sz w:val="24"/>
        </w:rPr>
        <w:t>This further suggest that FE results in Table 5.19 are statistically</w:t>
      </w:r>
      <w:r>
        <w:rPr>
          <w:spacing w:val="-57"/>
          <w:sz w:val="24"/>
        </w:rPr>
        <w:t> </w:t>
      </w:r>
      <w:r>
        <w:rPr>
          <w:sz w:val="24"/>
        </w:rPr>
        <w:t>robust.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is,</w:t>
      </w:r>
      <w:r>
        <w:rPr>
          <w:spacing w:val="-3"/>
          <w:sz w:val="24"/>
        </w:rPr>
        <w:t> </w:t>
      </w:r>
      <w:r>
        <w:rPr>
          <w:sz w:val="24"/>
        </w:rPr>
        <w:t>income</w:t>
      </w:r>
      <w:r>
        <w:rPr>
          <w:spacing w:val="-4"/>
          <w:sz w:val="24"/>
        </w:rPr>
        <w:t> </w:t>
      </w:r>
      <w:r>
        <w:rPr>
          <w:sz w:val="24"/>
        </w:rPr>
        <w:t>disparity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detrimental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seek</w:t>
      </w:r>
      <w:r>
        <w:rPr>
          <w:spacing w:val="-3"/>
          <w:sz w:val="24"/>
        </w:rPr>
        <w:t> </w:t>
      </w:r>
      <w:r>
        <w:rPr>
          <w:sz w:val="24"/>
        </w:rPr>
        <w:t>appropriate</w:t>
      </w:r>
      <w:r>
        <w:rPr>
          <w:spacing w:val="-4"/>
          <w:sz w:val="24"/>
        </w:rPr>
        <w:t> </w:t>
      </w:r>
      <w:r>
        <w:rPr>
          <w:sz w:val="24"/>
        </w:rPr>
        <w:t>health</w:t>
      </w:r>
      <w:r>
        <w:rPr>
          <w:spacing w:val="-4"/>
          <w:sz w:val="24"/>
        </w:rPr>
        <w:t> </w:t>
      </w:r>
      <w:r>
        <w:rPr>
          <w:sz w:val="24"/>
        </w:rPr>
        <w:t>care</w:t>
      </w:r>
      <w:r>
        <w:rPr>
          <w:spacing w:val="-5"/>
          <w:sz w:val="24"/>
        </w:rPr>
        <w:t> </w:t>
      </w:r>
      <w:r>
        <w:rPr>
          <w:sz w:val="24"/>
        </w:rPr>
        <w:t>services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Nigeria.</w:t>
      </w:r>
    </w:p>
    <w:p>
      <w:pPr>
        <w:pStyle w:val="Heading4"/>
        <w:spacing w:before="118" w:after="4"/>
        <w:ind w:left="120"/>
      </w:pPr>
      <w:r>
        <w:rPr/>
        <w:t>Table</w:t>
      </w:r>
      <w:r>
        <w:rPr>
          <w:spacing w:val="-2"/>
        </w:rPr>
        <w:t> </w:t>
      </w:r>
      <w:r>
        <w:rPr/>
        <w:t>5.29: Hausman</w:t>
      </w:r>
      <w:r>
        <w:rPr>
          <w:spacing w:val="-1"/>
        </w:rPr>
        <w:t> </w:t>
      </w:r>
      <w:r>
        <w:rPr/>
        <w:t>Test Results from</w:t>
      </w:r>
      <w:r>
        <w:rPr>
          <w:spacing w:val="-3"/>
        </w:rPr>
        <w:t> </w:t>
      </w:r>
      <w:r>
        <w:rPr/>
        <w:t>NGHPS</w:t>
      </w:r>
      <w:r>
        <w:rPr>
          <w:spacing w:val="1"/>
        </w:rPr>
        <w:t> </w:t>
      </w:r>
      <w:r>
        <w:rPr/>
        <w:t>Wave</w:t>
      </w:r>
      <w:r>
        <w:rPr>
          <w:spacing w:val="-1"/>
        </w:rPr>
        <w:t> </w:t>
      </w:r>
      <w:r>
        <w:rPr/>
        <w:t>II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4"/>
        <w:gridCol w:w="1978"/>
        <w:gridCol w:w="3080"/>
      </w:tblGrid>
      <w:tr>
        <w:trPr>
          <w:trHeight w:val="290" w:hRule="atLeast"/>
        </w:trPr>
        <w:tc>
          <w:tcPr>
            <w:tcW w:w="4124" w:type="dxa"/>
          </w:tcPr>
          <w:p>
            <w:pPr>
              <w:pStyle w:val="TableParagraph"/>
              <w:spacing w:line="247" w:lineRule="exact"/>
              <w:ind w:left="1068" w:right="1058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Chi-squared</w:t>
            </w:r>
            <w:r>
              <w:rPr>
                <w:rFonts w:asci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Statistics</w:t>
            </w:r>
          </w:p>
        </w:tc>
        <w:tc>
          <w:tcPr>
            <w:tcW w:w="1978" w:type="dxa"/>
          </w:tcPr>
          <w:p>
            <w:pPr>
              <w:pStyle w:val="TableParagraph"/>
              <w:spacing w:line="247" w:lineRule="exact"/>
              <w:ind w:left="199" w:right="189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Probability</w:t>
            </w:r>
          </w:p>
        </w:tc>
        <w:tc>
          <w:tcPr>
            <w:tcW w:w="3080" w:type="dxa"/>
          </w:tcPr>
          <w:p>
            <w:pPr>
              <w:pStyle w:val="TableParagraph"/>
              <w:spacing w:line="247" w:lineRule="exact"/>
              <w:ind w:left="796" w:right="787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Model</w:t>
            </w:r>
            <w:r>
              <w:rPr>
                <w:rFonts w:ascii="Times New Roman"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Indicated</w:t>
            </w:r>
          </w:p>
        </w:tc>
      </w:tr>
      <w:tr>
        <w:trPr>
          <w:trHeight w:val="292" w:hRule="atLeast"/>
        </w:trPr>
        <w:tc>
          <w:tcPr>
            <w:tcW w:w="4124" w:type="dxa"/>
          </w:tcPr>
          <w:p>
            <w:pPr>
              <w:pStyle w:val="TableParagraph"/>
              <w:spacing w:line="247" w:lineRule="exact"/>
              <w:ind w:left="1068" w:right="105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13.80</w:t>
            </w:r>
          </w:p>
        </w:tc>
        <w:tc>
          <w:tcPr>
            <w:tcW w:w="1978" w:type="dxa"/>
          </w:tcPr>
          <w:p>
            <w:pPr>
              <w:pStyle w:val="TableParagraph"/>
              <w:spacing w:line="247" w:lineRule="exact"/>
              <w:ind w:left="199" w:right="18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0.9310</w:t>
            </w:r>
          </w:p>
        </w:tc>
        <w:tc>
          <w:tcPr>
            <w:tcW w:w="3080" w:type="dxa"/>
          </w:tcPr>
          <w:p>
            <w:pPr>
              <w:pStyle w:val="TableParagraph"/>
              <w:spacing w:line="247" w:lineRule="exact"/>
              <w:ind w:left="796" w:right="78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RE Model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Researcher’s</w:t>
      </w:r>
      <w:r>
        <w:rPr>
          <w:spacing w:val="-3"/>
          <w:sz w:val="20"/>
        </w:rPr>
        <w:t> </w:t>
      </w:r>
      <w:r>
        <w:rPr>
          <w:sz w:val="20"/>
        </w:rPr>
        <w:t>Preparation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Stata</w:t>
      </w:r>
      <w:r>
        <w:rPr>
          <w:spacing w:val="-2"/>
          <w:sz w:val="20"/>
        </w:rPr>
        <w:t> </w:t>
      </w:r>
      <w:r>
        <w:rPr>
          <w:sz w:val="20"/>
        </w:rPr>
        <w:t>13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60" w:lineRule="auto"/>
        <w:ind w:left="120" w:right="115"/>
        <w:jc w:val="both"/>
      </w:pPr>
      <w:r>
        <w:rPr/>
        <w:t>Another robustness check is the estimates of the NGHPS Wave III as presented in Table 5.30. It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-13"/>
        </w:rPr>
        <w:t> </w:t>
      </w:r>
      <w:r>
        <w:rPr>
          <w:spacing w:val="-1"/>
          <w:sz w:val="23"/>
        </w:rPr>
        <w:t>also</w:t>
      </w:r>
      <w:r>
        <w:rPr>
          <w:spacing w:val="-13"/>
          <w:sz w:val="23"/>
        </w:rPr>
        <w:t> </w:t>
      </w:r>
      <w:r>
        <w:rPr>
          <w:spacing w:val="-1"/>
          <w:sz w:val="23"/>
        </w:rPr>
        <w:t>revealed</w:t>
      </w:r>
      <w:r>
        <w:rPr>
          <w:spacing w:val="-9"/>
          <w:sz w:val="23"/>
        </w:rPr>
        <w:t> </w:t>
      </w:r>
      <w:r>
        <w:rPr/>
        <w:t>that</w:t>
      </w:r>
      <w:r>
        <w:rPr>
          <w:spacing w:val="-13"/>
        </w:rPr>
        <w:t> </w:t>
      </w:r>
      <w:r>
        <w:rPr/>
        <w:t>various</w:t>
      </w:r>
      <w:r>
        <w:rPr>
          <w:spacing w:val="-12"/>
        </w:rPr>
        <w:t> </w:t>
      </w:r>
      <w:r>
        <w:rPr>
          <w:sz w:val="23"/>
        </w:rPr>
        <w:t>household’s</w:t>
      </w:r>
      <w:r>
        <w:rPr>
          <w:spacing w:val="-14"/>
          <w:sz w:val="23"/>
        </w:rPr>
        <w:t> </w:t>
      </w:r>
      <w:r>
        <w:rPr>
          <w:sz w:val="23"/>
        </w:rPr>
        <w:t>characteristics,</w:t>
      </w:r>
      <w:r>
        <w:rPr>
          <w:spacing w:val="-13"/>
          <w:sz w:val="23"/>
        </w:rPr>
        <w:t> </w:t>
      </w:r>
      <w:r>
        <w:rPr/>
        <w:t>such</w:t>
      </w:r>
      <w:r>
        <w:rPr>
          <w:spacing w:val="-12"/>
        </w:rPr>
        <w:t> </w:t>
      </w:r>
      <w:r>
        <w:rPr/>
        <w:t>as,</w:t>
      </w:r>
      <w:r>
        <w:rPr>
          <w:spacing w:val="-13"/>
        </w:rPr>
        <w:t> </w:t>
      </w:r>
      <w:r>
        <w:rPr/>
        <w:t>more</w:t>
      </w:r>
      <w:r>
        <w:rPr>
          <w:spacing w:val="-14"/>
        </w:rPr>
        <w:t> </w:t>
      </w:r>
      <w:r>
        <w:rPr/>
        <w:t>family</w:t>
      </w:r>
      <w:r>
        <w:rPr>
          <w:spacing w:val="-15"/>
        </w:rPr>
        <w:t> </w:t>
      </w:r>
      <w:r>
        <w:rPr/>
        <w:t>size,</w:t>
      </w:r>
      <w:r>
        <w:rPr>
          <w:spacing w:val="-12"/>
        </w:rPr>
        <w:t> </w:t>
      </w:r>
      <w:r>
        <w:rPr/>
        <w:t>low</w:t>
      </w:r>
      <w:r>
        <w:rPr>
          <w:spacing w:val="-13"/>
        </w:rPr>
        <w:t> </w:t>
      </w:r>
      <w:r>
        <w:rPr>
          <w:sz w:val="23"/>
        </w:rPr>
        <w:t>educational</w:t>
      </w:r>
      <w:r>
        <w:rPr>
          <w:spacing w:val="-55"/>
          <w:sz w:val="23"/>
        </w:rPr>
        <w:t> </w:t>
      </w:r>
      <w:r>
        <w:rPr/>
        <w:t>qualification,</w:t>
      </w:r>
      <w:r>
        <w:rPr>
          <w:spacing w:val="-12"/>
        </w:rPr>
        <w:t> </w:t>
      </w:r>
      <w:r>
        <w:rPr/>
        <w:t>gender</w:t>
      </w:r>
      <w:r>
        <w:rPr>
          <w:spacing w:val="-12"/>
        </w:rPr>
        <w:t> </w:t>
      </w:r>
      <w:r>
        <w:rPr/>
        <w:t>differences,</w:t>
      </w:r>
      <w:r>
        <w:rPr>
          <w:spacing w:val="-11"/>
        </w:rPr>
        <w:t> </w:t>
      </w:r>
      <w:r>
        <w:rPr/>
        <w:t>never</w:t>
      </w:r>
      <w:r>
        <w:rPr>
          <w:spacing w:val="-12"/>
        </w:rPr>
        <w:t> </w:t>
      </w:r>
      <w:r>
        <w:rPr/>
        <w:t>married,</w:t>
      </w:r>
      <w:r>
        <w:rPr>
          <w:spacing w:val="-12"/>
        </w:rPr>
        <w:t> </w:t>
      </w:r>
      <w:r>
        <w:rPr/>
        <w:t>in-cohabitation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couples,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low</w:t>
      </w:r>
      <w:r>
        <w:rPr>
          <w:spacing w:val="-11"/>
        </w:rPr>
        <w:t> </w:t>
      </w:r>
      <w:r>
        <w:rPr/>
        <w:t>incomes</w:t>
      </w:r>
      <w:r>
        <w:rPr>
          <w:spacing w:val="-11"/>
        </w:rPr>
        <w:t> </w:t>
      </w:r>
      <w:r>
        <w:rPr/>
        <w:t>were</w:t>
      </w:r>
      <w:r>
        <w:rPr>
          <w:spacing w:val="-58"/>
        </w:rPr>
        <w:t> </w:t>
      </w:r>
      <w:r>
        <w:rPr/>
        <w:t>mediating</w:t>
      </w:r>
      <w:r>
        <w:rPr>
          <w:spacing w:val="-13"/>
        </w:rPr>
        <w:t> </w:t>
      </w:r>
      <w:r>
        <w:rPr/>
        <w:t>factors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income</w:t>
      </w:r>
      <w:r>
        <w:rPr>
          <w:spacing w:val="-14"/>
        </w:rPr>
        <w:t> </w:t>
      </w:r>
      <w:r>
        <w:rPr/>
        <w:t>inequality-seeking</w:t>
      </w:r>
      <w:r>
        <w:rPr>
          <w:spacing w:val="-13"/>
        </w:rPr>
        <w:t> </w:t>
      </w:r>
      <w:r>
        <w:rPr>
          <w:sz w:val="23"/>
        </w:rPr>
        <w:t>inappropriate</w:t>
      </w:r>
      <w:r>
        <w:rPr>
          <w:spacing w:val="-9"/>
          <w:sz w:val="23"/>
        </w:rPr>
        <w:t> </w:t>
      </w:r>
      <w:r>
        <w:rPr/>
        <w:t>medical-care</w:t>
      </w:r>
      <w:r>
        <w:rPr>
          <w:spacing w:val="-14"/>
        </w:rPr>
        <w:t> </w:t>
      </w:r>
      <w:r>
        <w:rPr/>
        <w:t>services</w:t>
      </w:r>
      <w:r>
        <w:rPr>
          <w:spacing w:val="-9"/>
        </w:rPr>
        <w:t> </w:t>
      </w:r>
      <w:r>
        <w:rPr/>
        <w:t>in</w:t>
      </w:r>
      <w:r>
        <w:rPr>
          <w:spacing w:val="-13"/>
        </w:rPr>
        <w:t> </w:t>
      </w:r>
      <w:r>
        <w:rPr/>
        <w:t>Nigeria.</w:t>
      </w:r>
      <w:r>
        <w:rPr>
          <w:spacing w:val="-13"/>
        </w:rPr>
        <w:t> </w:t>
      </w:r>
      <w:r>
        <w:rPr/>
        <w:t>The</w:t>
      </w:r>
      <w:r>
        <w:rPr>
          <w:spacing w:val="-58"/>
        </w:rPr>
        <w:t> </w:t>
      </w:r>
      <w:r>
        <w:rPr/>
        <w:t>estimate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Gini-coefficient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found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lead to</w:t>
      </w:r>
      <w:r>
        <w:rPr>
          <w:spacing w:val="-2"/>
        </w:rPr>
        <w:t> </w:t>
      </w:r>
      <w:r>
        <w:rPr/>
        <w:t>seeking</w:t>
      </w:r>
      <w:r>
        <w:rPr>
          <w:spacing w:val="-3"/>
        </w:rPr>
        <w:t> </w:t>
      </w:r>
      <w:r>
        <w:rPr/>
        <w:t>inappropriate</w:t>
      </w:r>
      <w:r>
        <w:rPr>
          <w:spacing w:val="-3"/>
        </w:rPr>
        <w:t> </w:t>
      </w:r>
      <w:r>
        <w:rPr/>
        <w:t>medical-care</w:t>
      </w:r>
      <w:r>
        <w:rPr>
          <w:spacing w:val="-3"/>
        </w:rPr>
        <w:t> </w:t>
      </w:r>
      <w:r>
        <w:rPr/>
        <w:t>services</w:t>
      </w:r>
      <w:r>
        <w:rPr>
          <w:spacing w:val="-58"/>
        </w:rPr>
        <w:t> </w:t>
      </w:r>
      <w:r>
        <w:rPr/>
        <w:t>statistically.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Heading4"/>
        <w:spacing w:before="77" w:after="3"/>
        <w:ind w:left="120"/>
      </w:pPr>
      <w:r>
        <w:rPr/>
        <w:t>Table</w:t>
      </w:r>
      <w:r>
        <w:rPr>
          <w:spacing w:val="-1"/>
        </w:rPr>
        <w:t> </w:t>
      </w:r>
      <w:r>
        <w:rPr/>
        <w:t>5.30:</w:t>
      </w:r>
      <w:r>
        <w:rPr>
          <w:spacing w:val="-1"/>
        </w:rPr>
        <w:t> </w:t>
      </w:r>
      <w:r>
        <w:rPr/>
        <w:t>Panel</w:t>
      </w:r>
      <w:r>
        <w:rPr>
          <w:spacing w:val="-1"/>
        </w:rPr>
        <w:t> </w:t>
      </w:r>
      <w:r>
        <w:rPr/>
        <w:t>Logistic</w:t>
      </w:r>
      <w:r>
        <w:rPr>
          <w:spacing w:val="-1"/>
        </w:rPr>
        <w:t> </w:t>
      </w:r>
      <w:r>
        <w:rPr/>
        <w:t>Estimations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NGHS Wave</w:t>
      </w:r>
      <w:r>
        <w:rPr>
          <w:spacing w:val="-2"/>
        </w:rPr>
        <w:t> </w:t>
      </w:r>
      <w:r>
        <w:rPr/>
        <w:t>III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7"/>
        <w:gridCol w:w="2069"/>
        <w:gridCol w:w="1980"/>
        <w:gridCol w:w="2336"/>
      </w:tblGrid>
      <w:tr>
        <w:trPr>
          <w:trHeight w:val="254" w:hRule="atLeast"/>
        </w:trPr>
        <w:tc>
          <w:tcPr>
            <w:tcW w:w="2967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234" w:lineRule="exact"/>
              <w:ind w:left="186" w:right="181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POLS</w:t>
            </w:r>
          </w:p>
        </w:tc>
        <w:tc>
          <w:tcPr>
            <w:tcW w:w="1980" w:type="dxa"/>
          </w:tcPr>
          <w:p>
            <w:pPr>
              <w:pStyle w:val="TableParagraph"/>
              <w:spacing w:line="234" w:lineRule="exact"/>
              <w:ind w:left="105" w:right="96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FIXED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EFFECTS</w:t>
            </w:r>
          </w:p>
        </w:tc>
        <w:tc>
          <w:tcPr>
            <w:tcW w:w="2336" w:type="dxa"/>
          </w:tcPr>
          <w:p>
            <w:pPr>
              <w:pStyle w:val="TableParagraph"/>
              <w:spacing w:line="234" w:lineRule="exact"/>
              <w:ind w:left="118" w:right="11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RANDOM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EFFECTS</w:t>
            </w:r>
          </w:p>
        </w:tc>
      </w:tr>
      <w:tr>
        <w:trPr>
          <w:trHeight w:val="251" w:hRule="atLeast"/>
        </w:trPr>
        <w:tc>
          <w:tcPr>
            <w:tcW w:w="9352" w:type="dxa"/>
            <w:gridSpan w:val="4"/>
          </w:tcPr>
          <w:p>
            <w:pPr>
              <w:pStyle w:val="TableParagraph"/>
              <w:spacing w:line="232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Dependent</w:t>
            </w:r>
            <w:r>
              <w:rPr>
                <w:rFonts w:ascii="Times New Roman"/>
                <w:b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Variable: </w:t>
            </w:r>
            <w:r>
              <w:rPr>
                <w:rFonts w:ascii="Times New Roman"/>
                <w:sz w:val="22"/>
              </w:rPr>
              <w:t>Appropriate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Medical-care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Consultation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times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illnesses</w:t>
            </w:r>
          </w:p>
        </w:tc>
      </w:tr>
      <w:tr>
        <w:trPr>
          <w:trHeight w:val="568" w:hRule="atLeast"/>
        </w:trPr>
        <w:tc>
          <w:tcPr>
            <w:tcW w:w="2967" w:type="dxa"/>
            <w:vMerge w:val="restart"/>
          </w:tcPr>
          <w:p>
            <w:pPr>
              <w:pStyle w:val="TableParagraph"/>
              <w:spacing w:line="181" w:lineRule="exact"/>
              <w:ind w:left="107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HOUSEHOLD</w:t>
            </w:r>
            <w:r>
              <w:rPr>
                <w:rFonts w:asci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CHARACTRISTICS</w:t>
            </w:r>
          </w:p>
          <w:p>
            <w:pPr>
              <w:pStyle w:val="TableParagraph"/>
              <w:spacing w:before="2"/>
              <w:ind w:left="208" w:right="1573" w:firstLine="50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Family Size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Literacy</w:t>
            </w:r>
            <w:r>
              <w:rPr>
                <w:rFonts w:ascii="Times New Roman"/>
                <w:b/>
                <w:i/>
                <w:spacing w:val="-8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Level</w:t>
            </w:r>
          </w:p>
          <w:p>
            <w:pPr>
              <w:pStyle w:val="TableParagraph"/>
              <w:spacing w:line="225" w:lineRule="exact"/>
              <w:ind w:left="42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None</w:t>
            </w:r>
          </w:p>
          <w:p>
            <w:pPr>
              <w:pStyle w:val="TableParagraph"/>
              <w:ind w:left="460" w:right="782" w:hanging="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Primary Education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Secondary </w:t>
            </w:r>
            <w:r>
              <w:rPr>
                <w:rFonts w:ascii="Times New Roman"/>
                <w:sz w:val="20"/>
              </w:rPr>
              <w:t>Education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Higher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Degrees</w:t>
            </w:r>
          </w:p>
          <w:p>
            <w:pPr>
              <w:pStyle w:val="TableParagraph"/>
              <w:spacing w:line="228" w:lineRule="exact" w:before="5"/>
              <w:ind w:left="208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Gender</w:t>
            </w:r>
          </w:p>
          <w:p>
            <w:pPr>
              <w:pStyle w:val="TableParagraph"/>
              <w:ind w:left="460" w:right="1894" w:hanging="3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Male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Female</w:t>
            </w:r>
          </w:p>
          <w:p>
            <w:pPr>
              <w:pStyle w:val="TableParagraph"/>
              <w:spacing w:before="1"/>
              <w:ind w:left="426" w:right="1423" w:hanging="16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Marital Status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Married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Single Parent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Widowed</w:t>
            </w:r>
          </w:p>
          <w:p>
            <w:pPr>
              <w:pStyle w:val="TableParagraph"/>
              <w:spacing w:line="227" w:lineRule="exact"/>
              <w:ind w:left="46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Never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Married</w:t>
            </w:r>
          </w:p>
          <w:p>
            <w:pPr>
              <w:pStyle w:val="TableParagraph"/>
              <w:spacing w:line="227" w:lineRule="exact" w:before="5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Does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your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spouse live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with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you?</w:t>
            </w:r>
          </w:p>
          <w:p>
            <w:pPr>
              <w:pStyle w:val="TableParagraph"/>
              <w:ind w:left="460" w:right="2199" w:hanging="3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2069" w:type="dxa"/>
            <w:tcBorders>
              <w:bottom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85" w:right="18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-0.0645***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(0.0183)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02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-0.0040**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(0.0012)</w:t>
            </w:r>
          </w:p>
        </w:tc>
        <w:tc>
          <w:tcPr>
            <w:tcW w:w="2336" w:type="dxa"/>
            <w:tcBorders>
              <w:bottom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15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-0.0039**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(0.0012)</w:t>
            </w:r>
          </w:p>
        </w:tc>
      </w:tr>
      <w:tr>
        <w:trPr>
          <w:trHeight w:val="335" w:hRule="atLeast"/>
        </w:trPr>
        <w:tc>
          <w:tcPr>
            <w:tcW w:w="2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186" w:right="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-0.0736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(0.0942)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102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-0.0041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(0.0080)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117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-0.0030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(0.0080)</w:t>
            </w:r>
          </w:p>
        </w:tc>
      </w:tr>
      <w:tr>
        <w:trPr>
          <w:trHeight w:val="219" w:hRule="atLeast"/>
        </w:trPr>
        <w:tc>
          <w:tcPr>
            <w:tcW w:w="2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86" w:right="18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0.0018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(0.1363)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2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0.0074*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(0.0117)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8" w:right="1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0.0056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(0.0118)</w:t>
            </w:r>
          </w:p>
        </w:tc>
      </w:tr>
      <w:tr>
        <w:trPr>
          <w:trHeight w:val="219" w:hRule="atLeast"/>
        </w:trPr>
        <w:tc>
          <w:tcPr>
            <w:tcW w:w="2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86" w:right="18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0.0050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(0.0541)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2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-0.0017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(0.0046)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7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-0.0020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(0.0046)</w:t>
            </w:r>
          </w:p>
        </w:tc>
      </w:tr>
      <w:tr>
        <w:trPr>
          <w:trHeight w:val="335" w:hRule="atLeast"/>
        </w:trPr>
        <w:tc>
          <w:tcPr>
            <w:tcW w:w="2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86" w:right="1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0.9398***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(0.0828)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02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0.0665***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(0.0121)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15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0.0654***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(0.0103)</w:t>
            </w:r>
          </w:p>
        </w:tc>
      </w:tr>
      <w:tr>
        <w:trPr>
          <w:trHeight w:val="335" w:hRule="atLeast"/>
        </w:trPr>
        <w:tc>
          <w:tcPr>
            <w:tcW w:w="2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186" w:right="1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-0.0423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(0.0570)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104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-0.0036***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(0.0047)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6"/>
              <w:ind w:left="117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-0.0036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(0.0047)</w:t>
            </w:r>
          </w:p>
        </w:tc>
      </w:tr>
      <w:tr>
        <w:trPr>
          <w:trHeight w:val="334" w:hRule="atLeast"/>
        </w:trPr>
        <w:tc>
          <w:tcPr>
            <w:tcW w:w="2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86" w:right="1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0.0877*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(0.0863)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02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-0.0006*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(0.0074)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15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0.0002*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(0.0074)</w:t>
            </w:r>
          </w:p>
        </w:tc>
      </w:tr>
      <w:tr>
        <w:trPr>
          <w:trHeight w:val="334" w:hRule="atLeast"/>
        </w:trPr>
        <w:tc>
          <w:tcPr>
            <w:tcW w:w="2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5"/>
              <w:ind w:left="186" w:right="18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0.0044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(0.0384)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5"/>
              <w:ind w:left="102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0.0038*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(0.0034)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5"/>
              <w:ind w:left="115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0.0039*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(0.0034)</w:t>
            </w:r>
          </w:p>
        </w:tc>
      </w:tr>
      <w:tr>
        <w:trPr>
          <w:trHeight w:val="220" w:hRule="atLeast"/>
        </w:trPr>
        <w:tc>
          <w:tcPr>
            <w:tcW w:w="2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86" w:right="1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-0.0762*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(0.0557)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2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-0.0052*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(0.0054)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17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-0.0058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(0.0105)</w:t>
            </w:r>
          </w:p>
        </w:tc>
      </w:tr>
      <w:tr>
        <w:trPr>
          <w:trHeight w:val="220" w:hRule="atLeast"/>
        </w:trPr>
        <w:tc>
          <w:tcPr>
            <w:tcW w:w="2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86" w:right="1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-0.1787**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(0.0649)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2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-0.0052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(0.0054)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16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-0.0094*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(0.0054)</w:t>
            </w:r>
          </w:p>
        </w:tc>
      </w:tr>
      <w:tr>
        <w:trPr>
          <w:trHeight w:val="335" w:hRule="atLeast"/>
        </w:trPr>
        <w:tc>
          <w:tcPr>
            <w:tcW w:w="2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86" w:right="1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-0.0762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(0.1220)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02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-0.0045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(0.0104)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16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-0.0058*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(0.0105)</w:t>
            </w:r>
          </w:p>
        </w:tc>
      </w:tr>
      <w:tr>
        <w:trPr>
          <w:trHeight w:val="334" w:hRule="atLeast"/>
        </w:trPr>
        <w:tc>
          <w:tcPr>
            <w:tcW w:w="2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06"/>
              <w:ind w:left="186" w:right="1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-0.0158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(0.0582)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06"/>
              <w:ind w:left="105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0.0008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(0.0049)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06"/>
              <w:ind w:left="117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-0.0001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(0.0049)</w:t>
            </w:r>
          </w:p>
        </w:tc>
      </w:tr>
      <w:tr>
        <w:trPr>
          <w:trHeight w:val="226" w:hRule="atLeast"/>
        </w:trPr>
        <w:tc>
          <w:tcPr>
            <w:tcW w:w="2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</w:tcBorders>
          </w:tcPr>
          <w:p>
            <w:pPr>
              <w:pStyle w:val="TableParagraph"/>
              <w:spacing w:line="206" w:lineRule="exact"/>
              <w:ind w:left="186" w:right="1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-0.1264*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(0.1263)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spacing w:line="206" w:lineRule="exact"/>
              <w:ind w:left="102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-0.0111*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(0.0103)</w:t>
            </w:r>
          </w:p>
        </w:tc>
        <w:tc>
          <w:tcPr>
            <w:tcW w:w="2336" w:type="dxa"/>
            <w:tcBorders>
              <w:top w:val="nil"/>
            </w:tcBorders>
          </w:tcPr>
          <w:p>
            <w:pPr>
              <w:pStyle w:val="TableParagraph"/>
              <w:spacing w:line="206" w:lineRule="exact"/>
              <w:ind w:left="117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-0.0105*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(0.0103)</w:t>
            </w:r>
          </w:p>
        </w:tc>
      </w:tr>
      <w:tr>
        <w:trPr>
          <w:trHeight w:val="2071" w:hRule="atLeast"/>
        </w:trPr>
        <w:tc>
          <w:tcPr>
            <w:tcW w:w="2967" w:type="dxa"/>
          </w:tcPr>
          <w:p>
            <w:pPr>
              <w:pStyle w:val="TableParagraph"/>
              <w:spacing w:line="179" w:lineRule="exact"/>
              <w:ind w:left="107"/>
              <w:jc w:val="left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HOUSEHOLDS’</w:t>
            </w:r>
            <w:r>
              <w:rPr>
                <w:rFonts w:ascii="Times New Roman" w:hAns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TOTAL INCOME</w:t>
            </w:r>
          </w:p>
          <w:p>
            <w:pPr>
              <w:pStyle w:val="TableParagraph"/>
              <w:ind w:left="107" w:right="35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Wages and Salaries Incomes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Business Enterprises or Trades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Farming or Livestock Incomes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Remittances</w:t>
            </w:r>
          </w:p>
          <w:p>
            <w:pPr>
              <w:pStyle w:val="TableParagraph"/>
              <w:ind w:left="107" w:right="42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Monetary </w:t>
            </w:r>
            <w:r>
              <w:rPr>
                <w:rFonts w:ascii="Times New Roman"/>
                <w:sz w:val="20"/>
              </w:rPr>
              <w:t>Transfer/Assistance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Pensions and</w:t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Grants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Dividend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Investment</w:t>
            </w: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Properties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Owned</w:t>
            </w:r>
          </w:p>
        </w:tc>
        <w:tc>
          <w:tcPr>
            <w:tcW w:w="2069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86" w:right="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-0.3604***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(0.0857)</w:t>
            </w:r>
          </w:p>
          <w:p>
            <w:pPr>
              <w:pStyle w:val="TableParagraph"/>
              <w:ind w:left="186" w:right="1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-0.6499**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(0.3063)</w:t>
            </w:r>
          </w:p>
          <w:p>
            <w:pPr>
              <w:pStyle w:val="TableParagraph"/>
              <w:spacing w:before="1"/>
              <w:ind w:left="186" w:right="1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0.6069*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(0.0441)</w:t>
            </w:r>
          </w:p>
          <w:p>
            <w:pPr>
              <w:pStyle w:val="TableParagraph"/>
              <w:spacing w:line="229" w:lineRule="exact"/>
              <w:ind w:left="186" w:right="18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0.1380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(0.1439)</w:t>
            </w:r>
          </w:p>
          <w:p>
            <w:pPr>
              <w:pStyle w:val="TableParagraph"/>
              <w:spacing w:line="229" w:lineRule="exact"/>
              <w:ind w:left="186" w:right="1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0.2968***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(0.0438)</w:t>
            </w:r>
          </w:p>
          <w:p>
            <w:pPr>
              <w:pStyle w:val="TableParagraph"/>
              <w:ind w:left="186" w:right="1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-0.0161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(0.0214)</w:t>
            </w:r>
          </w:p>
          <w:p>
            <w:pPr>
              <w:pStyle w:val="TableParagraph"/>
              <w:spacing w:before="1"/>
              <w:ind w:left="185" w:right="18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-3.0572***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(0.0680)</w:t>
            </w:r>
          </w:p>
          <w:p>
            <w:pPr>
              <w:pStyle w:val="TableParagraph"/>
              <w:spacing w:line="217" w:lineRule="exact" w:before="1"/>
              <w:ind w:left="186" w:right="18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-0.0217**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(0.0098)</w:t>
            </w:r>
          </w:p>
        </w:tc>
        <w:tc>
          <w:tcPr>
            <w:tcW w:w="198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0.0161*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(0.0099)</w:t>
            </w:r>
          </w:p>
          <w:p>
            <w:pPr>
              <w:pStyle w:val="TableParagraph"/>
              <w:ind w:left="26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-0.0329*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(0.0219)</w:t>
            </w:r>
          </w:p>
          <w:p>
            <w:pPr>
              <w:pStyle w:val="TableParagraph"/>
              <w:spacing w:before="1"/>
              <w:ind w:left="2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0.0451*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(0.0040)</w:t>
            </w:r>
          </w:p>
          <w:p>
            <w:pPr>
              <w:pStyle w:val="TableParagraph"/>
              <w:spacing w:line="229" w:lineRule="exact"/>
              <w:ind w:left="105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0.0059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(0.0128)</w:t>
            </w:r>
          </w:p>
          <w:p>
            <w:pPr>
              <w:pStyle w:val="TableParagraph"/>
              <w:spacing w:line="229" w:lineRule="exact"/>
              <w:ind w:left="102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0.0221***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(0.0042)</w:t>
            </w:r>
          </w:p>
          <w:p>
            <w:pPr>
              <w:pStyle w:val="TableParagraph"/>
              <w:ind w:left="105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0.0018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(0.0018)</w:t>
            </w:r>
          </w:p>
          <w:p>
            <w:pPr>
              <w:pStyle w:val="TableParagraph"/>
              <w:spacing w:before="1"/>
              <w:ind w:left="105" w:right="9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-0.3735***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(0.0109)</w:t>
            </w:r>
          </w:p>
          <w:p>
            <w:pPr>
              <w:pStyle w:val="TableParagraph"/>
              <w:spacing w:line="217" w:lineRule="exact" w:before="1"/>
              <w:ind w:left="102" w:right="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-0.0007*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(0.0008)</w:t>
            </w:r>
          </w:p>
        </w:tc>
        <w:tc>
          <w:tcPr>
            <w:tcW w:w="2336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44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-0.0025*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(0.0090)</w:t>
            </w:r>
          </w:p>
          <w:p>
            <w:pPr>
              <w:pStyle w:val="TableParagraph"/>
              <w:ind w:left="44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-0.0345*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(0.0220)</w:t>
            </w:r>
          </w:p>
          <w:p>
            <w:pPr>
              <w:pStyle w:val="TableParagraph"/>
              <w:spacing w:before="1"/>
              <w:ind w:left="47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0.0488*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(0.0040)</w:t>
            </w:r>
          </w:p>
          <w:p>
            <w:pPr>
              <w:pStyle w:val="TableParagraph"/>
              <w:spacing w:line="229" w:lineRule="exact"/>
              <w:ind w:left="118" w:right="1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0.0057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(0.0128)</w:t>
            </w:r>
          </w:p>
          <w:p>
            <w:pPr>
              <w:pStyle w:val="TableParagraph"/>
              <w:spacing w:line="229" w:lineRule="exact"/>
              <w:ind w:left="115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0.0007***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(0.0019)</w:t>
            </w:r>
          </w:p>
          <w:p>
            <w:pPr>
              <w:pStyle w:val="TableParagraph"/>
              <w:ind w:left="118" w:right="1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0.0254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(0.0041)</w:t>
            </w:r>
          </w:p>
          <w:p>
            <w:pPr>
              <w:pStyle w:val="TableParagraph"/>
              <w:spacing w:before="1"/>
              <w:ind w:left="117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-0.4271***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(0.0103)</w:t>
            </w:r>
          </w:p>
          <w:p>
            <w:pPr>
              <w:pStyle w:val="TableParagraph"/>
              <w:spacing w:line="217" w:lineRule="exact" w:before="1"/>
              <w:ind w:left="116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-0.0009*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(0.0059)</w:t>
            </w:r>
          </w:p>
        </w:tc>
      </w:tr>
      <w:tr>
        <w:trPr>
          <w:trHeight w:val="688" w:hRule="atLeast"/>
        </w:trPr>
        <w:tc>
          <w:tcPr>
            <w:tcW w:w="2967" w:type="dxa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INCOME</w:t>
            </w:r>
            <w:r>
              <w:rPr>
                <w:rFonts w:asci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INEQUALITY</w:t>
            </w:r>
          </w:p>
          <w:p>
            <w:pPr>
              <w:pStyle w:val="TableParagraph"/>
              <w:spacing w:line="230" w:lineRule="exact"/>
              <w:ind w:left="208" w:right="142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Gini-Coefficient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Constant</w:t>
            </w:r>
          </w:p>
        </w:tc>
        <w:tc>
          <w:tcPr>
            <w:tcW w:w="2069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3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-0.0712*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(0.0688)</w:t>
            </w:r>
          </w:p>
          <w:p>
            <w:pPr>
              <w:pStyle w:val="TableParagraph"/>
              <w:spacing w:line="215" w:lineRule="exact"/>
              <w:ind w:left="3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1.4281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(0.3888)</w:t>
            </w:r>
          </w:p>
        </w:tc>
        <w:tc>
          <w:tcPr>
            <w:tcW w:w="198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6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-0.0142***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(0.0059)</w:t>
            </w:r>
          </w:p>
          <w:p>
            <w:pPr>
              <w:pStyle w:val="TableParagraph"/>
              <w:spacing w:line="215" w:lineRule="exact"/>
              <w:ind w:left="1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0.5225***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(0.0311)</w:t>
            </w:r>
          </w:p>
        </w:tc>
        <w:tc>
          <w:tcPr>
            <w:tcW w:w="2336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3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-0.0126**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(0.0059)</w:t>
            </w:r>
          </w:p>
          <w:p>
            <w:pPr>
              <w:pStyle w:val="TableParagraph"/>
              <w:spacing w:line="215" w:lineRule="exact"/>
              <w:ind w:left="34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-0.5799***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(0.0315)</w:t>
            </w:r>
          </w:p>
        </w:tc>
      </w:tr>
      <w:tr>
        <w:trPr>
          <w:trHeight w:val="231" w:hRule="atLeast"/>
        </w:trPr>
        <w:tc>
          <w:tcPr>
            <w:tcW w:w="2967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Number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of</w:t>
            </w:r>
            <w:r>
              <w:rPr>
                <w:rFonts w:ascii="Times New Roman"/>
                <w:b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States</w:t>
            </w:r>
          </w:p>
        </w:tc>
        <w:tc>
          <w:tcPr>
            <w:tcW w:w="2069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86" w:right="1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</w:t>
            </w: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5" w:right="9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</w:t>
            </w:r>
          </w:p>
        </w:tc>
        <w:tc>
          <w:tcPr>
            <w:tcW w:w="2336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18" w:right="10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</w:t>
            </w:r>
          </w:p>
        </w:tc>
      </w:tr>
      <w:tr>
        <w:trPr>
          <w:trHeight w:val="229" w:hRule="atLeast"/>
        </w:trPr>
        <w:tc>
          <w:tcPr>
            <w:tcW w:w="29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Observations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86" w:right="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26,774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5" w:right="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26,774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8" w:right="10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26,774</w:t>
            </w:r>
          </w:p>
        </w:tc>
      </w:tr>
      <w:tr>
        <w:trPr>
          <w:trHeight w:val="230" w:hRule="atLeast"/>
        </w:trPr>
        <w:tc>
          <w:tcPr>
            <w:tcW w:w="2967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Probability</w:t>
            </w:r>
          </w:p>
        </w:tc>
        <w:tc>
          <w:tcPr>
            <w:tcW w:w="2069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86" w:right="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0.0000</w:t>
            </w: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5" w:right="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0.0000</w:t>
            </w:r>
          </w:p>
        </w:tc>
        <w:tc>
          <w:tcPr>
            <w:tcW w:w="2336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18" w:right="10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0.0000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sz w:val="20"/>
        </w:rPr>
        <w:t>*p&lt;0.05</w:t>
      </w:r>
      <w:r>
        <w:rPr>
          <w:spacing w:val="-1"/>
          <w:sz w:val="20"/>
        </w:rPr>
        <w:t> </w:t>
      </w:r>
      <w:r>
        <w:rPr>
          <w:sz w:val="20"/>
        </w:rPr>
        <w:t>indicates</w:t>
      </w:r>
      <w:r>
        <w:rPr>
          <w:spacing w:val="-2"/>
          <w:sz w:val="20"/>
        </w:rPr>
        <w:t> </w:t>
      </w:r>
      <w:r>
        <w:rPr>
          <w:sz w:val="20"/>
        </w:rPr>
        <w:t>significance</w:t>
      </w:r>
      <w:r>
        <w:rPr>
          <w:spacing w:val="2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5%</w:t>
      </w:r>
      <w:r>
        <w:rPr>
          <w:spacing w:val="-2"/>
          <w:sz w:val="20"/>
        </w:rPr>
        <w:t> </w:t>
      </w:r>
      <w:r>
        <w:rPr>
          <w:sz w:val="20"/>
        </w:rPr>
        <w:t>level; **</w:t>
      </w:r>
      <w:r>
        <w:rPr>
          <w:spacing w:val="-2"/>
          <w:sz w:val="20"/>
        </w:rPr>
        <w:t> </w:t>
      </w:r>
      <w:r>
        <w:rPr>
          <w:sz w:val="20"/>
        </w:rPr>
        <w:t>p&lt;0.01 at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1%</w:t>
      </w:r>
      <w:r>
        <w:rPr>
          <w:spacing w:val="-2"/>
          <w:sz w:val="20"/>
        </w:rPr>
        <w:t> </w:t>
      </w:r>
      <w:r>
        <w:rPr>
          <w:sz w:val="20"/>
        </w:rPr>
        <w:t>level; ***</w:t>
      </w:r>
      <w:r>
        <w:rPr>
          <w:spacing w:val="-5"/>
          <w:sz w:val="20"/>
        </w:rPr>
        <w:t> </w:t>
      </w:r>
      <w:r>
        <w:rPr>
          <w:sz w:val="20"/>
        </w:rPr>
        <w:t>p&lt;0.001 at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1%</w:t>
      </w:r>
      <w:r>
        <w:rPr>
          <w:spacing w:val="-2"/>
          <w:sz w:val="20"/>
        </w:rPr>
        <w:t> </w:t>
      </w:r>
      <w:r>
        <w:rPr>
          <w:sz w:val="20"/>
        </w:rPr>
        <w:t>level</w:t>
      </w:r>
    </w:p>
    <w:p>
      <w:pPr>
        <w:spacing w:before="13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Researcher’s</w:t>
      </w:r>
      <w:r>
        <w:rPr>
          <w:spacing w:val="-1"/>
          <w:sz w:val="20"/>
        </w:rPr>
        <w:t> </w:t>
      </w:r>
      <w:r>
        <w:rPr>
          <w:sz w:val="20"/>
        </w:rPr>
        <w:t>Computation</w:t>
      </w:r>
      <w:r>
        <w:rPr>
          <w:spacing w:val="-2"/>
          <w:sz w:val="20"/>
        </w:rPr>
        <w:t> </w:t>
      </w:r>
      <w:r>
        <w:rPr>
          <w:sz w:val="20"/>
        </w:rPr>
        <w:t>using</w:t>
      </w:r>
      <w:r>
        <w:rPr>
          <w:spacing w:val="-3"/>
          <w:sz w:val="20"/>
        </w:rPr>
        <w:t> </w:t>
      </w:r>
      <w:r>
        <w:rPr>
          <w:sz w:val="20"/>
        </w:rPr>
        <w:t>Stata</w:t>
      </w:r>
      <w:r>
        <w:rPr>
          <w:spacing w:val="-1"/>
          <w:sz w:val="20"/>
        </w:rPr>
        <w:t> </w:t>
      </w:r>
      <w:r>
        <w:rPr>
          <w:sz w:val="20"/>
        </w:rPr>
        <w:t>13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120" w:right="114"/>
        <w:jc w:val="both"/>
      </w:pPr>
      <w:r>
        <w:rPr/>
        <w:t>In</w:t>
      </w:r>
      <w:r>
        <w:rPr>
          <w:spacing w:val="-12"/>
        </w:rPr>
        <w:t> </w:t>
      </w:r>
      <w:r>
        <w:rPr/>
        <w:t>specific</w:t>
      </w:r>
      <w:r>
        <w:rPr>
          <w:spacing w:val="-12"/>
        </w:rPr>
        <w:t> </w:t>
      </w:r>
      <w:r>
        <w:rPr/>
        <w:t>terms,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new</w:t>
      </w:r>
      <w:r>
        <w:rPr>
          <w:spacing w:val="-12"/>
        </w:rPr>
        <w:t> </w:t>
      </w:r>
      <w:r>
        <w:rPr/>
        <w:t>addition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household</w:t>
      </w:r>
      <w:r>
        <w:rPr>
          <w:spacing w:val="-11"/>
        </w:rPr>
        <w:t> </w:t>
      </w:r>
      <w:r>
        <w:rPr/>
        <w:t>size,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Table</w:t>
      </w:r>
      <w:r>
        <w:rPr>
          <w:spacing w:val="-12"/>
        </w:rPr>
        <w:t> </w:t>
      </w:r>
      <w:r>
        <w:rPr/>
        <w:t>5.31</w:t>
      </w:r>
      <w:r>
        <w:rPr>
          <w:spacing w:val="-10"/>
        </w:rPr>
        <w:t> </w:t>
      </w:r>
      <w:r>
        <w:rPr/>
        <w:t>reported,</w:t>
      </w:r>
      <w:r>
        <w:rPr>
          <w:spacing w:val="-12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seeking</w:t>
      </w:r>
      <w:r>
        <w:rPr>
          <w:spacing w:val="-58"/>
        </w:rPr>
        <w:t> </w:t>
      </w:r>
      <w:r>
        <w:rPr/>
        <w:t>orthodox</w:t>
      </w:r>
      <w:r>
        <w:rPr>
          <w:spacing w:val="-3"/>
        </w:rPr>
        <w:t> </w:t>
      </w:r>
      <w:r>
        <w:rPr/>
        <w:t>healthcare</w:t>
      </w:r>
      <w:r>
        <w:rPr>
          <w:spacing w:val="-6"/>
        </w:rPr>
        <w:t> </w:t>
      </w:r>
      <w:r>
        <w:rPr/>
        <w:t>inversely.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show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z w:val="23"/>
        </w:rPr>
        <w:t>likelihood </w:t>
      </w:r>
      <w:r>
        <w:rPr/>
        <w:t>of</w:t>
      </w:r>
      <w:r>
        <w:rPr>
          <w:spacing w:val="-5"/>
        </w:rPr>
        <w:t> </w:t>
      </w:r>
      <w:r>
        <w:rPr/>
        <w:t>household</w:t>
      </w:r>
      <w:r>
        <w:rPr>
          <w:spacing w:val="-3"/>
        </w:rPr>
        <w:t> </w:t>
      </w:r>
      <w:r>
        <w:rPr/>
        <w:t>utilizing</w:t>
      </w:r>
      <w:r>
        <w:rPr>
          <w:spacing w:val="-6"/>
        </w:rPr>
        <w:t> </w:t>
      </w:r>
      <w:r>
        <w:rPr/>
        <w:t>inappropriate</w:t>
      </w:r>
      <w:r>
        <w:rPr>
          <w:spacing w:val="-57"/>
        </w:rPr>
        <w:t> </w:t>
      </w:r>
      <w:r>
        <w:rPr/>
        <w:t>HSB</w:t>
      </w:r>
      <w:r>
        <w:rPr>
          <w:spacing w:val="-15"/>
        </w:rPr>
        <w:t> </w:t>
      </w:r>
      <w:r>
        <w:rPr/>
        <w:t>as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membership</w:t>
      </w:r>
      <w:r>
        <w:rPr>
          <w:spacing w:val="-11"/>
        </w:rPr>
        <w:t> </w:t>
      </w:r>
      <w:r>
        <w:rPr/>
        <w:t>rises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6.2%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POLS,</w:t>
      </w:r>
      <w:r>
        <w:rPr>
          <w:spacing w:val="-12"/>
        </w:rPr>
        <w:t> </w:t>
      </w:r>
      <w:r>
        <w:rPr/>
        <w:t>0.4%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both</w:t>
      </w:r>
      <w:r>
        <w:rPr>
          <w:spacing w:val="-10"/>
        </w:rPr>
        <w:t> </w:t>
      </w:r>
      <w:r>
        <w:rPr/>
        <w:t>FE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RE</w:t>
      </w:r>
      <w:r>
        <w:rPr>
          <w:spacing w:val="-10"/>
        </w:rPr>
        <w:t> </w:t>
      </w:r>
      <w:r>
        <w:rPr/>
        <w:t>models.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education,</w:t>
      </w:r>
      <w:r>
        <w:rPr>
          <w:spacing w:val="-57"/>
        </w:rPr>
        <w:t> </w:t>
      </w:r>
      <w:r>
        <w:rPr/>
        <w:t>those households’ heads with no basic education seek inappropriate healthcare services in all the</w:t>
      </w:r>
      <w:r>
        <w:rPr>
          <w:spacing w:val="1"/>
        </w:rPr>
        <w:t> </w:t>
      </w:r>
      <w:r>
        <w:rPr>
          <w:spacing w:val="-1"/>
        </w:rPr>
        <w:t>models,</w:t>
      </w:r>
      <w:r>
        <w:rPr>
          <w:spacing w:val="-10"/>
        </w:rPr>
        <w:t> </w:t>
      </w:r>
      <w:r>
        <w:rPr>
          <w:spacing w:val="-1"/>
        </w:rPr>
        <w:t>significantly.</w:t>
      </w:r>
      <w:r>
        <w:rPr>
          <w:spacing w:val="-9"/>
        </w:rPr>
        <w:t> </w:t>
      </w:r>
      <w:r>
        <w:rPr/>
        <w:t>Though</w:t>
      </w:r>
      <w:r>
        <w:rPr>
          <w:spacing w:val="-10"/>
        </w:rPr>
        <w:t> </w:t>
      </w:r>
      <w:r>
        <w:rPr/>
        <w:t>heads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tertiary</w:t>
      </w:r>
      <w:r>
        <w:rPr>
          <w:spacing w:val="-11"/>
        </w:rPr>
        <w:t> </w:t>
      </w:r>
      <w:r>
        <w:rPr/>
        <w:t>qualification</w:t>
      </w:r>
      <w:r>
        <w:rPr>
          <w:spacing w:val="-10"/>
        </w:rPr>
        <w:t> </w:t>
      </w:r>
      <w:r>
        <w:rPr/>
        <w:t>were</w:t>
      </w:r>
      <w:r>
        <w:rPr>
          <w:spacing w:val="-11"/>
        </w:rPr>
        <w:t> </w:t>
      </w:r>
      <w:r>
        <w:rPr/>
        <w:t>mostly</w:t>
      </w:r>
      <w:r>
        <w:rPr>
          <w:spacing w:val="-12"/>
        </w:rPr>
        <w:t> </w:t>
      </w:r>
      <w:r>
        <w:rPr/>
        <w:t>statistically</w:t>
      </w:r>
      <w:r>
        <w:rPr>
          <w:spacing w:val="-16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and positively associated with orthodoxy medical-care. The estimates show that the likelihood of</w:t>
      </w:r>
      <w:r>
        <w:rPr>
          <w:spacing w:val="-57"/>
        </w:rPr>
        <w:t> </w:t>
      </w:r>
      <w:r>
        <w:rPr/>
        <w:t>using</w:t>
      </w:r>
      <w:r>
        <w:rPr>
          <w:spacing w:val="-13"/>
        </w:rPr>
        <w:t> </w:t>
      </w:r>
      <w:r>
        <w:rPr/>
        <w:t>appropriate</w:t>
      </w:r>
      <w:r>
        <w:rPr>
          <w:spacing w:val="-12"/>
        </w:rPr>
        <w:t> </w:t>
      </w:r>
      <w:r>
        <w:rPr/>
        <w:t>medical-care</w:t>
      </w:r>
      <w:r>
        <w:rPr>
          <w:spacing w:val="-12"/>
        </w:rPr>
        <w:t> </w:t>
      </w:r>
      <w:r>
        <w:rPr/>
        <w:t>is</w:t>
      </w:r>
      <w:r>
        <w:rPr>
          <w:spacing w:val="-9"/>
        </w:rPr>
        <w:t> </w:t>
      </w:r>
      <w:r>
        <w:rPr/>
        <w:t>6.9%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6.7%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FE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RE,</w:t>
      </w:r>
      <w:r>
        <w:rPr>
          <w:spacing w:val="-10"/>
        </w:rPr>
        <w:t> </w:t>
      </w:r>
      <w:r>
        <w:rPr/>
        <w:t>respectively,</w:t>
      </w:r>
      <w:r>
        <w:rPr>
          <w:spacing w:val="-9"/>
        </w:rPr>
        <w:t> </w:t>
      </w:r>
      <w:r>
        <w:rPr/>
        <w:t>for</w:t>
      </w:r>
      <w:r>
        <w:rPr>
          <w:spacing w:val="-13"/>
        </w:rPr>
        <w:t> </w:t>
      </w:r>
      <w:r>
        <w:rPr/>
        <w:t>those</w:t>
      </w:r>
      <w:r>
        <w:rPr>
          <w:spacing w:val="-11"/>
        </w:rPr>
        <w:t> </w:t>
      </w:r>
      <w:r>
        <w:rPr/>
        <w:t>heads</w:t>
      </w:r>
      <w:r>
        <w:rPr>
          <w:spacing w:val="-10"/>
        </w:rPr>
        <w:t> </w:t>
      </w:r>
      <w:r>
        <w:rPr/>
        <w:t>with</w:t>
      </w:r>
      <w:r>
        <w:rPr>
          <w:spacing w:val="-58"/>
        </w:rPr>
        <w:t> </w:t>
      </w:r>
      <w:r>
        <w:rPr>
          <w:spacing w:val="-1"/>
        </w:rPr>
        <w:t>higher</w:t>
      </w:r>
      <w:r>
        <w:rPr>
          <w:spacing w:val="-13"/>
        </w:rPr>
        <w:t> </w:t>
      </w:r>
      <w:r>
        <w:rPr>
          <w:spacing w:val="-1"/>
        </w:rPr>
        <w:t>educational</w:t>
      </w:r>
      <w:r>
        <w:rPr>
          <w:spacing w:val="-13"/>
        </w:rPr>
        <w:t> </w:t>
      </w:r>
      <w:r>
        <w:rPr/>
        <w:t>qualifications.</w:t>
      </w:r>
      <w:r>
        <w:rPr>
          <w:spacing w:val="-14"/>
        </w:rPr>
        <w:t> </w:t>
      </w:r>
      <w:r>
        <w:rPr/>
        <w:t>These</w:t>
      </w:r>
      <w:r>
        <w:rPr>
          <w:spacing w:val="-13"/>
        </w:rPr>
        <w:t> </w:t>
      </w:r>
      <w:r>
        <w:rPr/>
        <w:t>findings</w:t>
      </w:r>
      <w:r>
        <w:rPr>
          <w:spacing w:val="-14"/>
        </w:rPr>
        <w:t> </w:t>
      </w:r>
      <w:r>
        <w:rPr/>
        <w:t>were</w:t>
      </w:r>
      <w:r>
        <w:rPr>
          <w:spacing w:val="-13"/>
        </w:rPr>
        <w:t> </w:t>
      </w:r>
      <w:r>
        <w:rPr/>
        <w:t>also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line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main</w:t>
      </w:r>
      <w:r>
        <w:rPr>
          <w:spacing w:val="-11"/>
        </w:rPr>
        <w:t> </w:t>
      </w:r>
      <w:r>
        <w:rPr/>
        <w:t>results</w:t>
      </w:r>
      <w:r>
        <w:rPr>
          <w:spacing w:val="-15"/>
        </w:rPr>
        <w:t> </w:t>
      </w:r>
      <w:r>
        <w:rPr/>
        <w:t>(FE</w:t>
      </w:r>
      <w:r>
        <w:rPr>
          <w:spacing w:val="-14"/>
        </w:rPr>
        <w:t> </w:t>
      </w:r>
      <w:r>
        <w:rPr/>
        <w:t>model)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Table 5.19.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4"/>
        <w:jc w:val="both"/>
      </w:pPr>
      <w:r>
        <w:rPr/>
        <w:t>For gender, it was reveal that the estimate male also relates with seeking inappropriate healthcare</w:t>
      </w:r>
      <w:r>
        <w:rPr>
          <w:spacing w:val="-57"/>
        </w:rPr>
        <w:t> </w:t>
      </w:r>
      <w:r>
        <w:rPr/>
        <w:t>services statistically. Marriage is positive and significant with seeking health care services in all</w:t>
      </w:r>
      <w:r>
        <w:rPr>
          <w:spacing w:val="1"/>
        </w:rPr>
        <w:t> </w:t>
      </w:r>
      <w:r>
        <w:rPr/>
        <w:t>the models. Their chances of seeking appropriate health care is 0.44% for POLS, and 0.38% for</w:t>
      </w:r>
      <w:r>
        <w:rPr>
          <w:spacing w:val="1"/>
        </w:rPr>
        <w:t> </w:t>
      </w:r>
      <w:r>
        <w:rPr/>
        <w:t>both</w:t>
      </w:r>
      <w:r>
        <w:rPr>
          <w:spacing w:val="-2"/>
        </w:rPr>
        <w:t> </w:t>
      </w:r>
      <w:r>
        <w:rPr/>
        <w:t>FE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</w:t>
      </w:r>
      <w:r>
        <w:rPr>
          <w:spacing w:val="-1"/>
        </w:rPr>
        <w:t> </w:t>
      </w:r>
      <w:r>
        <w:rPr/>
        <w:t>models.</w:t>
      </w:r>
      <w:r>
        <w:rPr>
          <w:spacing w:val="-5"/>
        </w:rPr>
        <w:t> </w:t>
      </w:r>
      <w:r>
        <w:rPr/>
        <w:t>Unlike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(in</w:t>
      </w:r>
      <w:r>
        <w:rPr>
          <w:spacing w:val="-1"/>
        </w:rPr>
        <w:t> </w:t>
      </w:r>
      <w:r>
        <w:rPr/>
        <w:t>FE</w:t>
      </w:r>
      <w:r>
        <w:rPr>
          <w:spacing w:val="-2"/>
        </w:rPr>
        <w:t> </w:t>
      </w:r>
      <w:r>
        <w:rPr/>
        <w:t>model),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parent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widow relates with orthodoxy health-seeking inversely and significantly in both POLS and RE</w:t>
      </w:r>
      <w:r>
        <w:rPr>
          <w:spacing w:val="1"/>
        </w:rPr>
        <w:t> </w:t>
      </w:r>
      <w:r>
        <w:rPr/>
        <w:t>models, but insignificant in FE model. The never married result also seek inappropriate medical-</w:t>
      </w:r>
      <w:r>
        <w:rPr>
          <w:spacing w:val="1"/>
        </w:rPr>
        <w:t> </w:t>
      </w:r>
      <w:r>
        <w:rPr/>
        <w:t>care</w:t>
      </w:r>
      <w:r>
        <w:rPr>
          <w:spacing w:val="-8"/>
        </w:rPr>
        <w:t> </w:t>
      </w:r>
      <w:r>
        <w:rPr/>
        <w:t>significantly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RE</w:t>
      </w:r>
      <w:r>
        <w:rPr>
          <w:spacing w:val="-6"/>
        </w:rPr>
        <w:t> </w:t>
      </w:r>
      <w:r>
        <w:rPr/>
        <w:t>model,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insignificant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both</w:t>
      </w:r>
      <w:r>
        <w:rPr>
          <w:spacing w:val="-5"/>
        </w:rPr>
        <w:t> </w:t>
      </w:r>
      <w:r>
        <w:rPr/>
        <w:t>POLS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FE</w:t>
      </w:r>
      <w:r>
        <w:rPr>
          <w:spacing w:val="-6"/>
        </w:rPr>
        <w:t> </w:t>
      </w:r>
      <w:r>
        <w:rPr/>
        <w:t>model.</w:t>
      </w:r>
      <w:r>
        <w:rPr>
          <w:spacing w:val="-4"/>
        </w:rPr>
        <w:t> </w:t>
      </w:r>
      <w:r>
        <w:rPr/>
        <w:t>Again,</w:t>
      </w:r>
      <w:r>
        <w:rPr>
          <w:spacing w:val="-6"/>
        </w:rPr>
        <w:t> </w:t>
      </w:r>
      <w:r>
        <w:rPr/>
        <w:t>contrary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main</w:t>
      </w:r>
      <w:r>
        <w:rPr>
          <w:spacing w:val="-14"/>
        </w:rPr>
        <w:t> </w:t>
      </w:r>
      <w:r>
        <w:rPr>
          <w:spacing w:val="-1"/>
        </w:rPr>
        <w:t>finding</w:t>
      </w:r>
      <w:r>
        <w:rPr>
          <w:spacing w:val="-17"/>
        </w:rPr>
        <w:t> </w:t>
      </w:r>
      <w:r>
        <w:rPr/>
        <w:t>in</w:t>
      </w:r>
      <w:r>
        <w:rPr>
          <w:spacing w:val="-14"/>
        </w:rPr>
        <w:t> </w:t>
      </w:r>
      <w:r>
        <w:rPr/>
        <w:t>FE</w:t>
      </w:r>
      <w:r>
        <w:rPr>
          <w:spacing w:val="-12"/>
        </w:rPr>
        <w:t> </w:t>
      </w:r>
      <w:r>
        <w:rPr/>
        <w:t>model</w:t>
      </w:r>
      <w:r>
        <w:rPr>
          <w:spacing w:val="-15"/>
        </w:rPr>
        <w:t> </w:t>
      </w:r>
      <w:r>
        <w:rPr/>
        <w:t>(see</w:t>
      </w:r>
      <w:r>
        <w:rPr>
          <w:spacing w:val="-15"/>
        </w:rPr>
        <w:t> </w:t>
      </w:r>
      <w:r>
        <w:rPr/>
        <w:t>Table</w:t>
      </w:r>
      <w:r>
        <w:rPr>
          <w:spacing w:val="-16"/>
        </w:rPr>
        <w:t> </w:t>
      </w:r>
      <w:r>
        <w:rPr/>
        <w:t>5.19),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Wave</w:t>
      </w:r>
      <w:r>
        <w:rPr>
          <w:spacing w:val="-13"/>
        </w:rPr>
        <w:t> </w:t>
      </w:r>
      <w:r>
        <w:rPr/>
        <w:t>III’s</w:t>
      </w:r>
      <w:r>
        <w:rPr>
          <w:spacing w:val="-14"/>
        </w:rPr>
        <w:t> </w:t>
      </w:r>
      <w:r>
        <w:rPr/>
        <w:t>estimates</w:t>
      </w:r>
      <w:r>
        <w:rPr>
          <w:spacing w:val="-14"/>
        </w:rPr>
        <w:t> </w:t>
      </w:r>
      <w:r>
        <w:rPr/>
        <w:t>show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probability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seeking</w:t>
      </w:r>
      <w:r>
        <w:rPr>
          <w:spacing w:val="-15"/>
        </w:rPr>
        <w:t> </w:t>
      </w:r>
      <w:r>
        <w:rPr>
          <w:spacing w:val="-1"/>
        </w:rPr>
        <w:t>appropriate</w:t>
      </w:r>
      <w:r>
        <w:rPr>
          <w:spacing w:val="-12"/>
        </w:rPr>
        <w:t> </w:t>
      </w:r>
      <w:r>
        <w:rPr/>
        <w:t>when</w:t>
      </w:r>
      <w:r>
        <w:rPr>
          <w:spacing w:val="-11"/>
        </w:rPr>
        <w:t> </w:t>
      </w:r>
      <w:r>
        <w:rPr/>
        <w:t>couple</w:t>
      </w:r>
      <w:r>
        <w:rPr>
          <w:spacing w:val="-11"/>
        </w:rPr>
        <w:t> </w:t>
      </w:r>
      <w:r>
        <w:rPr/>
        <w:t>co-habit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non-significant.</w:t>
      </w:r>
      <w:r>
        <w:rPr>
          <w:spacing w:val="-10"/>
        </w:rPr>
        <w:t> </w:t>
      </w:r>
      <w:r>
        <w:rPr/>
        <w:t>However,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concord</w:t>
      </w:r>
      <w:r>
        <w:rPr>
          <w:spacing w:val="-13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main</w:t>
      </w:r>
      <w:r>
        <w:rPr>
          <w:spacing w:val="-57"/>
        </w:rPr>
        <w:t> </w:t>
      </w:r>
      <w:r>
        <w:rPr/>
        <w:t>results,</w:t>
      </w:r>
      <w:r>
        <w:rPr>
          <w:spacing w:val="-1"/>
        </w:rPr>
        <w:t> </w:t>
      </w:r>
      <w:r>
        <w:rPr/>
        <w:t>living</w:t>
      </w:r>
      <w:r>
        <w:rPr>
          <w:spacing w:val="-2"/>
        </w:rPr>
        <w:t> </w:t>
      </w:r>
      <w:r>
        <w:rPr/>
        <w:t>apart</w:t>
      </w:r>
      <w:r>
        <w:rPr>
          <w:spacing w:val="-1"/>
        </w:rPr>
        <w:t> </w:t>
      </w:r>
      <w:r>
        <w:rPr/>
        <w:t>related with inappropriate</w:t>
      </w:r>
      <w:r>
        <w:rPr>
          <w:spacing w:val="-1"/>
        </w:rPr>
        <w:t> </w:t>
      </w:r>
      <w:r>
        <w:rPr/>
        <w:t>healthcare</w:t>
      </w:r>
      <w:r>
        <w:rPr>
          <w:spacing w:val="-2"/>
        </w:rPr>
        <w:t> </w:t>
      </w:r>
      <w:r>
        <w:rPr/>
        <w:t>seeking</w:t>
      </w:r>
      <w:r>
        <w:rPr>
          <w:spacing w:val="-3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in all the</w:t>
      </w:r>
      <w:r>
        <w:rPr>
          <w:spacing w:val="-2"/>
        </w:rPr>
        <w:t> </w:t>
      </w:r>
      <w:r>
        <w:rPr/>
        <w:t>models.</w:t>
      </w:r>
    </w:p>
    <w:p>
      <w:pPr>
        <w:pStyle w:val="BodyText"/>
        <w:spacing w:line="360" w:lineRule="auto" w:before="186"/>
        <w:ind w:left="120" w:right="113"/>
        <w:jc w:val="both"/>
      </w:pPr>
      <w:r>
        <w:rPr/>
        <w:t>In addition, as literature has established that income inequality-HSB is often mediated by more</w:t>
      </w:r>
      <w:r>
        <w:rPr>
          <w:spacing w:val="1"/>
        </w:rPr>
        <w:t> </w:t>
      </w:r>
      <w:r>
        <w:rPr>
          <w:spacing w:val="-1"/>
        </w:rPr>
        <w:t>incomes</w:t>
      </w:r>
      <w:r>
        <w:rPr>
          <w:spacing w:val="-12"/>
        </w:rPr>
        <w:t> </w:t>
      </w:r>
      <w:r>
        <w:rPr>
          <w:spacing w:val="-1"/>
        </w:rPr>
        <w:t>(see</w:t>
      </w:r>
      <w:r>
        <w:rPr>
          <w:spacing w:val="-13"/>
        </w:rPr>
        <w:t> </w:t>
      </w:r>
      <w:r>
        <w:rPr>
          <w:sz w:val="23"/>
        </w:rPr>
        <w:t>Novignon</w:t>
      </w:r>
      <w:r>
        <w:rPr>
          <w:spacing w:val="-10"/>
          <w:sz w:val="23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</w:t>
      </w:r>
      <w:r>
        <w:rPr>
          <w:i/>
          <w:spacing w:val="-11"/>
        </w:rPr>
        <w:t> </w:t>
      </w:r>
      <w:r>
        <w:rPr/>
        <w:t>2017).</w:t>
      </w:r>
      <w:r>
        <w:rPr>
          <w:spacing w:val="-12"/>
        </w:rPr>
        <w:t> </w:t>
      </w:r>
      <w:r>
        <w:rPr/>
        <w:t>However,</w:t>
      </w:r>
      <w:r>
        <w:rPr>
          <w:spacing w:val="-13"/>
        </w:rPr>
        <w:t> </w:t>
      </w:r>
      <w:r>
        <w:rPr/>
        <w:t>unlike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>
          <w:sz w:val="23"/>
        </w:rPr>
        <w:t>main</w:t>
      </w:r>
      <w:r>
        <w:rPr>
          <w:spacing w:val="-12"/>
          <w:sz w:val="23"/>
        </w:rPr>
        <w:t> </w:t>
      </w:r>
      <w:r>
        <w:rPr>
          <w:sz w:val="23"/>
        </w:rPr>
        <w:t>results</w:t>
      </w:r>
      <w:r>
        <w:rPr>
          <w:spacing w:val="-9"/>
          <w:sz w:val="23"/>
        </w:rPr>
        <w:t> </w:t>
      </w:r>
      <w:r>
        <w:rPr/>
        <w:t>in</w:t>
      </w:r>
      <w:r>
        <w:rPr>
          <w:spacing w:val="-12"/>
        </w:rPr>
        <w:t> </w:t>
      </w:r>
      <w:r>
        <w:rPr/>
        <w:t>FE</w:t>
      </w:r>
      <w:r>
        <w:rPr>
          <w:spacing w:val="-15"/>
        </w:rPr>
        <w:t> </w:t>
      </w:r>
      <w:r>
        <w:rPr/>
        <w:t>model</w:t>
      </w:r>
      <w:r>
        <w:rPr>
          <w:spacing w:val="-12"/>
        </w:rPr>
        <w:t> </w:t>
      </w:r>
      <w:r>
        <w:rPr/>
        <w:t>(see</w:t>
      </w:r>
      <w:r>
        <w:rPr>
          <w:spacing w:val="-13"/>
        </w:rPr>
        <w:t> </w:t>
      </w:r>
      <w:r>
        <w:rPr/>
        <w:t>Table</w:t>
      </w:r>
      <w:r>
        <w:rPr>
          <w:spacing w:val="-13"/>
        </w:rPr>
        <w:t> </w:t>
      </w:r>
      <w:r>
        <w:rPr/>
        <w:t>5.19),</w:t>
      </w:r>
      <w:r>
        <w:rPr>
          <w:spacing w:val="-58"/>
        </w:rPr>
        <w:t> </w:t>
      </w:r>
      <w:r>
        <w:rPr/>
        <w:t>the</w:t>
      </w:r>
      <w:r>
        <w:rPr>
          <w:spacing w:val="-6"/>
        </w:rPr>
        <w:t> </w:t>
      </w:r>
      <w:r>
        <w:rPr/>
        <w:t>robustness</w:t>
      </w:r>
      <w:r>
        <w:rPr>
          <w:spacing w:val="-4"/>
        </w:rPr>
        <w:t> </w:t>
      </w:r>
      <w:r>
        <w:rPr/>
        <w:t>checks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Wave</w:t>
      </w:r>
      <w:r>
        <w:rPr>
          <w:spacing w:val="-6"/>
        </w:rPr>
        <w:t> </w:t>
      </w:r>
      <w:r>
        <w:rPr/>
        <w:t>III’s</w:t>
      </w:r>
      <w:r>
        <w:rPr>
          <w:spacing w:val="-5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shows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household’s</w:t>
      </w:r>
      <w:r>
        <w:rPr>
          <w:spacing w:val="-5"/>
        </w:rPr>
        <w:t> </w:t>
      </w:r>
      <w:r>
        <w:rPr/>
        <w:t>incomes</w:t>
      </w:r>
      <w:r>
        <w:rPr>
          <w:spacing w:val="-6"/>
        </w:rPr>
        <w:t> </w:t>
      </w:r>
      <w:r>
        <w:rPr/>
        <w:t>from</w:t>
      </w:r>
      <w:r>
        <w:rPr>
          <w:spacing w:val="-4"/>
        </w:rPr>
        <w:t> </w:t>
      </w:r>
      <w:r>
        <w:rPr/>
        <w:t>wages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salaries was positive only in FE model significantly. The estimates of POLS and RE were found</w:t>
      </w:r>
      <w:r>
        <w:rPr>
          <w:spacing w:val="1"/>
        </w:rPr>
        <w:t> </w:t>
      </w:r>
      <w:r>
        <w:rPr/>
        <w:t>negative, which could imply that the chronic stress related with getting wages/salaries in Nigeria</w:t>
      </w:r>
      <w:r>
        <w:rPr>
          <w:spacing w:val="1"/>
        </w:rPr>
        <w:t> </w:t>
      </w:r>
      <w:r>
        <w:rPr/>
        <w:t>(but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absolute</w:t>
      </w:r>
      <w:r>
        <w:rPr>
          <w:spacing w:val="-6"/>
        </w:rPr>
        <w:t> </w:t>
      </w:r>
      <w:r>
        <w:rPr/>
        <w:t>incomes)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more</w:t>
      </w:r>
      <w:r>
        <w:rPr>
          <w:spacing w:val="-6"/>
        </w:rPr>
        <w:t> </w:t>
      </w:r>
      <w:r>
        <w:rPr/>
        <w:t>likely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/>
        <w:t>lead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inappropriate</w:t>
      </w:r>
      <w:r>
        <w:rPr>
          <w:spacing w:val="-6"/>
        </w:rPr>
        <w:t> </w:t>
      </w:r>
      <w:r>
        <w:rPr/>
        <w:t>medical</w:t>
      </w:r>
      <w:r>
        <w:rPr>
          <w:spacing w:val="-6"/>
        </w:rPr>
        <w:t> </w:t>
      </w:r>
      <w:r>
        <w:rPr/>
        <w:t>care</w:t>
      </w:r>
      <w:r>
        <w:rPr>
          <w:spacing w:val="-6"/>
        </w:rPr>
        <w:t> </w:t>
      </w:r>
      <w:r>
        <w:rPr/>
        <w:t>utilization. On</w:t>
      </w:r>
      <w:r>
        <w:rPr>
          <w:spacing w:val="-58"/>
        </w:rPr>
        <w:t> </w:t>
      </w:r>
      <w:r>
        <w:rPr/>
        <w:t>the</w:t>
      </w:r>
      <w:r>
        <w:rPr>
          <w:spacing w:val="-9"/>
        </w:rPr>
        <w:t> </w:t>
      </w:r>
      <w:r>
        <w:rPr/>
        <w:t>other</w:t>
      </w:r>
      <w:r>
        <w:rPr>
          <w:spacing w:val="-9"/>
        </w:rPr>
        <w:t> </w:t>
      </w:r>
      <w:r>
        <w:rPr/>
        <w:t>hand,</w:t>
      </w:r>
      <w:r>
        <w:rPr>
          <w:spacing w:val="-5"/>
        </w:rPr>
        <w:t> </w:t>
      </w:r>
      <w:r>
        <w:rPr/>
        <w:t>farming/livestock</w:t>
      </w:r>
      <w:r>
        <w:rPr>
          <w:spacing w:val="-8"/>
        </w:rPr>
        <w:t> </w:t>
      </w:r>
      <w:r>
        <w:rPr/>
        <w:t>income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monetary</w:t>
      </w:r>
      <w:r>
        <w:rPr>
          <w:spacing w:val="-12"/>
        </w:rPr>
        <w:t> </w:t>
      </w:r>
      <w:r>
        <w:rPr/>
        <w:t>transfers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found</w:t>
      </w:r>
      <w:r>
        <w:rPr>
          <w:spacing w:val="-7"/>
        </w:rPr>
        <w:t> </w:t>
      </w:r>
      <w:r>
        <w:rPr/>
        <w:t>positive</w:t>
      </w:r>
      <w:r>
        <w:rPr>
          <w:spacing w:val="-10"/>
        </w:rPr>
        <w:t> </w:t>
      </w:r>
      <w:r>
        <w:rPr/>
        <w:t>significantly</w:t>
      </w:r>
      <w:r>
        <w:rPr>
          <w:spacing w:val="-57"/>
        </w:rPr>
        <w:t> </w:t>
      </w:r>
      <w:r>
        <w:rPr/>
        <w:t>with seeking orthodoxy healthcare in all the models. It suggests that as these incomes increases,</w:t>
      </w:r>
      <w:r>
        <w:rPr>
          <w:spacing w:val="1"/>
        </w:rPr>
        <w:t> </w:t>
      </w:r>
      <w:r>
        <w:rPr/>
        <w:t>people will seek more orthodoxy medical-care services in times of illness. Again, incomes from</w:t>
      </w:r>
      <w:r>
        <w:rPr>
          <w:spacing w:val="1"/>
        </w:rPr>
        <w:t> </w:t>
      </w:r>
      <w:r>
        <w:rPr/>
        <w:t>investments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properties-owned</w:t>
      </w:r>
      <w:r>
        <w:rPr>
          <w:spacing w:val="-1"/>
        </w:rPr>
        <w:t> </w:t>
      </w:r>
      <w:r>
        <w:rPr/>
        <w:t>were</w:t>
      </w:r>
      <w:r>
        <w:rPr>
          <w:spacing w:val="-5"/>
        </w:rPr>
        <w:t> </w:t>
      </w:r>
      <w:r>
        <w:rPr/>
        <w:t>insignificant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inversely</w:t>
      </w:r>
      <w:r>
        <w:rPr>
          <w:spacing w:val="-6"/>
        </w:rPr>
        <w:t> </w:t>
      </w:r>
      <w:r>
        <w:rPr/>
        <w:t>related.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further</w:t>
      </w:r>
      <w:r>
        <w:rPr>
          <w:spacing w:val="-5"/>
        </w:rPr>
        <w:t> </w:t>
      </w:r>
      <w:r>
        <w:rPr/>
        <w:t>show</w:t>
      </w:r>
      <w:r>
        <w:rPr>
          <w:spacing w:val="-4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results in Table</w:t>
      </w:r>
      <w:r>
        <w:rPr>
          <w:spacing w:val="1"/>
        </w:rPr>
        <w:t> </w:t>
      </w:r>
      <w:r>
        <w:rPr/>
        <w:t>5.19 is highly</w:t>
      </w:r>
      <w:r>
        <w:rPr>
          <w:spacing w:val="-3"/>
        </w:rPr>
        <w:t> </w:t>
      </w:r>
      <w:r>
        <w:rPr/>
        <w:t>robust.</w:t>
      </w:r>
    </w:p>
    <w:p>
      <w:pPr>
        <w:pStyle w:val="BodyText"/>
        <w:spacing w:line="360" w:lineRule="auto" w:before="137"/>
        <w:ind w:left="120" w:right="113"/>
        <w:jc w:val="both"/>
      </w:pPr>
      <w:r>
        <w:rPr/>
        <w:t>Gini-coefficient estimate also show that the effect of income inequality is negative on orthodoxy</w:t>
      </w:r>
      <w:r>
        <w:rPr>
          <w:spacing w:val="1"/>
        </w:rPr>
        <w:t> </w:t>
      </w:r>
      <w:r>
        <w:rPr/>
        <w:t>medical-care</w:t>
      </w:r>
      <w:r>
        <w:rPr>
          <w:spacing w:val="-13"/>
        </w:rPr>
        <w:t> </w:t>
      </w:r>
      <w:r>
        <w:rPr/>
        <w:t>seeking</w:t>
      </w:r>
      <w:r>
        <w:rPr>
          <w:spacing w:val="-13"/>
        </w:rPr>
        <w:t> </w:t>
      </w:r>
      <w:r>
        <w:rPr/>
        <w:t>at</w:t>
      </w:r>
      <w:r>
        <w:rPr>
          <w:spacing w:val="-11"/>
        </w:rPr>
        <w:t> </w:t>
      </w:r>
      <w:r>
        <w:rPr/>
        <w:t>1%</w:t>
      </w:r>
      <w:r>
        <w:rPr>
          <w:spacing w:val="-12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level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all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models</w:t>
      </w:r>
      <w:r>
        <w:rPr>
          <w:spacing w:val="-11"/>
        </w:rPr>
        <w:t> </w:t>
      </w:r>
      <w:r>
        <w:rPr/>
        <w:t>except</w:t>
      </w:r>
      <w:r>
        <w:rPr>
          <w:spacing w:val="-11"/>
        </w:rPr>
        <w:t> </w:t>
      </w:r>
      <w:r>
        <w:rPr/>
        <w:t>POLS.</w:t>
      </w:r>
      <w:r>
        <w:rPr>
          <w:spacing w:val="-9"/>
        </w:rPr>
        <w:t> </w:t>
      </w:r>
      <w:r>
        <w:rPr/>
        <w:t>This</w:t>
      </w:r>
      <w:r>
        <w:rPr>
          <w:spacing w:val="-11"/>
        </w:rPr>
        <w:t> </w:t>
      </w:r>
      <w:r>
        <w:rPr/>
        <w:t>might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because</w:t>
      </w:r>
      <w:r>
        <w:rPr>
          <w:spacing w:val="-58"/>
        </w:rPr>
        <w:t> </w:t>
      </w:r>
      <w:r>
        <w:rPr/>
        <w:t>POLS model assumed all households are the same. This finding is not surprising, as it is robust</w:t>
      </w:r>
      <w:r>
        <w:rPr>
          <w:spacing w:val="1"/>
        </w:rPr>
        <w:t> </w:t>
      </w:r>
      <w:r>
        <w:rPr>
          <w:spacing w:val="-1"/>
        </w:rPr>
        <w:t>against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major</w:t>
      </w:r>
      <w:r>
        <w:rPr>
          <w:spacing w:val="-11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(FE</w:t>
      </w:r>
      <w:r>
        <w:rPr>
          <w:spacing w:val="-10"/>
        </w:rPr>
        <w:t> </w:t>
      </w:r>
      <w:r>
        <w:rPr/>
        <w:t>model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Table</w:t>
      </w:r>
      <w:r>
        <w:rPr>
          <w:spacing w:val="-11"/>
        </w:rPr>
        <w:t> </w:t>
      </w:r>
      <w:r>
        <w:rPr/>
        <w:t>5.19).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overall</w:t>
      </w:r>
      <w:r>
        <w:rPr>
          <w:spacing w:val="-9"/>
        </w:rPr>
        <w:t> </w:t>
      </w:r>
      <w:r>
        <w:rPr/>
        <w:t>probability</w:t>
      </w:r>
      <w:r>
        <w:rPr>
          <w:spacing w:val="-15"/>
        </w:rPr>
        <w:t> </w:t>
      </w:r>
      <w:r>
        <w:rPr/>
        <w:t>value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p&lt;</w:t>
      </w:r>
      <w:r>
        <w:rPr>
          <w:spacing w:val="-11"/>
        </w:rPr>
        <w:t> </w:t>
      </w:r>
      <w:r>
        <w:rPr/>
        <w:t>0.0001</w:t>
      </w:r>
      <w:r>
        <w:rPr>
          <w:spacing w:val="-57"/>
        </w:rPr>
        <w:t> </w:t>
      </w:r>
      <w:r>
        <w:rPr/>
        <w:t>less</w:t>
      </w:r>
      <w:r>
        <w:rPr>
          <w:spacing w:val="-12"/>
        </w:rPr>
        <w:t> </w:t>
      </w:r>
      <w:r>
        <w:rPr/>
        <w:t>than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threshold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1%,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diagnostic</w:t>
      </w:r>
      <w:r>
        <w:rPr>
          <w:spacing w:val="-13"/>
        </w:rPr>
        <w:t> </w:t>
      </w:r>
      <w:r>
        <w:rPr/>
        <w:t>tests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also</w:t>
      </w:r>
      <w:r>
        <w:rPr>
          <w:spacing w:val="-12"/>
        </w:rPr>
        <w:t> </w:t>
      </w:r>
      <w:r>
        <w:rPr/>
        <w:t>satisfactory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thus</w:t>
      </w:r>
      <w:r>
        <w:rPr>
          <w:spacing w:val="-12"/>
        </w:rPr>
        <w:t> </w:t>
      </w:r>
      <w:r>
        <w:rPr/>
        <w:t>validate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potency</w:t>
      </w:r>
      <w:r>
        <w:rPr>
          <w:spacing w:val="-57"/>
        </w:rPr>
        <w:t> </w:t>
      </w:r>
      <w:r>
        <w:rPr/>
        <w:t>of the main results. Clearly, the study’s findings have a strong explaining power for the effect of</w:t>
      </w:r>
      <w:r>
        <w:rPr>
          <w:spacing w:val="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on health-seeking</w:t>
      </w:r>
      <w:r>
        <w:rPr>
          <w:spacing w:val="-2"/>
        </w:rPr>
        <w:t> </w:t>
      </w:r>
      <w:r>
        <w:rPr/>
        <w:t>behaviour in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line="355" w:lineRule="auto" w:before="138"/>
        <w:ind w:left="120" w:right="115"/>
        <w:jc w:val="both"/>
      </w:pPr>
      <w:r>
        <w:rPr/>
        <w:t>The results for heterogeneity from BPLM test as presented in Table 5.31 also indicated need to</w:t>
      </w:r>
      <w:r>
        <w:rPr>
          <w:spacing w:val="1"/>
        </w:rPr>
        <w:t> </w:t>
      </w:r>
      <w:r>
        <w:rPr>
          <w:spacing w:val="-1"/>
        </w:rPr>
        <w:t>reject</w:t>
      </w:r>
      <w:r>
        <w:rPr>
          <w:spacing w:val="-8"/>
        </w:rPr>
        <w:t> </w:t>
      </w:r>
      <w:r>
        <w:rPr>
          <w:i/>
          <w:sz w:val="25"/>
        </w:rPr>
        <w:t>H</w:t>
      </w:r>
      <w:r>
        <w:rPr>
          <w:i/>
          <w:sz w:val="25"/>
          <w:vertAlign w:val="subscript"/>
        </w:rPr>
        <w:t>o</w:t>
      </w:r>
      <w:r>
        <w:rPr>
          <w:i/>
          <w:spacing w:val="-5"/>
          <w:sz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homoskedasticity.</w:t>
      </w:r>
      <w:r>
        <w:rPr>
          <w:spacing w:val="-9"/>
          <w:vertAlign w:val="baseline"/>
        </w:rPr>
        <w:t> </w:t>
      </w:r>
      <w:r>
        <w:rPr>
          <w:vertAlign w:val="baseline"/>
        </w:rPr>
        <w:t>Hence,</w:t>
      </w:r>
      <w:r>
        <w:rPr>
          <w:spacing w:val="-10"/>
          <w:vertAlign w:val="baseline"/>
        </w:rPr>
        <w:t> </w:t>
      </w:r>
      <w:r>
        <w:rPr>
          <w:vertAlign w:val="baseline"/>
        </w:rPr>
        <w:t>POLS</w:t>
      </w:r>
      <w:r>
        <w:rPr>
          <w:spacing w:val="-9"/>
          <w:vertAlign w:val="baseline"/>
        </w:rPr>
        <w:t> </w:t>
      </w:r>
      <w:r>
        <w:rPr>
          <w:vertAlign w:val="baseline"/>
        </w:rPr>
        <w:t>is</w:t>
      </w:r>
      <w:r>
        <w:rPr>
          <w:spacing w:val="-7"/>
          <w:vertAlign w:val="baseline"/>
        </w:rPr>
        <w:t> </w:t>
      </w:r>
      <w:r>
        <w:rPr>
          <w:sz w:val="23"/>
          <w:vertAlign w:val="baseline"/>
        </w:rPr>
        <w:t>statistically</w:t>
      </w:r>
      <w:r>
        <w:rPr>
          <w:spacing w:val="-14"/>
          <w:sz w:val="23"/>
          <w:vertAlign w:val="baseline"/>
        </w:rPr>
        <w:t> </w:t>
      </w:r>
      <w:r>
        <w:rPr>
          <w:sz w:val="23"/>
          <w:vertAlign w:val="baseline"/>
        </w:rPr>
        <w:t>insignificant</w:t>
      </w:r>
      <w:r>
        <w:rPr>
          <w:spacing w:val="-3"/>
          <w:sz w:val="23"/>
          <w:vertAlign w:val="baseline"/>
        </w:rPr>
        <w:t> </w:t>
      </w:r>
      <w:r>
        <w:rPr>
          <w:vertAlign w:val="baseline"/>
        </w:rPr>
        <w:t>to</w:t>
      </w:r>
      <w:r>
        <w:rPr>
          <w:spacing w:val="-9"/>
          <w:vertAlign w:val="baseline"/>
        </w:rPr>
        <w:t> </w:t>
      </w:r>
      <w:r>
        <w:rPr>
          <w:vertAlign w:val="baseline"/>
        </w:rPr>
        <w:t>explain</w:t>
      </w:r>
      <w:r>
        <w:rPr>
          <w:spacing w:val="-8"/>
          <w:vertAlign w:val="baseline"/>
        </w:rPr>
        <w:t> </w:t>
      </w:r>
      <w:r>
        <w:rPr>
          <w:vertAlign w:val="baseline"/>
        </w:rPr>
        <w:t>HSB</w:t>
      </w:r>
      <w:r>
        <w:rPr>
          <w:spacing w:val="-12"/>
          <w:vertAlign w:val="baseline"/>
        </w:rPr>
        <w:t> </w:t>
      </w:r>
      <w:r>
        <w:rPr>
          <w:vertAlign w:val="baseline"/>
        </w:rPr>
        <w:t>in</w:t>
      </w:r>
      <w:r>
        <w:rPr>
          <w:spacing w:val="-9"/>
          <w:vertAlign w:val="baseline"/>
        </w:rPr>
        <w:t> </w:t>
      </w:r>
      <w:r>
        <w:rPr>
          <w:vertAlign w:val="baseline"/>
        </w:rPr>
        <w:t>Nigeria.</w:t>
      </w:r>
    </w:p>
    <w:p>
      <w:pPr>
        <w:spacing w:after="0" w:line="355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Heading4"/>
        <w:spacing w:before="77" w:after="3"/>
        <w:ind w:left="120"/>
      </w:pPr>
      <w:r>
        <w:rPr/>
        <w:t>Table</w:t>
      </w:r>
      <w:r>
        <w:rPr>
          <w:spacing w:val="-2"/>
        </w:rPr>
        <w:t> </w:t>
      </w:r>
      <w:r>
        <w:rPr/>
        <w:t>5.31</w:t>
      </w:r>
      <w:r>
        <w:rPr>
          <w:spacing w:val="-2"/>
        </w:rPr>
        <w:t> </w:t>
      </w:r>
      <w:r>
        <w:rPr/>
        <w:t>Homogeneity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 from</w:t>
      </w:r>
      <w:r>
        <w:rPr>
          <w:spacing w:val="-2"/>
        </w:rPr>
        <w:t> </w:t>
      </w:r>
      <w:r>
        <w:rPr/>
        <w:t>NGHPS</w:t>
      </w:r>
      <w:r>
        <w:rPr>
          <w:spacing w:val="-1"/>
        </w:rPr>
        <w:t> </w:t>
      </w:r>
      <w:r>
        <w:rPr/>
        <w:t>Wave</w:t>
      </w:r>
      <w:r>
        <w:rPr>
          <w:spacing w:val="-2"/>
        </w:rPr>
        <w:t> </w:t>
      </w:r>
      <w:r>
        <w:rPr/>
        <w:t>III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1532"/>
        <w:gridCol w:w="6385"/>
      </w:tblGrid>
      <w:tr>
        <w:trPr>
          <w:trHeight w:val="414" w:hRule="atLeast"/>
        </w:trPr>
        <w:tc>
          <w:tcPr>
            <w:tcW w:w="1435" w:type="dxa"/>
          </w:tcPr>
          <w:p>
            <w:pPr>
              <w:pStyle w:val="TableParagraph"/>
              <w:spacing w:before="4"/>
              <w:ind w:left="209" w:right="208"/>
              <w:jc w:val="center"/>
              <w:rPr>
                <w:rFonts w:ascii="Cambria Math" w:hAnsi="Cambria Math" w:eastAsia="Cambria Math"/>
                <w:sz w:val="22"/>
              </w:rPr>
            </w:pPr>
            <w:r>
              <w:rPr>
                <w:rFonts w:ascii="Cambria Math" w:hAnsi="Cambria Math" w:eastAsia="Cambria Math"/>
                <w:w w:val="105"/>
                <w:sz w:val="22"/>
              </w:rPr>
              <w:t>𝐶ℎ𝑖</w:t>
            </w:r>
            <w:r>
              <w:rPr>
                <w:rFonts w:ascii="Cambria Math" w:hAnsi="Cambria Math" w:eastAsia="Cambria Math"/>
                <w:w w:val="105"/>
                <w:sz w:val="22"/>
                <w:vertAlign w:val="superscript"/>
              </w:rPr>
              <w:t>2</w:t>
            </w:r>
          </w:p>
        </w:tc>
        <w:tc>
          <w:tcPr>
            <w:tcW w:w="1532" w:type="dxa"/>
          </w:tcPr>
          <w:p>
            <w:pPr>
              <w:pStyle w:val="TableParagraph"/>
              <w:spacing w:line="247" w:lineRule="exact"/>
              <w:ind w:left="242" w:right="237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Probability</w:t>
            </w:r>
          </w:p>
        </w:tc>
        <w:tc>
          <w:tcPr>
            <w:tcW w:w="6385" w:type="dxa"/>
          </w:tcPr>
          <w:p>
            <w:pPr>
              <w:pStyle w:val="TableParagraph"/>
              <w:spacing w:line="270" w:lineRule="exact"/>
              <w:ind w:left="2794" w:right="2794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Remark</w:t>
            </w:r>
          </w:p>
        </w:tc>
      </w:tr>
      <w:tr>
        <w:trPr>
          <w:trHeight w:val="422" w:hRule="atLeast"/>
        </w:trPr>
        <w:tc>
          <w:tcPr>
            <w:tcW w:w="1435" w:type="dxa"/>
          </w:tcPr>
          <w:p>
            <w:pPr>
              <w:pStyle w:val="TableParagraph"/>
              <w:spacing w:line="270" w:lineRule="exact"/>
              <w:ind w:left="217" w:right="20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8,741.96</w:t>
            </w:r>
          </w:p>
        </w:tc>
        <w:tc>
          <w:tcPr>
            <w:tcW w:w="1532" w:type="dxa"/>
          </w:tcPr>
          <w:p>
            <w:pPr>
              <w:pStyle w:val="TableParagraph"/>
              <w:spacing w:line="270" w:lineRule="exact"/>
              <w:ind w:left="242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0.0000</w:t>
            </w:r>
          </w:p>
        </w:tc>
        <w:tc>
          <w:tcPr>
            <w:tcW w:w="6385" w:type="dxa"/>
          </w:tcPr>
          <w:p>
            <w:pPr>
              <w:pStyle w:val="TableParagraph"/>
              <w:spacing w:line="311" w:lineRule="exact"/>
              <w:ind w:left="105"/>
              <w:jc w:val="left"/>
              <w:rPr>
                <w:rFonts w:ascii="Cambria Math" w:eastAsia="Cambria Math"/>
                <w:sz w:val="22"/>
              </w:rPr>
            </w:pPr>
            <w:r>
              <w:rPr>
                <w:rFonts w:ascii="Times New Roman" w:eastAsia="Times New Roman"/>
                <w:sz w:val="22"/>
              </w:rPr>
              <w:t>Since</w:t>
            </w:r>
            <w:r>
              <w:rPr>
                <w:rFonts w:ascii="Times New Roman" w:eastAsia="Times New Roman"/>
                <w:spacing w:val="-2"/>
                <w:sz w:val="22"/>
              </w:rPr>
              <w:t> </w:t>
            </w:r>
            <w:r>
              <w:rPr>
                <w:rFonts w:ascii="Cambria Math" w:eastAsia="Cambria Math"/>
                <w:sz w:val="24"/>
              </w:rPr>
              <w:t>𝑝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&lt;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0.0000</w:t>
            </w:r>
            <w:r>
              <w:rPr>
                <w:rFonts w:ascii="Cambria Math" w:eastAsia="Cambria Math"/>
                <w:spacing w:val="11"/>
                <w:sz w:val="24"/>
              </w:rPr>
              <w:t> </w:t>
            </w:r>
            <w:r>
              <w:rPr>
                <w:rFonts w:ascii="Times New Roman" w:eastAsia="Times New Roman"/>
                <w:sz w:val="22"/>
              </w:rPr>
              <w:t>is</w:t>
            </w:r>
            <w:r>
              <w:rPr>
                <w:rFonts w:ascii="Times New Roman" w:eastAsia="Times New Roman"/>
                <w:spacing w:val="-2"/>
                <w:sz w:val="22"/>
              </w:rPr>
              <w:t> </w:t>
            </w:r>
            <w:r>
              <w:rPr>
                <w:rFonts w:ascii="Times New Roman" w:eastAsia="Times New Roman"/>
                <w:i/>
                <w:sz w:val="22"/>
              </w:rPr>
              <w:t>below</w:t>
            </w:r>
            <w:r>
              <w:rPr>
                <w:rFonts w:ascii="Times New Roman" w:eastAsia="Times New Roman"/>
                <w:i/>
                <w:spacing w:val="-1"/>
                <w:sz w:val="22"/>
              </w:rPr>
              <w:t> </w:t>
            </w:r>
            <w:r>
              <w:rPr>
                <w:rFonts w:ascii="Times New Roman" w:eastAsia="Times New Roman"/>
                <w:sz w:val="22"/>
              </w:rPr>
              <w:t>the</w:t>
            </w:r>
            <w:r>
              <w:rPr>
                <w:rFonts w:ascii="Times New Roman" w:eastAsia="Times New Roman"/>
                <w:spacing w:val="-2"/>
                <w:sz w:val="22"/>
              </w:rPr>
              <w:t> </w:t>
            </w:r>
            <w:r>
              <w:rPr>
                <w:rFonts w:ascii="Times New Roman" w:eastAsia="Times New Roman"/>
                <w:sz w:val="22"/>
              </w:rPr>
              <w:t>threshold of 1% level. Rejects </w:t>
            </w:r>
            <w:r>
              <w:rPr>
                <w:rFonts w:ascii="Cambria Math" w:eastAsia="Cambria Math"/>
                <w:sz w:val="22"/>
              </w:rPr>
              <w:t>H</w:t>
            </w:r>
            <w:r>
              <w:rPr>
                <w:rFonts w:ascii="Cambria Math" w:eastAsia="Cambria Math"/>
                <w:position w:val="-4"/>
                <w:sz w:val="16"/>
              </w:rPr>
              <w:t>o</w:t>
            </w:r>
            <w:r>
              <w:rPr>
                <w:rFonts w:ascii="Cambria Math" w:eastAsia="Cambria Math"/>
                <w:sz w:val="22"/>
              </w:rPr>
              <w:t>.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Computed from</w:t>
      </w:r>
      <w:r>
        <w:rPr>
          <w:spacing w:val="-5"/>
          <w:sz w:val="20"/>
        </w:rPr>
        <w:t> </w:t>
      </w:r>
      <w:r>
        <w:rPr>
          <w:sz w:val="20"/>
        </w:rPr>
        <w:t>Stata</w:t>
      </w:r>
      <w:r>
        <w:rPr>
          <w:spacing w:val="-1"/>
          <w:sz w:val="20"/>
        </w:rPr>
        <w:t> </w:t>
      </w:r>
      <w:r>
        <w:rPr>
          <w:sz w:val="20"/>
        </w:rPr>
        <w:t>13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120" w:right="113"/>
        <w:jc w:val="both"/>
      </w:pPr>
      <w:r>
        <w:rPr/>
        <w:t>The next is to specify the most efficient, consistent and appropriate models between FE and RE</w:t>
      </w:r>
      <w:r>
        <w:rPr>
          <w:spacing w:val="1"/>
        </w:rPr>
        <w:t> </w:t>
      </w:r>
      <w:r>
        <w:rPr/>
        <w:t>models.</w:t>
      </w:r>
      <w:r>
        <w:rPr>
          <w:spacing w:val="-4"/>
        </w:rPr>
        <w:t> </w:t>
      </w:r>
      <w:r>
        <w:rPr/>
        <w:t>Hence,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Hausman</w:t>
      </w:r>
      <w:r>
        <w:rPr>
          <w:spacing w:val="-4"/>
        </w:rPr>
        <w:t> </w:t>
      </w:r>
      <w:r>
        <w:rPr/>
        <w:t>specification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was</w:t>
      </w:r>
      <w:r>
        <w:rPr>
          <w:spacing w:val="-2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4"/>
        </w:rPr>
        <w:t> </w:t>
      </w:r>
      <w:r>
        <w:rPr/>
        <w:t>5.32.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finding</w:t>
      </w:r>
      <w:r>
        <w:rPr>
          <w:spacing w:val="-6"/>
        </w:rPr>
        <w:t> </w:t>
      </w:r>
      <w:r>
        <w:rPr/>
        <w:t>shows</w:t>
      </w:r>
      <w:r>
        <w:rPr>
          <w:spacing w:val="-57"/>
        </w:rPr>
        <w:t> </w:t>
      </w:r>
      <w:r>
        <w:rPr>
          <w:spacing w:val="-1"/>
        </w:rPr>
        <w:t>that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chi-squared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-251.14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p-value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high,</w:t>
      </w:r>
      <w:r>
        <w:rPr>
          <w:spacing w:val="-13"/>
        </w:rPr>
        <w:t> </w:t>
      </w:r>
      <w:r>
        <w:rPr/>
        <w:t>0.3735</w:t>
      </w:r>
      <w:r>
        <w:rPr>
          <w:spacing w:val="-13"/>
        </w:rPr>
        <w:t> </w:t>
      </w:r>
      <w:r>
        <w:rPr/>
        <w:t>or</w:t>
      </w:r>
      <w:r>
        <w:rPr>
          <w:spacing w:val="-14"/>
        </w:rPr>
        <w:t> </w:t>
      </w:r>
      <w:r>
        <w:rPr/>
        <w:t>37%,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is</w:t>
      </w:r>
      <w:r>
        <w:rPr>
          <w:spacing w:val="-15"/>
        </w:rPr>
        <w:t> </w:t>
      </w:r>
      <w:r>
        <w:rPr/>
        <w:t>greater</w:t>
      </w:r>
      <w:r>
        <w:rPr>
          <w:spacing w:val="-14"/>
        </w:rPr>
        <w:t> </w:t>
      </w:r>
      <w:r>
        <w:rPr/>
        <w:t>than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highest</w:t>
      </w:r>
      <w:r>
        <w:rPr>
          <w:spacing w:val="-58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of 10%.</w:t>
      </w:r>
    </w:p>
    <w:p>
      <w:pPr>
        <w:pStyle w:val="Heading4"/>
        <w:spacing w:before="164" w:after="4"/>
        <w:ind w:left="120"/>
      </w:pPr>
      <w:r>
        <w:rPr/>
        <w:t>Table</w:t>
      </w:r>
      <w:r>
        <w:rPr>
          <w:spacing w:val="-1"/>
        </w:rPr>
        <w:t> </w:t>
      </w:r>
      <w:r>
        <w:rPr/>
        <w:t>5.32: Hausman</w:t>
      </w:r>
      <w:r>
        <w:rPr>
          <w:spacing w:val="-1"/>
        </w:rPr>
        <w:t> </w:t>
      </w:r>
      <w:r>
        <w:rPr/>
        <w:t>Test Results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Wave</w:t>
      </w:r>
      <w:r>
        <w:rPr>
          <w:spacing w:val="-1"/>
        </w:rPr>
        <w:t> </w:t>
      </w:r>
      <w:r>
        <w:rPr/>
        <w:t>III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4"/>
        <w:gridCol w:w="1978"/>
        <w:gridCol w:w="3080"/>
      </w:tblGrid>
      <w:tr>
        <w:trPr>
          <w:trHeight w:val="378" w:hRule="atLeast"/>
        </w:trPr>
        <w:tc>
          <w:tcPr>
            <w:tcW w:w="4124" w:type="dxa"/>
          </w:tcPr>
          <w:p>
            <w:pPr>
              <w:pStyle w:val="TableParagraph"/>
              <w:spacing w:line="247" w:lineRule="exact"/>
              <w:ind w:left="1068" w:right="1058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Chi-squared</w:t>
            </w:r>
            <w:r>
              <w:rPr>
                <w:rFonts w:asci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Statistics</w:t>
            </w:r>
          </w:p>
        </w:tc>
        <w:tc>
          <w:tcPr>
            <w:tcW w:w="1978" w:type="dxa"/>
          </w:tcPr>
          <w:p>
            <w:pPr>
              <w:pStyle w:val="TableParagraph"/>
              <w:spacing w:line="247" w:lineRule="exact"/>
              <w:ind w:left="199" w:right="189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Probability</w:t>
            </w:r>
          </w:p>
        </w:tc>
        <w:tc>
          <w:tcPr>
            <w:tcW w:w="3080" w:type="dxa"/>
          </w:tcPr>
          <w:p>
            <w:pPr>
              <w:pStyle w:val="TableParagraph"/>
              <w:spacing w:line="247" w:lineRule="exact"/>
              <w:ind w:left="796" w:right="787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Model</w:t>
            </w:r>
            <w:r>
              <w:rPr>
                <w:rFonts w:ascii="Times New Roman"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Indicated</w:t>
            </w:r>
          </w:p>
        </w:tc>
      </w:tr>
      <w:tr>
        <w:trPr>
          <w:trHeight w:val="378" w:hRule="atLeast"/>
        </w:trPr>
        <w:tc>
          <w:tcPr>
            <w:tcW w:w="4124" w:type="dxa"/>
          </w:tcPr>
          <w:p>
            <w:pPr>
              <w:pStyle w:val="TableParagraph"/>
              <w:spacing w:line="247" w:lineRule="exact"/>
              <w:ind w:left="1061" w:right="105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-251.14</w:t>
            </w:r>
          </w:p>
        </w:tc>
        <w:tc>
          <w:tcPr>
            <w:tcW w:w="1978" w:type="dxa"/>
          </w:tcPr>
          <w:p>
            <w:pPr>
              <w:pStyle w:val="TableParagraph"/>
              <w:spacing w:line="247" w:lineRule="exact"/>
              <w:ind w:left="199" w:right="18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0.3735</w:t>
            </w:r>
          </w:p>
        </w:tc>
        <w:tc>
          <w:tcPr>
            <w:tcW w:w="3080" w:type="dxa"/>
          </w:tcPr>
          <w:p>
            <w:pPr>
              <w:pStyle w:val="TableParagraph"/>
              <w:spacing w:line="247" w:lineRule="exact"/>
              <w:ind w:left="796" w:right="78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RE Model</w:t>
            </w:r>
          </w:p>
        </w:tc>
      </w:tr>
    </w:tbl>
    <w:p>
      <w:pPr>
        <w:spacing w:before="0"/>
        <w:ind w:left="120" w:right="0" w:firstLine="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> </w:t>
      </w:r>
      <w:r>
        <w:rPr>
          <w:sz w:val="20"/>
        </w:rPr>
        <w:t>Computed from</w:t>
      </w:r>
      <w:r>
        <w:rPr>
          <w:spacing w:val="-5"/>
          <w:sz w:val="20"/>
        </w:rPr>
        <w:t> </w:t>
      </w:r>
      <w:r>
        <w:rPr>
          <w:sz w:val="20"/>
        </w:rPr>
        <w:t>Stata</w:t>
      </w:r>
      <w:r>
        <w:rPr>
          <w:spacing w:val="-1"/>
          <w:sz w:val="20"/>
        </w:rPr>
        <w:t> </w:t>
      </w:r>
      <w:r>
        <w:rPr>
          <w:sz w:val="20"/>
        </w:rPr>
        <w:t>13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0" w:lineRule="auto"/>
        <w:ind w:left="120" w:right="113"/>
        <w:jc w:val="both"/>
      </w:pPr>
      <w:r>
        <w:rPr/>
        <w:t>It then implies that RE is efficient, more appropriate and consistent, but FE is statistically non-</w:t>
      </w:r>
      <w:r>
        <w:rPr>
          <w:spacing w:val="1"/>
        </w:rPr>
        <w:t> </w:t>
      </w:r>
      <w:r>
        <w:rPr/>
        <w:t>consistent.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foregoing,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apparent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5.19 (the</w:t>
      </w:r>
      <w:r>
        <w:rPr>
          <w:spacing w:val="-3"/>
        </w:rPr>
        <w:t> </w:t>
      </w:r>
      <w:r>
        <w:rPr/>
        <w:t>FE</w:t>
      </w:r>
      <w:r>
        <w:rPr>
          <w:spacing w:val="-1"/>
        </w:rPr>
        <w:t> </w:t>
      </w:r>
      <w:r>
        <w:rPr/>
        <w:t>model)</w:t>
      </w:r>
      <w:r>
        <w:rPr>
          <w:spacing w:val="-1"/>
        </w:rPr>
        <w:t> </w:t>
      </w:r>
      <w:r>
        <w:rPr/>
        <w:t>is</w:t>
      </w:r>
      <w:r>
        <w:rPr>
          <w:spacing w:val="-58"/>
        </w:rPr>
        <w:t> </w:t>
      </w:r>
      <w:r>
        <w:rPr/>
        <w:t>largely robust. In this regard, the drive by policy-makers towards promoting healthy societies in</w:t>
      </w:r>
      <w:r>
        <w:rPr>
          <w:spacing w:val="1"/>
        </w:rPr>
        <w:t> </w:t>
      </w:r>
      <w:r>
        <w:rPr/>
        <w:t>Nigeria,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focus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achieve</w:t>
      </w:r>
      <w:r>
        <w:rPr>
          <w:spacing w:val="-10"/>
        </w:rPr>
        <w:t> </w:t>
      </w:r>
      <w:r>
        <w:rPr/>
        <w:t>SDGs</w:t>
      </w:r>
      <w:r>
        <w:rPr>
          <w:spacing w:val="-5"/>
        </w:rPr>
        <w:t> </w:t>
      </w:r>
      <w:r>
        <w:rPr/>
        <w:t>3</w:t>
      </w:r>
      <w:r>
        <w:rPr>
          <w:spacing w:val="-9"/>
        </w:rPr>
        <w:t> </w:t>
      </w:r>
      <w:r>
        <w:rPr/>
        <w:t>before</w:t>
      </w:r>
      <w:r>
        <w:rPr>
          <w:spacing w:val="-9"/>
        </w:rPr>
        <w:t> </w:t>
      </w:r>
      <w:r>
        <w:rPr/>
        <w:t>2030,</w:t>
      </w:r>
      <w:r>
        <w:rPr>
          <w:spacing w:val="-4"/>
        </w:rPr>
        <w:t> </w:t>
      </w:r>
      <w:r>
        <w:rPr/>
        <w:t>may</w:t>
      </w:r>
      <w:r>
        <w:rPr>
          <w:spacing w:val="-10"/>
        </w:rPr>
        <w:t> </w:t>
      </w:r>
      <w:r>
        <w:rPr/>
        <w:t>be</w:t>
      </w:r>
      <w:r>
        <w:rPr>
          <w:spacing w:val="-7"/>
        </w:rPr>
        <w:t> </w:t>
      </w:r>
      <w:r>
        <w:rPr/>
        <w:t>constrained</w:t>
      </w:r>
      <w:r>
        <w:rPr>
          <w:spacing w:val="-8"/>
        </w:rPr>
        <w:t> </w:t>
      </w:r>
      <w:r>
        <w:rPr/>
        <w:t>by</w:t>
      </w:r>
      <w:r>
        <w:rPr>
          <w:spacing w:val="-13"/>
        </w:rPr>
        <w:t> </w:t>
      </w:r>
      <w:r>
        <w:rPr/>
        <w:t>income</w:t>
      </w:r>
      <w:r>
        <w:rPr>
          <w:spacing w:val="-8"/>
        </w:rPr>
        <w:t> </w:t>
      </w:r>
      <w:r>
        <w:rPr/>
        <w:t>inequality,</w:t>
      </w:r>
      <w:r>
        <w:rPr>
          <w:spacing w:val="-8"/>
        </w:rPr>
        <w:t> </w:t>
      </w:r>
      <w:r>
        <w:rPr/>
        <w:t>both</w:t>
      </w:r>
      <w:r>
        <w:rPr>
          <w:spacing w:val="-58"/>
        </w:rPr>
        <w:t> </w:t>
      </w:r>
      <w:r>
        <w:rPr>
          <w:spacing w:val="-1"/>
        </w:rPr>
        <w:t>directly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indirectly.</w:t>
      </w:r>
      <w:r>
        <w:rPr>
          <w:spacing w:val="-8"/>
        </w:rPr>
        <w:t> </w:t>
      </w:r>
      <w:r>
        <w:rPr/>
        <w:t>Though</w:t>
      </w:r>
      <w:r>
        <w:rPr>
          <w:spacing w:val="-12"/>
        </w:rPr>
        <w:t> </w:t>
      </w:r>
      <w:r>
        <w:rPr/>
        <w:t>income</w:t>
      </w:r>
      <w:r>
        <w:rPr>
          <w:spacing w:val="-12"/>
        </w:rPr>
        <w:t> </w:t>
      </w:r>
      <w:r>
        <w:rPr/>
        <w:t>disparity</w:t>
      </w:r>
      <w:r>
        <w:rPr>
          <w:spacing w:val="-17"/>
        </w:rPr>
        <w:t> </w:t>
      </w:r>
      <w:r>
        <w:rPr/>
        <w:t>is</w:t>
      </w:r>
      <w:r>
        <w:rPr>
          <w:spacing w:val="-9"/>
        </w:rPr>
        <w:t> </w:t>
      </w:r>
      <w:r>
        <w:rPr/>
        <w:t>somehow</w:t>
      </w:r>
      <w:r>
        <w:rPr>
          <w:spacing w:val="-13"/>
        </w:rPr>
        <w:t> </w:t>
      </w:r>
      <w:r>
        <w:rPr/>
        <w:t>inevitable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result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globalization,</w:t>
      </w:r>
      <w:r>
        <w:rPr>
          <w:spacing w:val="-57"/>
        </w:rPr>
        <w:t> </w:t>
      </w:r>
      <w:r>
        <w:rPr/>
        <w:t>economic</w:t>
      </w:r>
      <w:r>
        <w:rPr>
          <w:spacing w:val="-11"/>
        </w:rPr>
        <w:t> </w:t>
      </w:r>
      <w:r>
        <w:rPr/>
        <w:t>growth,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technological</w:t>
      </w:r>
      <w:r>
        <w:rPr>
          <w:spacing w:val="-9"/>
        </w:rPr>
        <w:t> </w:t>
      </w:r>
      <w:r>
        <w:rPr/>
        <w:t>progress.</w:t>
      </w:r>
      <w:r>
        <w:rPr>
          <w:spacing w:val="-9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this</w:t>
      </w:r>
      <w:r>
        <w:rPr>
          <w:spacing w:val="-7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empirically</w:t>
      </w:r>
      <w:r>
        <w:rPr>
          <w:spacing w:val="-13"/>
        </w:rPr>
        <w:t> </w:t>
      </w:r>
      <w:r>
        <w:rPr/>
        <w:t>established</w:t>
      </w:r>
      <w:r>
        <w:rPr>
          <w:spacing w:val="-10"/>
        </w:rPr>
        <w:t> </w:t>
      </w:r>
      <w:r>
        <w:rPr/>
        <w:t>how</w:t>
      </w:r>
      <w:r>
        <w:rPr>
          <w:spacing w:val="-58"/>
        </w:rPr>
        <w:t> </w:t>
      </w:r>
      <w:r>
        <w:rPr/>
        <w:t>important income equality or fairness is to the better health outcomes and appropriate health-care</w:t>
      </w:r>
      <w:r>
        <w:rPr>
          <w:spacing w:val="-57"/>
        </w:rPr>
        <w:t> </w:t>
      </w:r>
      <w:r>
        <w:rPr/>
        <w:t>seeking for</w:t>
      </w:r>
      <w:r>
        <w:rPr>
          <w:spacing w:val="-3"/>
        </w:rPr>
        <w:t> </w:t>
      </w:r>
      <w:r>
        <w:rPr/>
        <w:t>all individuals.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120"/>
      </w:pPr>
      <w:r>
        <w:rPr>
          <w:w w:val="99"/>
        </w:rPr>
        <w:t>-</w:t>
      </w:r>
    </w:p>
    <w:p>
      <w:pPr>
        <w:spacing w:after="0"/>
        <w:sectPr>
          <w:pgSz w:w="12240" w:h="15840"/>
          <w:pgMar w:header="0" w:footer="935" w:top="1360" w:bottom="1200" w:left="1320" w:right="1320"/>
        </w:sectPr>
      </w:pPr>
    </w:p>
    <w:p>
      <w:pPr>
        <w:pStyle w:val="Heading1"/>
        <w:ind w:left="108" w:right="106"/>
      </w:pPr>
      <w:bookmarkStart w:name="_TOC_250007" w:id="70"/>
      <w:r>
        <w:rPr/>
        <w:t>CHAPTER</w:t>
      </w:r>
      <w:r>
        <w:rPr>
          <w:spacing w:val="-3"/>
        </w:rPr>
        <w:t> </w:t>
      </w:r>
      <w:bookmarkEnd w:id="70"/>
      <w:r>
        <w:rPr/>
        <w:t>SIX</w:t>
      </w:r>
    </w:p>
    <w:p>
      <w:pPr>
        <w:pStyle w:val="Heading1"/>
        <w:spacing w:before="160"/>
        <w:ind w:left="108" w:right="108"/>
      </w:pPr>
      <w:bookmarkStart w:name="_TOC_250006" w:id="71"/>
      <w:r>
        <w:rPr/>
        <w:t>SUMMARY,</w:t>
      </w:r>
      <w:r>
        <w:rPr>
          <w:spacing w:val="-4"/>
        </w:rPr>
        <w:t> </w:t>
      </w:r>
      <w:r>
        <w:rPr/>
        <w:t>CONCLUSION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bookmarkEnd w:id="71"/>
      <w:r>
        <w:rPr/>
        <w:t>RECOMMENDATIONS</w:t>
      </w:r>
    </w:p>
    <w:p>
      <w:pPr>
        <w:pStyle w:val="Heading4"/>
        <w:numPr>
          <w:ilvl w:val="1"/>
          <w:numId w:val="16"/>
        </w:numPr>
        <w:tabs>
          <w:tab w:pos="841" w:val="left" w:leader="none"/>
        </w:tabs>
        <w:spacing w:line="240" w:lineRule="auto" w:before="260" w:after="0"/>
        <w:ind w:left="840" w:right="0" w:hanging="721"/>
        <w:jc w:val="both"/>
      </w:pPr>
      <w:bookmarkStart w:name="_TOC_250005" w:id="72"/>
      <w:bookmarkEnd w:id="72"/>
      <w:r>
        <w:rPr/>
        <w:t>Introduction</w:t>
      </w:r>
    </w:p>
    <w:p>
      <w:pPr>
        <w:pStyle w:val="BodyText"/>
        <w:spacing w:line="360" w:lineRule="auto" w:before="135"/>
        <w:ind w:left="120" w:right="243"/>
        <w:jc w:val="both"/>
      </w:pPr>
      <w:r>
        <w:rPr/>
        <w:t>This</w:t>
      </w:r>
      <w:r>
        <w:rPr>
          <w:spacing w:val="-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concludes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first</w:t>
      </w:r>
      <w:r>
        <w:rPr>
          <w:spacing w:val="-1"/>
        </w:rPr>
        <w:t> </w:t>
      </w:r>
      <w:r>
        <w:rPr/>
        <w:t>highlights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 the</w:t>
      </w:r>
      <w:r>
        <w:rPr>
          <w:spacing w:val="-3"/>
        </w:rPr>
        <w:t> </w:t>
      </w:r>
      <w:r>
        <w:rPr/>
        <w:t>major</w:t>
      </w:r>
      <w:r>
        <w:rPr>
          <w:spacing w:val="-1"/>
        </w:rPr>
        <w:t> </w:t>
      </w:r>
      <w:r>
        <w:rPr/>
        <w:t>findings,</w:t>
      </w:r>
      <w:r>
        <w:rPr>
          <w:spacing w:val="-1"/>
        </w:rPr>
        <w:t> </w:t>
      </w:r>
      <w:r>
        <w:rPr/>
        <w:t>followed</w:t>
      </w:r>
      <w:r>
        <w:rPr>
          <w:spacing w:val="-57"/>
        </w:rPr>
        <w:t> </w:t>
      </w:r>
      <w:r>
        <w:rPr/>
        <w:t>by the study’s conclusion. Furthermore, some policy recommendations were outlined as well as</w:t>
      </w:r>
      <w:r>
        <w:rPr>
          <w:spacing w:val="-57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possible</w:t>
      </w:r>
      <w:r>
        <w:rPr>
          <w:spacing w:val="-1"/>
        </w:rPr>
        <w:t> </w:t>
      </w:r>
      <w:r>
        <w:rPr/>
        <w:t>future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before="3"/>
      </w:pPr>
    </w:p>
    <w:p>
      <w:pPr>
        <w:pStyle w:val="Heading4"/>
        <w:numPr>
          <w:ilvl w:val="1"/>
          <w:numId w:val="16"/>
        </w:numPr>
        <w:tabs>
          <w:tab w:pos="841" w:val="left" w:leader="none"/>
        </w:tabs>
        <w:spacing w:line="240" w:lineRule="auto" w:before="1" w:after="0"/>
        <w:ind w:left="840" w:right="0" w:hanging="721"/>
        <w:jc w:val="both"/>
      </w:pPr>
      <w:bookmarkStart w:name="_TOC_250004" w:id="73"/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bookmarkEnd w:id="73"/>
      <w:r>
        <w:rPr/>
        <w:t>Findings</w:t>
      </w:r>
    </w:p>
    <w:p>
      <w:pPr>
        <w:pStyle w:val="BodyText"/>
        <w:spacing w:line="360" w:lineRule="auto" w:before="132"/>
        <w:ind w:left="120" w:right="119"/>
        <w:jc w:val="both"/>
      </w:pPr>
      <w:r>
        <w:rPr/>
        <w:t>The study has addressed four specific objectives. First, it examined the trends of health outcomes</w:t>
      </w:r>
      <w:r>
        <w:rPr>
          <w:spacing w:val="-57"/>
        </w:rPr>
        <w:t> </w:t>
      </w:r>
      <w:r>
        <w:rPr/>
        <w:t>and health-seeking behaviour (HSB) among households in Nigeria between 2010 and 2019.</w:t>
      </w:r>
      <w:r>
        <w:rPr>
          <w:spacing w:val="1"/>
        </w:rPr>
        <w:t> </w:t>
      </w:r>
      <w:r>
        <w:rPr/>
        <w:t>Second, it estimated the level and magnitude of income inequality across the 36 states and FCT</w:t>
      </w:r>
      <w:r>
        <w:rPr>
          <w:spacing w:val="1"/>
        </w:rPr>
        <w:t> </w:t>
      </w:r>
      <w:r>
        <w:rPr/>
        <w:t>Abuja. Third, it estimated the direct and indirect effects of income inequality on health outcomes</w:t>
      </w:r>
      <w:r>
        <w:rPr>
          <w:spacing w:val="-57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Nigeria.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fourth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last,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7"/>
        </w:rPr>
        <w:t> </w:t>
      </w:r>
      <w:r>
        <w:rPr/>
        <w:t>also</w:t>
      </w:r>
      <w:r>
        <w:rPr>
          <w:spacing w:val="-8"/>
        </w:rPr>
        <w:t> </w:t>
      </w:r>
      <w:r>
        <w:rPr/>
        <w:t>estimated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direct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indirect</w:t>
      </w:r>
      <w:r>
        <w:rPr>
          <w:spacing w:val="-12"/>
        </w:rPr>
        <w:t> </w:t>
      </w:r>
      <w:r>
        <w:rPr/>
        <w:t>effects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income</w:t>
      </w:r>
      <w:r>
        <w:rPr>
          <w:spacing w:val="-57"/>
        </w:rPr>
        <w:t> </w:t>
      </w:r>
      <w:r>
        <w:rPr/>
        <w:t>inequality</w:t>
      </w:r>
      <w:r>
        <w:rPr>
          <w:spacing w:val="-6"/>
        </w:rPr>
        <w:t> </w:t>
      </w:r>
      <w:r>
        <w:rPr/>
        <w:t>on HSB among</w:t>
      </w:r>
      <w:r>
        <w:rPr>
          <w:spacing w:val="-3"/>
        </w:rPr>
        <w:t> </w:t>
      </w:r>
      <w:r>
        <w:rPr/>
        <w:t>households in Nigeria.</w:t>
      </w:r>
    </w:p>
    <w:p>
      <w:pPr>
        <w:pStyle w:val="BodyText"/>
        <w:spacing w:before="10"/>
        <w:rPr>
          <w:sz w:val="29"/>
        </w:rPr>
      </w:pPr>
    </w:p>
    <w:p>
      <w:pPr>
        <w:spacing w:before="0"/>
        <w:ind w:left="120" w:right="0" w:firstLine="0"/>
        <w:jc w:val="both"/>
        <w:rPr>
          <w:i/>
          <w:sz w:val="24"/>
        </w:rPr>
      </w:pPr>
      <w:r>
        <w:rPr>
          <w:i/>
          <w:sz w:val="24"/>
        </w:rPr>
        <w:t>Trends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Outcomes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Health-Seeking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</w:p>
    <w:p>
      <w:pPr>
        <w:pStyle w:val="BodyText"/>
        <w:spacing w:line="360" w:lineRule="auto" w:before="140"/>
        <w:ind w:left="120" w:right="117"/>
        <w:jc w:val="both"/>
      </w:pPr>
      <w:r>
        <w:rPr/>
        <w:t>The trend analyses from all NGHPS waves indicates some increase in the self-reported illnesses</w:t>
      </w:r>
      <w:r>
        <w:rPr>
          <w:spacing w:val="1"/>
        </w:rPr>
        <w:t> </w:t>
      </w:r>
      <w:r>
        <w:rPr/>
        <w:t>from wave I (2010/2011) to wave IV (2018/2019) among households in Nigeria. The findings</w:t>
      </w:r>
      <w:r>
        <w:rPr>
          <w:spacing w:val="1"/>
        </w:rPr>
        <w:t> </w:t>
      </w:r>
      <w:r>
        <w:rPr/>
        <w:t>suggest that health outcomes in Nigeria is poor. Previous study had also established that Nigeria</w:t>
      </w:r>
      <w:r>
        <w:rPr>
          <w:spacing w:val="1"/>
        </w:rPr>
        <w:t> </w:t>
      </w:r>
      <w:r>
        <w:rPr/>
        <w:t>is not making sufficient progress towards the United Nations’ goal of achieving good health for</w:t>
      </w:r>
      <w:r>
        <w:rPr>
          <w:spacing w:val="1"/>
        </w:rPr>
        <w:t> </w:t>
      </w:r>
      <w:r>
        <w:rPr/>
        <w:t>all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ages</w:t>
      </w:r>
      <w:r>
        <w:rPr>
          <w:spacing w:val="-4"/>
        </w:rPr>
        <w:t> </w:t>
      </w:r>
      <w:r>
        <w:rPr/>
        <w:t>(WHO,</w:t>
      </w:r>
      <w:r>
        <w:rPr>
          <w:spacing w:val="-4"/>
        </w:rPr>
        <w:t> </w:t>
      </w:r>
      <w:r>
        <w:rPr/>
        <w:t>2019).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found</w:t>
      </w:r>
      <w:r>
        <w:rPr>
          <w:spacing w:val="-5"/>
        </w:rPr>
        <w:t> </w:t>
      </w:r>
      <w:r>
        <w:rPr/>
        <w:t>that</w:t>
      </w:r>
      <w:r>
        <w:rPr>
          <w:spacing w:val="-2"/>
        </w:rPr>
        <w:t> </w:t>
      </w:r>
      <w:r>
        <w:rPr/>
        <w:t>Nigeria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characterized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weak</w:t>
      </w:r>
      <w:r>
        <w:rPr>
          <w:spacing w:val="-4"/>
        </w:rPr>
        <w:t> </w:t>
      </w:r>
      <w:r>
        <w:rPr/>
        <w:t>HSB</w:t>
      </w:r>
      <w:r>
        <w:rPr>
          <w:spacing w:val="-6"/>
        </w:rPr>
        <w:t> </w:t>
      </w:r>
      <w:r>
        <w:rPr/>
        <w:t>where</w:t>
      </w:r>
      <w:r>
        <w:rPr>
          <w:spacing w:val="-57"/>
        </w:rPr>
        <w:t> </w:t>
      </w:r>
      <w:r>
        <w:rPr/>
        <w:t>the inappropriate HSB from chemists, traditional healers and self-medication increase over the</w:t>
      </w:r>
      <w:r>
        <w:rPr>
          <w:spacing w:val="1"/>
        </w:rPr>
        <w:t> </w:t>
      </w:r>
      <w:r>
        <w:rPr/>
        <w:t>2010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2019</w:t>
      </w:r>
      <w:r>
        <w:rPr>
          <w:spacing w:val="-6"/>
        </w:rPr>
        <w:t> </w:t>
      </w:r>
      <w:r>
        <w:rPr/>
        <w:t>periods.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implication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-5"/>
        </w:rPr>
        <w:t> </w:t>
      </w:r>
      <w:r>
        <w:rPr/>
        <w:t>findings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much</w:t>
      </w:r>
      <w:r>
        <w:rPr>
          <w:spacing w:val="-7"/>
        </w:rPr>
        <w:t> </w:t>
      </w:r>
      <w:r>
        <w:rPr/>
        <w:t>still</w:t>
      </w:r>
      <w:r>
        <w:rPr>
          <w:spacing w:val="-7"/>
        </w:rPr>
        <w:t> </w:t>
      </w:r>
      <w:r>
        <w:rPr/>
        <w:t>needs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done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57"/>
        </w:rPr>
        <w:t> </w:t>
      </w:r>
      <w:r>
        <w:rPr/>
        <w:t>Federal and State Governments if SDG 3 is to be achieved in Nigeria before year 2030. Besides,</w:t>
      </w:r>
      <w:r>
        <w:rPr>
          <w:spacing w:val="1"/>
        </w:rPr>
        <w:t> </w:t>
      </w:r>
      <w:r>
        <w:rPr/>
        <w:t>the efforts of the Non-Governmental Organizations (NGOs) and international organizations need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re-doubled</w:t>
      </w:r>
      <w:r>
        <w:rPr>
          <w:spacing w:val="-1"/>
        </w:rPr>
        <w:t> </w:t>
      </w:r>
      <w:r>
        <w:rPr/>
        <w:t>in order to ensure good health</w:t>
      </w:r>
      <w:r>
        <w:rPr>
          <w:spacing w:val="-1"/>
        </w:rPr>
        <w:t> </w:t>
      </w:r>
      <w:r>
        <w:rPr/>
        <w:t>outcomes and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HSB</w:t>
      </w:r>
      <w:r>
        <w:rPr>
          <w:spacing w:val="-3"/>
        </w:rPr>
        <w:t> </w:t>
      </w:r>
      <w:r>
        <w:rPr/>
        <w:t>in Nigeria.</w:t>
      </w:r>
    </w:p>
    <w:p>
      <w:pPr>
        <w:spacing w:before="183"/>
        <w:ind w:left="120" w:right="0" w:firstLine="0"/>
        <w:jc w:val="both"/>
        <w:rPr>
          <w:i/>
          <w:sz w:val="24"/>
        </w:rPr>
      </w:pPr>
      <w:r>
        <w:rPr>
          <w:i/>
          <w:sz w:val="24"/>
        </w:rPr>
        <w:t>Level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Magnitude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Income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across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36 states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Abuja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Nigeria</w:t>
      </w:r>
    </w:p>
    <w:p>
      <w:pPr>
        <w:pStyle w:val="BodyText"/>
        <w:spacing w:line="360" w:lineRule="auto" w:before="139"/>
        <w:ind w:left="120" w:right="113"/>
        <w:jc w:val="both"/>
      </w:pPr>
      <w:r>
        <w:rPr/>
        <w:t>Results of this study establishes that the gap between the rich and poor households across the 36</w:t>
      </w:r>
      <w:r>
        <w:rPr>
          <w:spacing w:val="1"/>
        </w:rPr>
        <w:t> </w:t>
      </w:r>
      <w:r>
        <w:rPr/>
        <w:t>states and FCT Abuja is rising. Except for Enugu and Cross Rivers States that experience a slight</w:t>
      </w:r>
      <w:r>
        <w:rPr>
          <w:spacing w:val="-57"/>
        </w:rPr>
        <w:t> </w:t>
      </w:r>
      <w:r>
        <w:rPr/>
        <w:t>reduction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their</w:t>
      </w:r>
      <w:r>
        <w:rPr>
          <w:spacing w:val="-12"/>
        </w:rPr>
        <w:t> </w:t>
      </w:r>
      <w:r>
        <w:rPr/>
        <w:t>Gini-coefficient</w:t>
      </w:r>
      <w:r>
        <w:rPr>
          <w:spacing w:val="-10"/>
        </w:rPr>
        <w:t> </w:t>
      </w:r>
      <w:r>
        <w:rPr/>
        <w:t>indices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2019,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study’s</w:t>
      </w:r>
      <w:r>
        <w:rPr>
          <w:spacing w:val="-9"/>
        </w:rPr>
        <w:t> </w:t>
      </w:r>
      <w:r>
        <w:rPr/>
        <w:t>findings</w:t>
      </w:r>
      <w:r>
        <w:rPr>
          <w:spacing w:val="-10"/>
        </w:rPr>
        <w:t> </w:t>
      </w:r>
      <w:r>
        <w:rPr/>
        <w:t>indicate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approximately</w:t>
      </w:r>
      <w:r>
        <w:rPr>
          <w:spacing w:val="-58"/>
        </w:rPr>
        <w:t> </w:t>
      </w:r>
      <w:r>
        <w:rPr/>
        <w:t>95%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states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Nigeria</w:t>
      </w:r>
      <w:r>
        <w:rPr>
          <w:spacing w:val="-11"/>
        </w:rPr>
        <w:t> </w:t>
      </w:r>
      <w:r>
        <w:rPr/>
        <w:t>had</w:t>
      </w:r>
      <w:r>
        <w:rPr>
          <w:spacing w:val="-10"/>
        </w:rPr>
        <w:t> </w:t>
      </w:r>
      <w:r>
        <w:rPr/>
        <w:t>higher</w:t>
      </w:r>
      <w:r>
        <w:rPr>
          <w:spacing w:val="-9"/>
        </w:rPr>
        <w:t> </w:t>
      </w:r>
      <w:r>
        <w:rPr/>
        <w:t>income</w:t>
      </w:r>
      <w:r>
        <w:rPr>
          <w:spacing w:val="-11"/>
        </w:rPr>
        <w:t> </w:t>
      </w:r>
      <w:r>
        <w:rPr/>
        <w:t>disparity</w:t>
      </w:r>
      <w:r>
        <w:rPr>
          <w:spacing w:val="-12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2010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2019</w:t>
      </w:r>
      <w:r>
        <w:rPr>
          <w:spacing w:val="-8"/>
        </w:rPr>
        <w:t> </w:t>
      </w:r>
      <w:r>
        <w:rPr/>
        <w:t>periods.</w:t>
      </w:r>
      <w:r>
        <w:rPr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implies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20"/>
        <w:jc w:val="both"/>
      </w:pPr>
      <w:r>
        <w:rPr/>
        <w:t>that their performance in poverty reduction, nonetheless, could not have been more different.</w:t>
      </w:r>
      <w:r>
        <w:rPr>
          <w:spacing w:val="1"/>
        </w:rPr>
        <w:t> </w:t>
      </w:r>
      <w:r>
        <w:rPr/>
        <w:t>Perhaps,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Enugu</w:t>
      </w:r>
      <w:r>
        <w:rPr>
          <w:spacing w:val="-11"/>
        </w:rPr>
        <w:t> </w:t>
      </w:r>
      <w:r>
        <w:rPr/>
        <w:t>Youth</w:t>
      </w:r>
      <w:r>
        <w:rPr>
          <w:spacing w:val="-12"/>
        </w:rPr>
        <w:t> </w:t>
      </w:r>
      <w:r>
        <w:rPr/>
        <w:t>Empowerment</w:t>
      </w:r>
      <w:r>
        <w:rPr>
          <w:spacing w:val="-11"/>
        </w:rPr>
        <w:t> </w:t>
      </w:r>
      <w:r>
        <w:rPr/>
        <w:t>Scheme</w:t>
      </w:r>
      <w:r>
        <w:rPr>
          <w:spacing w:val="-9"/>
        </w:rPr>
        <w:t> </w:t>
      </w:r>
      <w:r>
        <w:rPr/>
        <w:t>(e-YES)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focus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digital</w:t>
      </w:r>
      <w:r>
        <w:rPr>
          <w:spacing w:val="-12"/>
        </w:rPr>
        <w:t> </w:t>
      </w:r>
      <w:r>
        <w:rPr/>
        <w:t>economy,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her</w:t>
      </w:r>
      <w:r>
        <w:rPr>
          <w:spacing w:val="-58"/>
        </w:rPr>
        <w:t> </w:t>
      </w:r>
      <w:r>
        <w:rPr/>
        <w:t>Human</w:t>
      </w:r>
      <w:r>
        <w:rPr>
          <w:spacing w:val="-3"/>
        </w:rPr>
        <w:t> </w:t>
      </w:r>
      <w:r>
        <w:rPr/>
        <w:t>Capital</w:t>
      </w:r>
      <w:r>
        <w:rPr>
          <w:spacing w:val="-2"/>
        </w:rPr>
        <w:t> </w:t>
      </w:r>
      <w:r>
        <w:rPr/>
        <w:t>Development Loan</w:t>
      </w:r>
      <w:r>
        <w:rPr>
          <w:spacing w:val="-3"/>
        </w:rPr>
        <w:t> </w:t>
      </w:r>
      <w:r>
        <w:rPr/>
        <w:t>Program</w:t>
      </w:r>
      <w:r>
        <w:rPr>
          <w:spacing w:val="-2"/>
        </w:rPr>
        <w:t> </w:t>
      </w:r>
      <w:r>
        <w:rPr/>
        <w:t>(HCDLP)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youths</w:t>
      </w:r>
      <w:r>
        <w:rPr>
          <w:spacing w:val="-2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state</w:t>
      </w:r>
      <w:r>
        <w:rPr>
          <w:spacing w:val="-4"/>
        </w:rPr>
        <w:t> </w:t>
      </w:r>
      <w:r>
        <w:rPr/>
        <w:t>might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reason</w:t>
      </w:r>
      <w:r>
        <w:rPr>
          <w:spacing w:val="-1"/>
        </w:rPr>
        <w:t> </w:t>
      </w:r>
      <w:r>
        <w:rPr/>
        <w:t>for their slight decline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income</w:t>
      </w:r>
      <w:r>
        <w:rPr>
          <w:spacing w:val="-1"/>
        </w:rPr>
        <w:t> </w:t>
      </w:r>
      <w:r>
        <w:rPr/>
        <w:t>disparity</w:t>
      </w:r>
      <w:r>
        <w:rPr>
          <w:spacing w:val="-5"/>
        </w:rPr>
        <w:t> </w:t>
      </w:r>
      <w:r>
        <w:rPr/>
        <w:t>in Enugu State</w:t>
      </w:r>
      <w:r>
        <w:rPr>
          <w:spacing w:val="-2"/>
        </w:rPr>
        <w:t> </w:t>
      </w:r>
      <w:r>
        <w:rPr/>
        <w:t>in</w:t>
      </w:r>
      <w:r>
        <w:rPr>
          <w:spacing w:val="4"/>
        </w:rPr>
        <w:t> </w:t>
      </w:r>
      <w:r>
        <w:rPr/>
        <w:t>2019.</w:t>
      </w:r>
    </w:p>
    <w:p>
      <w:pPr>
        <w:pStyle w:val="BodyText"/>
        <w:spacing w:line="360" w:lineRule="auto" w:before="185"/>
        <w:ind w:left="120" w:right="118"/>
        <w:jc w:val="both"/>
      </w:pPr>
      <w:r>
        <w:rPr/>
        <w:t>The study also found that income inequality rose in all the six geo-political zones between 2010</w:t>
      </w:r>
      <w:r>
        <w:rPr>
          <w:spacing w:val="1"/>
        </w:rPr>
        <w:t> </w:t>
      </w:r>
      <w:r>
        <w:rPr/>
        <w:t>and 2019 in Nigeria. Similar trend was also found for Nigeria’s national between the periods.</w:t>
      </w:r>
      <w:r>
        <w:rPr>
          <w:spacing w:val="1"/>
        </w:rPr>
        <w:t> </w:t>
      </w:r>
      <w:r>
        <w:rPr/>
        <w:t>World Bank (2016) and Aigbokhan (2017) had also established that Nigeria had increasing level</w:t>
      </w:r>
      <w:r>
        <w:rPr>
          <w:spacing w:val="1"/>
        </w:rPr>
        <w:t> </w:t>
      </w:r>
      <w:r>
        <w:rPr/>
        <w:t>of income inequality. The implication of these findings is that every effort by Federal, State and</w:t>
      </w:r>
      <w:r>
        <w:rPr>
          <w:spacing w:val="1"/>
        </w:rPr>
        <w:t> </w:t>
      </w:r>
      <w:r>
        <w:rPr/>
        <w:t>Local Government to improve welfare in Nigeria could be constrained in the absence of steps for</w:t>
      </w:r>
      <w:r>
        <w:rPr>
          <w:spacing w:val="-57"/>
        </w:rPr>
        <w:t> </w:t>
      </w:r>
      <w:r>
        <w:rPr/>
        <w:t>addressing</w:t>
      </w:r>
      <w:r>
        <w:rPr>
          <w:spacing w:val="-4"/>
        </w:rPr>
        <w:t> </w:t>
      </w:r>
      <w:r>
        <w:rPr/>
        <w:t>income</w:t>
      </w:r>
      <w:r>
        <w:rPr>
          <w:spacing w:val="1"/>
        </w:rPr>
        <w:t> </w:t>
      </w:r>
      <w:r>
        <w:rPr/>
        <w:t>gaps in Nigeria.</w:t>
      </w:r>
    </w:p>
    <w:p>
      <w:pPr>
        <w:spacing w:before="184"/>
        <w:ind w:left="120" w:right="0" w:firstLine="0"/>
        <w:jc w:val="both"/>
        <w:rPr>
          <w:i/>
          <w:sz w:val="24"/>
        </w:rPr>
      </w:pPr>
      <w:r>
        <w:rPr>
          <w:i/>
          <w:sz w:val="24"/>
        </w:rPr>
        <w:t>Direct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Indirect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Inequality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Outcomes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</w:p>
    <w:p>
      <w:pPr>
        <w:pStyle w:val="BodyText"/>
        <w:spacing w:line="360" w:lineRule="auto" w:before="139"/>
        <w:ind w:left="120" w:right="113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findings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further</w:t>
      </w:r>
      <w:r>
        <w:rPr>
          <w:spacing w:val="-11"/>
        </w:rPr>
        <w:t> </w:t>
      </w:r>
      <w:r>
        <w:rPr/>
        <w:t>revealed</w:t>
      </w:r>
      <w:r>
        <w:rPr>
          <w:spacing w:val="-13"/>
        </w:rPr>
        <w:t> </w:t>
      </w:r>
      <w:r>
        <w:rPr/>
        <w:t>that</w:t>
      </w:r>
      <w:r>
        <w:rPr>
          <w:spacing w:val="-11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inequality</w:t>
      </w:r>
      <w:r>
        <w:rPr>
          <w:spacing w:val="-14"/>
        </w:rPr>
        <w:t> </w:t>
      </w:r>
      <w:r>
        <w:rPr/>
        <w:t>has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direct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indirect</w:t>
      </w:r>
      <w:r>
        <w:rPr>
          <w:spacing w:val="-12"/>
        </w:rPr>
        <w:t> </w:t>
      </w:r>
      <w:r>
        <w:rPr/>
        <w:t>effect</w:t>
      </w:r>
      <w:r>
        <w:rPr>
          <w:spacing w:val="-57"/>
        </w:rPr>
        <w:t> </w:t>
      </w:r>
      <w:r>
        <w:rPr/>
        <w:t>on health outcomes in Nigeria. From the direct effect, the study’s finding establishes a positive</w:t>
      </w:r>
      <w:r>
        <w:rPr>
          <w:spacing w:val="1"/>
        </w:rPr>
        <w:t> </w:t>
      </w:r>
      <w:r>
        <w:rPr/>
        <w:t>and significant estimate for income inequality. This suggest that income inequality is detrimental</w:t>
      </w:r>
      <w:r>
        <w:rPr>
          <w:spacing w:val="-57"/>
        </w:rPr>
        <w:t> </w:t>
      </w:r>
      <w:r>
        <w:rPr/>
        <w:t>to health outcomes in Nigeria. Previous studies had also showed that rising income inequality</w:t>
      </w:r>
      <w:r>
        <w:rPr>
          <w:spacing w:val="1"/>
        </w:rPr>
        <w:t> </w:t>
      </w:r>
      <w:r>
        <w:rPr/>
        <w:t>increase stress, frustration, insecurity, kidnapping, and anxiety. These intensify fear and shock</w:t>
      </w:r>
      <w:r>
        <w:rPr>
          <w:spacing w:val="1"/>
        </w:rPr>
        <w:t> </w:t>
      </w:r>
      <w:r>
        <w:rPr/>
        <w:t>with frequent ill-health as a result (Wilkinson, 1992, 1994). This suggest needs for strategies to</w:t>
      </w:r>
      <w:r>
        <w:rPr>
          <w:spacing w:val="1"/>
        </w:rPr>
        <w:t> </w:t>
      </w:r>
      <w:r>
        <w:rPr/>
        <w:t>reduce</w:t>
      </w:r>
      <w:r>
        <w:rPr>
          <w:spacing w:val="-1"/>
        </w:rPr>
        <w:t> </w:t>
      </w:r>
      <w:r>
        <w:rPr/>
        <w:t>stress, shock, fear, kidnapping</w:t>
      </w:r>
      <w:r>
        <w:rPr>
          <w:spacing w:val="-3"/>
        </w:rPr>
        <w:t> </w:t>
      </w:r>
      <w:r>
        <w:rPr/>
        <w:t>and insecurity</w:t>
      </w:r>
      <w:r>
        <w:rPr>
          <w:spacing w:val="-4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pursued by</w:t>
      </w:r>
      <w:r>
        <w:rPr>
          <w:spacing w:val="-3"/>
        </w:rPr>
        <w:t> </w:t>
      </w:r>
      <w:r>
        <w:rPr/>
        <w:t>policy</w:t>
      </w:r>
      <w:r>
        <w:rPr>
          <w:spacing w:val="-5"/>
        </w:rPr>
        <w:t> </w:t>
      </w:r>
      <w:r>
        <w:rPr/>
        <w:t>makers.</w:t>
      </w:r>
    </w:p>
    <w:p>
      <w:pPr>
        <w:pStyle w:val="BodyText"/>
        <w:spacing w:line="360" w:lineRule="auto" w:before="184"/>
        <w:ind w:left="120" w:right="115"/>
        <w:jc w:val="both"/>
      </w:pPr>
      <w:r>
        <w:rPr/>
        <w:t>The results also explains that there is an indirect effect between income inequality and health</w:t>
      </w:r>
      <w:r>
        <w:rPr>
          <w:spacing w:val="1"/>
        </w:rPr>
        <w:t> </w:t>
      </w:r>
      <w:r>
        <w:rPr/>
        <w:t>outcomes mediated by various household characteristics. First, it was found that as income gaps</w:t>
      </w:r>
      <w:r>
        <w:rPr>
          <w:spacing w:val="1"/>
        </w:rPr>
        <w:t> </w:t>
      </w:r>
      <w:r>
        <w:rPr/>
        <w:t>is</w:t>
      </w:r>
      <w:r>
        <w:rPr>
          <w:spacing w:val="-8"/>
        </w:rPr>
        <w:t> </w:t>
      </w:r>
      <w:r>
        <w:rPr/>
        <w:t>rising,</w:t>
      </w:r>
      <w:r>
        <w:rPr>
          <w:spacing w:val="-6"/>
        </w:rPr>
        <w:t> </w:t>
      </w:r>
      <w:r>
        <w:rPr/>
        <w:t>every</w:t>
      </w:r>
      <w:r>
        <w:rPr>
          <w:spacing w:val="-10"/>
        </w:rPr>
        <w:t> </w:t>
      </w:r>
      <w:r>
        <w:rPr/>
        <w:t>addition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family</w:t>
      </w:r>
      <w:r>
        <w:rPr>
          <w:spacing w:val="-10"/>
        </w:rPr>
        <w:t> </w:t>
      </w:r>
      <w:r>
        <w:rPr/>
        <w:t>size</w:t>
      </w:r>
      <w:r>
        <w:rPr>
          <w:spacing w:val="-10"/>
        </w:rPr>
        <w:t> </w:t>
      </w:r>
      <w:r>
        <w:rPr/>
        <w:t>constrained</w:t>
      </w:r>
      <w:r>
        <w:rPr>
          <w:spacing w:val="-5"/>
        </w:rPr>
        <w:t> </w:t>
      </w:r>
      <w:r>
        <w:rPr/>
        <w:t>welfare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worsen</w:t>
      </w:r>
      <w:r>
        <w:rPr>
          <w:spacing w:val="-8"/>
        </w:rPr>
        <w:t> </w:t>
      </w:r>
      <w:r>
        <w:rPr/>
        <w:t>health</w:t>
      </w:r>
      <w:r>
        <w:rPr>
          <w:spacing w:val="-9"/>
        </w:rPr>
        <w:t> </w:t>
      </w:r>
      <w:r>
        <w:rPr/>
        <w:t>outcomes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Nigeria.</w:t>
      </w:r>
      <w:r>
        <w:rPr>
          <w:spacing w:val="-57"/>
        </w:rPr>
        <w:t> </w:t>
      </w:r>
      <w:r>
        <w:rPr/>
        <w:t>Second,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positive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estimate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hunger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inadequate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food</w:t>
      </w:r>
      <w:r>
        <w:rPr>
          <w:spacing w:val="-6"/>
        </w:rPr>
        <w:t> </w:t>
      </w:r>
      <w:r>
        <w:rPr/>
        <w:t>suggest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income</w:t>
      </w:r>
      <w:r>
        <w:rPr>
          <w:spacing w:val="-58"/>
        </w:rPr>
        <w:t> </w:t>
      </w:r>
      <w:r>
        <w:rPr/>
        <w:t>inequality</w:t>
      </w:r>
      <w:r>
        <w:rPr>
          <w:spacing w:val="-11"/>
        </w:rPr>
        <w:t> </w:t>
      </w:r>
      <w:r>
        <w:rPr/>
        <w:t>constrained</w:t>
      </w:r>
      <w:r>
        <w:rPr>
          <w:spacing w:val="-7"/>
        </w:rPr>
        <w:t> </w:t>
      </w:r>
      <w:r>
        <w:rPr/>
        <w:t>budget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causes</w:t>
      </w:r>
      <w:r>
        <w:rPr>
          <w:spacing w:val="-6"/>
        </w:rPr>
        <w:t> </w:t>
      </w:r>
      <w:r>
        <w:rPr/>
        <w:t>nutritional</w:t>
      </w:r>
      <w:r>
        <w:rPr>
          <w:spacing w:val="-5"/>
        </w:rPr>
        <w:t> </w:t>
      </w:r>
      <w:r>
        <w:rPr/>
        <w:t>deficiency.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could</w:t>
      </w:r>
      <w:r>
        <w:rPr>
          <w:spacing w:val="-3"/>
        </w:rPr>
        <w:t> </w:t>
      </w:r>
      <w:r>
        <w:rPr/>
        <w:t>result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frequent</w:t>
      </w:r>
      <w:r>
        <w:rPr>
          <w:spacing w:val="-5"/>
        </w:rPr>
        <w:t> </w:t>
      </w:r>
      <w:r>
        <w:rPr/>
        <w:t>sick-</w:t>
      </w:r>
      <w:r>
        <w:rPr>
          <w:spacing w:val="-58"/>
        </w:rPr>
        <w:t> </w:t>
      </w:r>
      <w:r>
        <w:rPr/>
        <w:t>days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death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skin</w:t>
      </w:r>
      <w:r>
        <w:rPr>
          <w:spacing w:val="-10"/>
        </w:rPr>
        <w:t> </w:t>
      </w:r>
      <w:r>
        <w:rPr/>
        <w:t>disorders,</w:t>
      </w:r>
      <w:r>
        <w:rPr>
          <w:spacing w:val="-14"/>
        </w:rPr>
        <w:t> </w:t>
      </w:r>
      <w:r>
        <w:rPr/>
        <w:t>dementia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ulcer.</w:t>
      </w:r>
      <w:r>
        <w:rPr>
          <w:spacing w:val="-14"/>
        </w:rPr>
        <w:t> </w:t>
      </w:r>
      <w:r>
        <w:rPr/>
        <w:t>Third,</w:t>
      </w:r>
      <w:r>
        <w:rPr>
          <w:spacing w:val="-14"/>
        </w:rPr>
        <w:t> </w:t>
      </w:r>
      <w:r>
        <w:rPr/>
        <w:t>balanced</w:t>
      </w:r>
      <w:r>
        <w:rPr>
          <w:spacing w:val="-13"/>
        </w:rPr>
        <w:t> </w:t>
      </w:r>
      <w:r>
        <w:rPr/>
        <w:t>diet</w:t>
      </w:r>
      <w:r>
        <w:rPr>
          <w:spacing w:val="-11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negative</w:t>
      </w:r>
      <w:r>
        <w:rPr>
          <w:spacing w:val="-58"/>
        </w:rPr>
        <w:t> </w:t>
      </w:r>
      <w:r>
        <w:rPr/>
        <w:t>and</w:t>
      </w:r>
      <w:r>
        <w:rPr>
          <w:spacing w:val="-9"/>
        </w:rPr>
        <w:t> </w:t>
      </w:r>
      <w:r>
        <w:rPr/>
        <w:t>significant.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imply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though</w:t>
      </w:r>
      <w:r>
        <w:rPr>
          <w:spacing w:val="-8"/>
        </w:rPr>
        <w:t> </w:t>
      </w:r>
      <w:r>
        <w:rPr/>
        <w:t>income</w:t>
      </w:r>
      <w:r>
        <w:rPr>
          <w:spacing w:val="-9"/>
        </w:rPr>
        <w:t> </w:t>
      </w:r>
      <w:r>
        <w:rPr/>
        <w:t>inequality</w:t>
      </w:r>
      <w:r>
        <w:rPr>
          <w:spacing w:val="-12"/>
        </w:rPr>
        <w:t> </w:t>
      </w:r>
      <w:r>
        <w:rPr/>
        <w:t>could</w:t>
      </w:r>
      <w:r>
        <w:rPr>
          <w:spacing w:val="-8"/>
        </w:rPr>
        <w:t> </w:t>
      </w:r>
      <w:r>
        <w:rPr/>
        <w:t>limit</w:t>
      </w:r>
      <w:r>
        <w:rPr>
          <w:spacing w:val="-7"/>
        </w:rPr>
        <w:t> </w:t>
      </w:r>
      <w:r>
        <w:rPr/>
        <w:t>purchasing</w:t>
      </w:r>
      <w:r>
        <w:rPr>
          <w:spacing w:val="-9"/>
        </w:rPr>
        <w:t> </w:t>
      </w:r>
      <w:r>
        <w:rPr/>
        <w:t>power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citizens</w:t>
      </w:r>
      <w:r>
        <w:rPr>
          <w:spacing w:val="-58"/>
        </w:rPr>
        <w:t> </w:t>
      </w:r>
      <w:r>
        <w:rPr/>
        <w:t>to obtain rice, gari, beans and flour; however, those with balance diets would experience lower</w:t>
      </w:r>
      <w:r>
        <w:rPr>
          <w:spacing w:val="1"/>
        </w:rPr>
        <w:t> </w:t>
      </w:r>
      <w:r>
        <w:rPr/>
        <w:t>sick-days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type</w:t>
      </w:r>
      <w:r>
        <w:rPr>
          <w:spacing w:val="-2"/>
        </w:rPr>
        <w:t> </w:t>
      </w:r>
      <w:r>
        <w:rPr/>
        <w:t>II</w:t>
      </w:r>
      <w:r>
        <w:rPr>
          <w:spacing w:val="-8"/>
        </w:rPr>
        <w:t> </w:t>
      </w:r>
      <w:r>
        <w:rPr/>
        <w:t>diabetes,</w:t>
      </w:r>
      <w:r>
        <w:rPr>
          <w:spacing w:val="-4"/>
        </w:rPr>
        <w:t> </w:t>
      </w:r>
      <w:r>
        <w:rPr/>
        <w:t>ulcer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cancers. Fourth,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estimate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meat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negative</w:t>
      </w:r>
      <w:r>
        <w:rPr>
          <w:spacing w:val="-4"/>
        </w:rPr>
        <w:t> </w:t>
      </w:r>
      <w:r>
        <w:rPr/>
        <w:t>but</w:t>
      </w:r>
      <w:r>
        <w:rPr>
          <w:spacing w:val="-3"/>
        </w:rPr>
        <w:t> </w:t>
      </w:r>
      <w:r>
        <w:rPr/>
        <w:t>not</w:t>
      </w:r>
      <w:r>
        <w:rPr>
          <w:spacing w:val="-58"/>
        </w:rPr>
        <w:t> </w:t>
      </w:r>
      <w:r>
        <w:rPr/>
        <w:t>significant. This result seem to suggest that while meat is a great source of protein and important</w:t>
      </w:r>
      <w:r>
        <w:rPr>
          <w:spacing w:val="1"/>
        </w:rPr>
        <w:t> </w:t>
      </w:r>
      <w:r>
        <w:rPr/>
        <w:t>nutrient, households particularly rich ones might experience illness from meat consumption.</w:t>
      </w:r>
      <w:r>
        <w:rPr>
          <w:spacing w:val="1"/>
        </w:rPr>
        <w:t> </w:t>
      </w:r>
      <w:r>
        <w:rPr/>
        <w:t>Previous</w:t>
      </w:r>
      <w:r>
        <w:rPr>
          <w:spacing w:val="13"/>
        </w:rPr>
        <w:t> </w:t>
      </w:r>
      <w:r>
        <w:rPr/>
        <w:t>research</w:t>
      </w:r>
      <w:r>
        <w:rPr>
          <w:spacing w:val="13"/>
        </w:rPr>
        <w:t> </w:t>
      </w:r>
      <w:r>
        <w:rPr/>
        <w:t>had</w:t>
      </w:r>
      <w:r>
        <w:rPr>
          <w:spacing w:val="15"/>
        </w:rPr>
        <w:t> </w:t>
      </w:r>
      <w:r>
        <w:rPr/>
        <w:t>also</w:t>
      </w:r>
      <w:r>
        <w:rPr>
          <w:spacing w:val="13"/>
        </w:rPr>
        <w:t> </w:t>
      </w:r>
      <w:r>
        <w:rPr/>
        <w:t>established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red</w:t>
      </w:r>
      <w:r>
        <w:rPr>
          <w:spacing w:val="15"/>
        </w:rPr>
        <w:t> </w:t>
      </w:r>
      <w:r>
        <w:rPr/>
        <w:t>meat</w:t>
      </w:r>
      <w:r>
        <w:rPr>
          <w:spacing w:val="13"/>
        </w:rPr>
        <w:t> </w:t>
      </w:r>
      <w:r>
        <w:rPr/>
        <w:t>have</w:t>
      </w:r>
      <w:r>
        <w:rPr>
          <w:spacing w:val="12"/>
        </w:rPr>
        <w:t> </w:t>
      </w:r>
      <w:r>
        <w:rPr/>
        <w:t>more</w:t>
      </w:r>
      <w:r>
        <w:rPr>
          <w:spacing w:val="13"/>
        </w:rPr>
        <w:t> </w:t>
      </w:r>
      <w:r>
        <w:rPr/>
        <w:t>saturated</w:t>
      </w:r>
      <w:r>
        <w:rPr>
          <w:spacing w:val="17"/>
        </w:rPr>
        <w:t> </w:t>
      </w:r>
      <w:r>
        <w:rPr/>
        <w:t>(bad)</w:t>
      </w:r>
      <w:r>
        <w:rPr>
          <w:spacing w:val="14"/>
        </w:rPr>
        <w:t> </w:t>
      </w:r>
      <w:r>
        <w:rPr/>
        <w:t>fat</w:t>
      </w:r>
      <w:r>
        <w:rPr>
          <w:spacing w:val="13"/>
        </w:rPr>
        <w:t> </w:t>
      </w:r>
      <w:r>
        <w:rPr/>
        <w:t>than</w:t>
      </w:r>
      <w:r>
        <w:rPr>
          <w:spacing w:val="14"/>
        </w:rPr>
        <w:t> </w:t>
      </w:r>
      <w:r>
        <w:rPr/>
        <w:t>chicken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20"/>
        <w:jc w:val="both"/>
      </w:pPr>
      <w:r>
        <w:rPr/>
        <w:t>and</w:t>
      </w:r>
      <w:r>
        <w:rPr>
          <w:spacing w:val="-13"/>
        </w:rPr>
        <w:t> </w:t>
      </w:r>
      <w:r>
        <w:rPr/>
        <w:t>fish.</w:t>
      </w:r>
      <w:r>
        <w:rPr>
          <w:spacing w:val="-12"/>
        </w:rPr>
        <w:t> </w:t>
      </w:r>
      <w:r>
        <w:rPr/>
        <w:t>These</w:t>
      </w:r>
      <w:r>
        <w:rPr>
          <w:spacing w:val="-13"/>
        </w:rPr>
        <w:t> </w:t>
      </w:r>
      <w:r>
        <w:rPr/>
        <w:t>fats</w:t>
      </w:r>
      <w:r>
        <w:rPr>
          <w:spacing w:val="-12"/>
        </w:rPr>
        <w:t> </w:t>
      </w:r>
      <w:r>
        <w:rPr/>
        <w:t>can</w:t>
      </w:r>
      <w:r>
        <w:rPr>
          <w:spacing w:val="-13"/>
        </w:rPr>
        <w:t> </w:t>
      </w:r>
      <w:r>
        <w:rPr/>
        <w:t>raise</w:t>
      </w:r>
      <w:r>
        <w:rPr>
          <w:spacing w:val="-13"/>
        </w:rPr>
        <w:t> </w:t>
      </w:r>
      <w:r>
        <w:rPr/>
        <w:t>blood</w:t>
      </w:r>
      <w:r>
        <w:rPr>
          <w:spacing w:val="-12"/>
        </w:rPr>
        <w:t> </w:t>
      </w:r>
      <w:r>
        <w:rPr/>
        <w:t>cholesterol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ill-health</w:t>
      </w:r>
      <w:r>
        <w:rPr>
          <w:spacing w:val="-12"/>
        </w:rPr>
        <w:t> </w:t>
      </w:r>
      <w:r>
        <w:rPr/>
        <w:t>issues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diabetes,</w:t>
      </w:r>
      <w:r>
        <w:rPr>
          <w:spacing w:val="-13"/>
        </w:rPr>
        <w:t> </w:t>
      </w:r>
      <w:r>
        <w:rPr/>
        <w:t>stomach</w:t>
      </w:r>
      <w:r>
        <w:rPr>
          <w:spacing w:val="-11"/>
        </w:rPr>
        <w:t> </w:t>
      </w:r>
      <w:r>
        <w:rPr/>
        <w:t>cancer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heart diseases.</w:t>
      </w:r>
    </w:p>
    <w:p>
      <w:pPr>
        <w:pStyle w:val="BodyText"/>
        <w:spacing w:line="360" w:lineRule="auto" w:before="185"/>
        <w:ind w:left="120" w:right="116"/>
        <w:jc w:val="both"/>
      </w:pPr>
      <w:r>
        <w:rPr/>
        <w:t>Fifth, the study’s results further shows that in the presence of income inequality, low educational</w:t>
      </w:r>
      <w:r>
        <w:rPr>
          <w:spacing w:val="-57"/>
        </w:rPr>
        <w:t> </w:t>
      </w:r>
      <w:r>
        <w:rPr/>
        <w:t>level is more detrimental to health significantly. Sixth, the possession of treated mosquito net is</w:t>
      </w:r>
      <w:r>
        <w:rPr>
          <w:spacing w:val="1"/>
        </w:rPr>
        <w:t> </w:t>
      </w:r>
      <w:r>
        <w:rPr/>
        <w:t>key to reduce malaria illness. Seventh, the result of the study indicates that access to electricity is</w:t>
      </w:r>
      <w:r>
        <w:rPr>
          <w:spacing w:val="-57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reducing</w:t>
      </w:r>
      <w:r>
        <w:rPr>
          <w:spacing w:val="-5"/>
        </w:rPr>
        <w:t> </w:t>
      </w:r>
      <w:r>
        <w:rPr/>
        <w:t>daily</w:t>
      </w:r>
      <w:r>
        <w:rPr>
          <w:spacing w:val="-9"/>
        </w:rPr>
        <w:t> </w:t>
      </w:r>
      <w:r>
        <w:rPr/>
        <w:t>stress,</w:t>
      </w:r>
      <w:r>
        <w:rPr>
          <w:spacing w:val="-3"/>
        </w:rPr>
        <w:t> </w:t>
      </w:r>
      <w:r>
        <w:rPr/>
        <w:t>depression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frustration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widening</w:t>
      </w:r>
      <w:r>
        <w:rPr>
          <w:spacing w:val="-6"/>
        </w:rPr>
        <w:t> </w:t>
      </w:r>
      <w:r>
        <w:rPr/>
        <w:t>income</w:t>
      </w:r>
      <w:r>
        <w:rPr>
          <w:spacing w:val="-2"/>
        </w:rPr>
        <w:t> </w:t>
      </w:r>
      <w:r>
        <w:rPr/>
        <w:t>gaps.</w:t>
      </w:r>
      <w:r>
        <w:rPr>
          <w:spacing w:val="-4"/>
        </w:rPr>
        <w:t> </w:t>
      </w:r>
      <w:r>
        <w:rPr/>
        <w:t>Eighth,</w:t>
      </w:r>
      <w:r>
        <w:rPr>
          <w:spacing w:val="-58"/>
        </w:rPr>
        <w:t> </w:t>
      </w:r>
      <w:r>
        <w:rPr/>
        <w:t>it was found that in the presence of income inequality, access to safe water and sanitation help to</w:t>
      </w:r>
      <w:r>
        <w:rPr>
          <w:spacing w:val="1"/>
        </w:rPr>
        <w:t> </w:t>
      </w:r>
      <w:r>
        <w:rPr/>
        <w:t>reduce</w:t>
      </w:r>
      <w:r>
        <w:rPr>
          <w:spacing w:val="-10"/>
        </w:rPr>
        <w:t> </w:t>
      </w:r>
      <w:r>
        <w:rPr/>
        <w:t>poor</w:t>
      </w:r>
      <w:r>
        <w:rPr>
          <w:spacing w:val="-9"/>
        </w:rPr>
        <w:t> </w:t>
      </w:r>
      <w:r>
        <w:rPr/>
        <w:t>health</w:t>
      </w:r>
      <w:r>
        <w:rPr>
          <w:spacing w:val="-9"/>
        </w:rPr>
        <w:t> </w:t>
      </w:r>
      <w:r>
        <w:rPr/>
        <w:t>outcomes.</w:t>
      </w:r>
      <w:r>
        <w:rPr>
          <w:spacing w:val="-9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households</w:t>
      </w:r>
      <w:r>
        <w:rPr>
          <w:spacing w:val="-8"/>
        </w:rPr>
        <w:t> </w:t>
      </w:r>
      <w:r>
        <w:rPr/>
        <w:t>without</w:t>
      </w:r>
      <w:r>
        <w:rPr>
          <w:spacing w:val="-8"/>
        </w:rPr>
        <w:t> </w:t>
      </w:r>
      <w:r>
        <w:rPr/>
        <w:t>these</w:t>
      </w:r>
      <w:r>
        <w:rPr>
          <w:spacing w:val="-10"/>
        </w:rPr>
        <w:t> </w:t>
      </w:r>
      <w:r>
        <w:rPr/>
        <w:t>facilities</w:t>
      </w:r>
      <w:r>
        <w:rPr>
          <w:spacing w:val="-9"/>
        </w:rPr>
        <w:t> </w:t>
      </w:r>
      <w:r>
        <w:rPr/>
        <w:t>experience</w:t>
      </w:r>
      <w:r>
        <w:rPr>
          <w:spacing w:val="-9"/>
        </w:rPr>
        <w:t> </w:t>
      </w:r>
      <w:r>
        <w:rPr/>
        <w:t>poor</w:t>
      </w:r>
      <w:r>
        <w:rPr>
          <w:spacing w:val="-9"/>
        </w:rPr>
        <w:t> </w:t>
      </w:r>
      <w:r>
        <w:rPr/>
        <w:t>health</w:t>
      </w:r>
      <w:r>
        <w:rPr>
          <w:spacing w:val="-58"/>
        </w:rPr>
        <w:t> </w:t>
      </w:r>
      <w:r>
        <w:rPr/>
        <w:t>challenges.</w:t>
      </w:r>
      <w:r>
        <w:rPr>
          <w:spacing w:val="-3"/>
        </w:rPr>
        <w:t> </w:t>
      </w:r>
      <w:r>
        <w:rPr/>
        <w:t>Ninth,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8"/>
        </w:rPr>
        <w:t> </w:t>
      </w:r>
      <w:r>
        <w:rPr/>
        <w:t>also</w:t>
      </w:r>
      <w:r>
        <w:rPr>
          <w:spacing w:val="-2"/>
        </w:rPr>
        <w:t> </w:t>
      </w:r>
      <w:r>
        <w:rPr/>
        <w:t>found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chronic</w:t>
      </w:r>
      <w:r>
        <w:rPr>
          <w:spacing w:val="-4"/>
        </w:rPr>
        <w:t> </w:t>
      </w:r>
      <w:r>
        <w:rPr/>
        <w:t>stress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rising</w:t>
      </w:r>
      <w:r>
        <w:rPr>
          <w:spacing w:val="-5"/>
        </w:rPr>
        <w:t> </w:t>
      </w:r>
      <w:r>
        <w:rPr/>
        <w:t>income</w:t>
      </w:r>
      <w:r>
        <w:rPr>
          <w:spacing w:val="-3"/>
        </w:rPr>
        <w:t> </w:t>
      </w:r>
      <w:r>
        <w:rPr/>
        <w:t>inequality</w:t>
      </w:r>
      <w:r>
        <w:rPr>
          <w:spacing w:val="-6"/>
        </w:rPr>
        <w:t> </w:t>
      </w:r>
      <w:r>
        <w:rPr/>
        <w:t>could</w:t>
      </w:r>
      <w:r>
        <w:rPr>
          <w:spacing w:val="-57"/>
        </w:rPr>
        <w:t> </w:t>
      </w:r>
      <w:r>
        <w:rPr/>
        <w:t>possibly</w:t>
      </w:r>
      <w:r>
        <w:rPr>
          <w:spacing w:val="-13"/>
        </w:rPr>
        <w:t> </w:t>
      </w:r>
      <w:r>
        <w:rPr/>
        <w:t>lead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alcoholic</w:t>
      </w:r>
      <w:r>
        <w:rPr>
          <w:spacing w:val="-6"/>
        </w:rPr>
        <w:t> </w:t>
      </w:r>
      <w:r>
        <w:rPr/>
        <w:t>consumption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self-medication.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further</w:t>
      </w:r>
      <w:r>
        <w:rPr>
          <w:spacing w:val="-9"/>
        </w:rPr>
        <w:t> </w:t>
      </w:r>
      <w:r>
        <w:rPr/>
        <w:t>lead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poor</w:t>
      </w:r>
      <w:r>
        <w:rPr>
          <w:spacing w:val="-8"/>
        </w:rPr>
        <w:t> </w:t>
      </w:r>
      <w:r>
        <w:rPr/>
        <w:t>health</w:t>
      </w:r>
      <w:r>
        <w:rPr>
          <w:spacing w:val="-9"/>
        </w:rPr>
        <w:t> </w:t>
      </w:r>
      <w:r>
        <w:rPr/>
        <w:t>issues</w:t>
      </w:r>
      <w:r>
        <w:rPr>
          <w:spacing w:val="-57"/>
        </w:rPr>
        <w:t> </w:t>
      </w:r>
      <w:r>
        <w:rPr/>
        <w:t>significantly. Finally and the tenth, the result of the study indicates that rising income inequality</w:t>
      </w:r>
      <w:r>
        <w:rPr>
          <w:spacing w:val="1"/>
        </w:rPr>
        <w:t> </w:t>
      </w:r>
      <w:r>
        <w:rPr/>
        <w:t>negatively affect household earnings, with reduced consumption spending on health goods and</w:t>
      </w:r>
      <w:r>
        <w:rPr>
          <w:spacing w:val="1"/>
        </w:rPr>
        <w:t> </w:t>
      </w:r>
      <w:r>
        <w:rPr/>
        <w:t>services, poor health outcomes intensify. However, the estimates for pension and dividend from</w:t>
      </w:r>
      <w:r>
        <w:rPr>
          <w:spacing w:val="1"/>
        </w:rPr>
        <w:t> </w:t>
      </w:r>
      <w:r>
        <w:rPr/>
        <w:t>investment was directly related to illness. Perhaps the fear and stress associated with pension</w:t>
      </w:r>
      <w:r>
        <w:rPr>
          <w:spacing w:val="1"/>
        </w:rPr>
        <w:t> </w:t>
      </w:r>
      <w:r>
        <w:rPr/>
        <w:t>process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Nigeria</w:t>
      </w:r>
      <w:r>
        <w:rPr>
          <w:spacing w:val="-11"/>
        </w:rPr>
        <w:t> </w:t>
      </w:r>
      <w:r>
        <w:rPr/>
        <w:t>might</w:t>
      </w:r>
      <w:r>
        <w:rPr>
          <w:spacing w:val="-7"/>
        </w:rPr>
        <w:t> </w:t>
      </w:r>
      <w:r>
        <w:rPr/>
        <w:t>result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high</w:t>
      </w:r>
      <w:r>
        <w:rPr>
          <w:spacing w:val="-10"/>
        </w:rPr>
        <w:t> </w:t>
      </w:r>
      <w:r>
        <w:rPr/>
        <w:t>blood</w:t>
      </w:r>
      <w:r>
        <w:rPr>
          <w:spacing w:val="-10"/>
        </w:rPr>
        <w:t> </w:t>
      </w:r>
      <w:r>
        <w:rPr/>
        <w:t>pressure,</w:t>
      </w:r>
      <w:r>
        <w:rPr>
          <w:spacing w:val="-9"/>
        </w:rPr>
        <w:t> </w:t>
      </w:r>
      <w:r>
        <w:rPr/>
        <w:t>heart</w:t>
      </w:r>
      <w:r>
        <w:rPr>
          <w:spacing w:val="-10"/>
        </w:rPr>
        <w:t> </w:t>
      </w:r>
      <w:r>
        <w:rPr/>
        <w:t>failure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stroke.</w:t>
      </w:r>
      <w:r>
        <w:rPr>
          <w:spacing w:val="-10"/>
        </w:rPr>
        <w:t> </w:t>
      </w:r>
      <w:r>
        <w:rPr/>
        <w:t>Similarly,</w:t>
      </w:r>
      <w:r>
        <w:rPr>
          <w:spacing w:val="-10"/>
        </w:rPr>
        <w:t> </w:t>
      </w:r>
      <w:r>
        <w:rPr/>
        <w:t>dividend</w:t>
      </w:r>
      <w:r>
        <w:rPr>
          <w:spacing w:val="-58"/>
        </w:rPr>
        <w:t> </w:t>
      </w:r>
      <w:r>
        <w:rPr/>
        <w:t>are</w:t>
      </w:r>
      <w:r>
        <w:rPr>
          <w:spacing w:val="-3"/>
        </w:rPr>
        <w:t> </w:t>
      </w:r>
      <w:r>
        <w:rPr/>
        <w:t>not always</w:t>
      </w:r>
      <w:r>
        <w:rPr>
          <w:spacing w:val="1"/>
        </w:rPr>
        <w:t> </w:t>
      </w:r>
      <w:r>
        <w:rPr/>
        <w:t>guarantee in</w:t>
      </w:r>
      <w:r>
        <w:rPr>
          <w:spacing w:val="-1"/>
        </w:rPr>
        <w:t> </w:t>
      </w:r>
      <w:r>
        <w:rPr/>
        <w:t>rising</w:t>
      </w:r>
      <w:r>
        <w:rPr>
          <w:spacing w:val="-3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due</w:t>
      </w:r>
      <w:r>
        <w:rPr>
          <w:spacing w:val="-2"/>
        </w:rPr>
        <w:t> </w:t>
      </w:r>
      <w:r>
        <w:rPr/>
        <w:t>to significant</w:t>
      </w:r>
      <w:r>
        <w:rPr>
          <w:spacing w:val="-1"/>
        </w:rPr>
        <w:t> </w:t>
      </w:r>
      <w:r>
        <w:rPr/>
        <w:t>tax</w:t>
      </w:r>
      <w:r>
        <w:rPr>
          <w:spacing w:val="2"/>
        </w:rPr>
        <w:t> </w:t>
      </w:r>
      <w:r>
        <w:rPr/>
        <w:t>disadvantages.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" w:right="0" w:firstLine="0"/>
        <w:jc w:val="both"/>
        <w:rPr>
          <w:i/>
          <w:sz w:val="24"/>
        </w:rPr>
      </w:pPr>
      <w:r>
        <w:rPr>
          <w:i/>
          <w:sz w:val="24"/>
        </w:rPr>
        <w:t>Direct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Indirect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Health-Seeking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Behaviour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</w:p>
    <w:p>
      <w:pPr>
        <w:pStyle w:val="BodyText"/>
        <w:spacing w:line="360" w:lineRule="auto" w:before="139"/>
        <w:ind w:left="120" w:right="112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inverse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Gini</w:t>
      </w:r>
      <w:r>
        <w:rPr>
          <w:spacing w:val="-11"/>
        </w:rPr>
        <w:t> </w:t>
      </w:r>
      <w:r>
        <w:rPr/>
        <w:t>coefficient’s</w:t>
      </w:r>
      <w:r>
        <w:rPr>
          <w:spacing w:val="-12"/>
        </w:rPr>
        <w:t> </w:t>
      </w:r>
      <w:r>
        <w:rPr/>
        <w:t>estimate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</w:t>
      </w:r>
      <w:r>
        <w:rPr>
          <w:spacing w:val="-19"/>
        </w:rPr>
        <w:t> </w:t>
      </w:r>
      <w:r>
        <w:rPr/>
        <w:t>further</w:t>
      </w:r>
      <w:r>
        <w:rPr>
          <w:spacing w:val="-13"/>
        </w:rPr>
        <w:t> </w:t>
      </w:r>
      <w:r>
        <w:rPr/>
        <w:t>indicates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income</w:t>
      </w:r>
      <w:r>
        <w:rPr>
          <w:spacing w:val="-57"/>
        </w:rPr>
        <w:t> </w:t>
      </w:r>
      <w:r>
        <w:rPr/>
        <w:t>inequality is disadvantageous to seeking appropriate health-seeking in times of illness directly in</w:t>
      </w:r>
      <w:r>
        <w:rPr>
          <w:spacing w:val="1"/>
        </w:rPr>
        <w:t> </w:t>
      </w:r>
      <w:r>
        <w:rPr>
          <w:spacing w:val="-1"/>
        </w:rPr>
        <w:t>Nigeria.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result</w:t>
      </w:r>
      <w:r>
        <w:rPr>
          <w:spacing w:val="-12"/>
        </w:rPr>
        <w:t> </w:t>
      </w:r>
      <w:r>
        <w:rPr/>
        <w:t>suggest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presence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rising</w:t>
      </w:r>
      <w:r>
        <w:rPr>
          <w:spacing w:val="-15"/>
        </w:rPr>
        <w:t> </w:t>
      </w:r>
      <w:r>
        <w:rPr/>
        <w:t>income</w:t>
      </w:r>
      <w:r>
        <w:rPr>
          <w:spacing w:val="-13"/>
        </w:rPr>
        <w:t> </w:t>
      </w:r>
      <w:r>
        <w:rPr/>
        <w:t>disparity,</w:t>
      </w:r>
      <w:r>
        <w:rPr>
          <w:spacing w:val="-12"/>
        </w:rPr>
        <w:t> </w:t>
      </w:r>
      <w:r>
        <w:rPr/>
        <w:t>political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opportunity</w:t>
      </w:r>
      <w:r>
        <w:rPr>
          <w:spacing w:val="-57"/>
        </w:rPr>
        <w:t> </w:t>
      </w:r>
      <w:r>
        <w:rPr/>
        <w:t>captures leads to inappropriate HSB. The implication of this result is that increased ill-gotten</w:t>
      </w:r>
      <w:r>
        <w:rPr>
          <w:spacing w:val="1"/>
        </w:rPr>
        <w:t> </w:t>
      </w:r>
      <w:r>
        <w:rPr/>
        <w:t>wealth from rent-seeking could reduce the efficiency and effectiveness of public health facilities.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limit access of masses to such services.</w:t>
      </w:r>
    </w:p>
    <w:p>
      <w:pPr>
        <w:pStyle w:val="BodyText"/>
        <w:spacing w:line="360" w:lineRule="auto" w:before="207"/>
        <w:ind w:left="120" w:right="115"/>
        <w:jc w:val="both"/>
      </w:pPr>
      <w:r>
        <w:rPr/>
        <w:t>The findings also shows that there is an indirect effect between income inequality and HSB. This</w:t>
      </w:r>
      <w:r>
        <w:rPr>
          <w:spacing w:val="-57"/>
        </w:rPr>
        <w:t> </w:t>
      </w:r>
      <w:r>
        <w:rPr/>
        <w:t>is mediated by household characteristics. First, in the presence of rising income inequality, any</w:t>
      </w:r>
      <w:r>
        <w:rPr>
          <w:spacing w:val="1"/>
        </w:rPr>
        <w:t> </w:t>
      </w:r>
      <w:r>
        <w:rPr/>
        <w:t>addition to family size would likely lead to drags-down of resources and inappropriate HSB.</w:t>
      </w:r>
      <w:r>
        <w:rPr>
          <w:spacing w:val="1"/>
        </w:rPr>
        <w:t> </w:t>
      </w:r>
      <w:r>
        <w:rPr/>
        <w:t>Second, irrespective of the level of income gaps among households, the chance that household</w:t>
      </w:r>
      <w:r>
        <w:rPr>
          <w:spacing w:val="1"/>
        </w:rPr>
        <w:t> </w:t>
      </w:r>
      <w:r>
        <w:rPr/>
        <w:t>with educated head consult medical-care is high. Third, with rising income inequality, the study</w:t>
      </w:r>
      <w:r>
        <w:rPr>
          <w:spacing w:val="1"/>
        </w:rPr>
        <w:t> </w:t>
      </w:r>
      <w:r>
        <w:rPr/>
        <w:t>found that men might likely have negative attitude toward seeking appropriate healthcare than</w:t>
      </w:r>
      <w:r>
        <w:rPr>
          <w:spacing w:val="1"/>
        </w:rPr>
        <w:t> </w:t>
      </w:r>
      <w:r>
        <w:rPr/>
        <w:t>their</w:t>
      </w:r>
      <w:r>
        <w:rPr>
          <w:spacing w:val="24"/>
        </w:rPr>
        <w:t> </w:t>
      </w:r>
      <w:r>
        <w:rPr/>
        <w:t>female</w:t>
      </w:r>
      <w:r>
        <w:rPr>
          <w:spacing w:val="26"/>
        </w:rPr>
        <w:t> </w:t>
      </w:r>
      <w:r>
        <w:rPr/>
        <w:t>counter-part.</w:t>
      </w:r>
      <w:r>
        <w:rPr>
          <w:spacing w:val="25"/>
        </w:rPr>
        <w:t> </w:t>
      </w:r>
      <w:r>
        <w:rPr/>
        <w:t>Fourth,</w:t>
      </w:r>
      <w:r>
        <w:rPr>
          <w:spacing w:val="27"/>
        </w:rPr>
        <w:t> </w:t>
      </w:r>
      <w:r>
        <w:rPr/>
        <w:t>it</w:t>
      </w:r>
      <w:r>
        <w:rPr>
          <w:spacing w:val="25"/>
        </w:rPr>
        <w:t> </w:t>
      </w:r>
      <w:r>
        <w:rPr/>
        <w:t>was</w:t>
      </w:r>
      <w:r>
        <w:rPr>
          <w:spacing w:val="25"/>
        </w:rPr>
        <w:t> </w:t>
      </w:r>
      <w:r>
        <w:rPr/>
        <w:t>also</w:t>
      </w:r>
      <w:r>
        <w:rPr>
          <w:spacing w:val="26"/>
        </w:rPr>
        <w:t> </w:t>
      </w:r>
      <w:r>
        <w:rPr/>
        <w:t>found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being</w:t>
      </w:r>
      <w:r>
        <w:rPr>
          <w:spacing w:val="23"/>
        </w:rPr>
        <w:t> </w:t>
      </w:r>
      <w:r>
        <w:rPr/>
        <w:t>married</w:t>
      </w:r>
      <w:r>
        <w:rPr>
          <w:spacing w:val="26"/>
        </w:rPr>
        <w:t> </w:t>
      </w:r>
      <w:r>
        <w:rPr/>
        <w:t>associates</w:t>
      </w:r>
      <w:r>
        <w:rPr>
          <w:spacing w:val="26"/>
        </w:rPr>
        <w:t> </w:t>
      </w:r>
      <w:r>
        <w:rPr/>
        <w:t>with</w:t>
      </w:r>
      <w:r>
        <w:rPr>
          <w:spacing w:val="25"/>
        </w:rPr>
        <w:t> </w:t>
      </w:r>
      <w:r>
        <w:rPr/>
        <w:t>seeking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360" w:lineRule="auto" w:before="74"/>
        <w:ind w:left="120" w:right="114"/>
        <w:jc w:val="both"/>
      </w:pPr>
      <w:r>
        <w:rPr/>
        <w:t>medical-care</w:t>
      </w:r>
      <w:r>
        <w:rPr>
          <w:spacing w:val="-15"/>
        </w:rPr>
        <w:t> </w:t>
      </w:r>
      <w:r>
        <w:rPr/>
        <w:t>statistically.</w:t>
      </w:r>
      <w:r>
        <w:rPr>
          <w:spacing w:val="-8"/>
        </w:rPr>
        <w:t> </w:t>
      </w:r>
      <w:r>
        <w:rPr/>
        <w:t>Perhaps</w:t>
      </w:r>
      <w:r>
        <w:rPr>
          <w:spacing w:val="-12"/>
        </w:rPr>
        <w:t> </w:t>
      </w:r>
      <w:r>
        <w:rPr/>
        <w:t>couples</w:t>
      </w:r>
      <w:r>
        <w:rPr>
          <w:spacing w:val="-12"/>
        </w:rPr>
        <w:t> </w:t>
      </w:r>
      <w:r>
        <w:rPr/>
        <w:t>could</w:t>
      </w:r>
      <w:r>
        <w:rPr>
          <w:spacing w:val="-12"/>
        </w:rPr>
        <w:t> </w:t>
      </w:r>
      <w:r>
        <w:rPr/>
        <w:t>poll</w:t>
      </w:r>
      <w:r>
        <w:rPr>
          <w:spacing w:val="-11"/>
        </w:rPr>
        <w:t> </w:t>
      </w:r>
      <w:r>
        <w:rPr/>
        <w:t>their</w:t>
      </w:r>
      <w:r>
        <w:rPr>
          <w:spacing w:val="-13"/>
        </w:rPr>
        <w:t> </w:t>
      </w:r>
      <w:r>
        <w:rPr/>
        <w:t>resources</w:t>
      </w:r>
      <w:r>
        <w:rPr>
          <w:spacing w:val="-13"/>
        </w:rPr>
        <w:t> </w:t>
      </w:r>
      <w:r>
        <w:rPr/>
        <w:t>together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access</w:t>
      </w:r>
      <w:r>
        <w:rPr>
          <w:spacing w:val="-12"/>
        </w:rPr>
        <w:t> </w:t>
      </w:r>
      <w:r>
        <w:rPr/>
        <w:t>appropriate</w:t>
      </w:r>
      <w:r>
        <w:rPr>
          <w:spacing w:val="-57"/>
        </w:rPr>
        <w:t> </w:t>
      </w:r>
      <w:r>
        <w:rPr/>
        <w:t>health-care services. Lastly and the fifth, as incomes from wages and salaries, business enterprise</w:t>
      </w:r>
      <w:r>
        <w:rPr>
          <w:spacing w:val="-57"/>
        </w:rPr>
        <w:t> </w:t>
      </w:r>
      <w:r>
        <w:rPr/>
        <w:t>and</w:t>
      </w:r>
      <w:r>
        <w:rPr>
          <w:spacing w:val="-6"/>
        </w:rPr>
        <w:t> </w:t>
      </w:r>
      <w:r>
        <w:rPr/>
        <w:t>trading,</w:t>
      </w:r>
      <w:r>
        <w:rPr>
          <w:spacing w:val="-6"/>
        </w:rPr>
        <w:t> </w:t>
      </w:r>
      <w:r>
        <w:rPr/>
        <w:t>crop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livestock,</w:t>
      </w:r>
      <w:r>
        <w:rPr>
          <w:spacing w:val="-7"/>
        </w:rPr>
        <w:t> </w:t>
      </w:r>
      <w:r>
        <w:rPr/>
        <w:t>monetary</w:t>
      </w:r>
      <w:r>
        <w:rPr>
          <w:spacing w:val="-11"/>
        </w:rPr>
        <w:t> </w:t>
      </w:r>
      <w:r>
        <w:rPr/>
        <w:t>transfer,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pension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grants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rising,</w:t>
      </w:r>
      <w:r>
        <w:rPr>
          <w:spacing w:val="-6"/>
        </w:rPr>
        <w:t> </w:t>
      </w:r>
      <w:r>
        <w:rPr/>
        <w:t>these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key</w:t>
      </w:r>
      <w:r>
        <w:rPr>
          <w:spacing w:val="-58"/>
        </w:rPr>
        <w:t> </w:t>
      </w:r>
      <w:r>
        <w:rPr/>
        <w:t>in</w:t>
      </w:r>
      <w:r>
        <w:rPr>
          <w:spacing w:val="-8"/>
        </w:rPr>
        <w:t> </w:t>
      </w:r>
      <w:r>
        <w:rPr/>
        <w:t>predicting</w:t>
      </w:r>
      <w:r>
        <w:rPr>
          <w:spacing w:val="-11"/>
        </w:rPr>
        <w:t> </w:t>
      </w:r>
      <w:r>
        <w:rPr/>
        <w:t>orthodox</w:t>
      </w:r>
      <w:r>
        <w:rPr>
          <w:spacing w:val="-6"/>
        </w:rPr>
        <w:t> </w:t>
      </w:r>
      <w:r>
        <w:rPr/>
        <w:t>healthcare</w:t>
      </w:r>
      <w:r>
        <w:rPr>
          <w:spacing w:val="-8"/>
        </w:rPr>
        <w:t> </w:t>
      </w:r>
      <w:r>
        <w:rPr/>
        <w:t>utilization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</w:t>
      </w:r>
      <w:r>
        <w:rPr>
          <w:spacing w:val="-10"/>
        </w:rPr>
        <w:t> </w:t>
      </w:r>
      <w:r>
        <w:rPr/>
        <w:t>significantly.</w:t>
      </w:r>
      <w:r>
        <w:rPr>
          <w:spacing w:val="-2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</w:t>
      </w:r>
      <w:r>
        <w:rPr>
          <w:spacing w:val="-8"/>
        </w:rPr>
        <w:t> </w:t>
      </w:r>
      <w:r>
        <w:rPr/>
        <w:t>indicates</w:t>
      </w:r>
      <w:r>
        <w:rPr>
          <w:spacing w:val="-58"/>
        </w:rPr>
        <w:t> </w:t>
      </w:r>
      <w:r>
        <w:rPr/>
        <w:t>a positive and significant estimate for dividend from investment. This suggest that with widening</w:t>
      </w:r>
      <w:r>
        <w:rPr>
          <w:spacing w:val="-57"/>
        </w:rPr>
        <w:t> </w:t>
      </w:r>
      <w:r>
        <w:rPr/>
        <w:t>income</w:t>
      </w:r>
      <w:r>
        <w:rPr>
          <w:spacing w:val="-7"/>
        </w:rPr>
        <w:t> </w:t>
      </w:r>
      <w:r>
        <w:rPr/>
        <w:t>inequality,</w:t>
      </w:r>
      <w:r>
        <w:rPr>
          <w:spacing w:val="-6"/>
        </w:rPr>
        <w:t> </w:t>
      </w:r>
      <w:r>
        <w:rPr/>
        <w:t>incomes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dividend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3"/>
        </w:rPr>
        <w:t> </w:t>
      </w:r>
      <w:r>
        <w:rPr/>
        <w:t>always</w:t>
      </w:r>
      <w:r>
        <w:rPr>
          <w:spacing w:val="-6"/>
        </w:rPr>
        <w:t> </w:t>
      </w:r>
      <w:r>
        <w:rPr/>
        <w:t>certain,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might</w:t>
      </w:r>
      <w:r>
        <w:rPr>
          <w:spacing w:val="-6"/>
        </w:rPr>
        <w:t> </w:t>
      </w:r>
      <w:r>
        <w:rPr/>
        <w:t>constrain</w:t>
      </w:r>
      <w:r>
        <w:rPr>
          <w:spacing w:val="-6"/>
        </w:rPr>
        <w:t> </w:t>
      </w:r>
      <w:r>
        <w:rPr/>
        <w:t>appropriate</w:t>
      </w:r>
      <w:r>
        <w:rPr>
          <w:spacing w:val="-58"/>
        </w:rPr>
        <w:t> </w:t>
      </w:r>
      <w:r>
        <w:rPr/>
        <w:t>healthcare-seeking.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963" w:val="left" w:leader="none"/>
        </w:tabs>
        <w:spacing w:line="240" w:lineRule="auto" w:before="0" w:after="0"/>
        <w:ind w:left="962" w:right="0" w:hanging="843"/>
        <w:jc w:val="both"/>
        <w:rPr>
          <w:b/>
          <w:sz w:val="26"/>
        </w:rPr>
      </w:pPr>
      <w:bookmarkStart w:name="_TOC_250003" w:id="74"/>
      <w:bookmarkEnd w:id="74"/>
      <w:r>
        <w:rPr>
          <w:b/>
          <w:sz w:val="26"/>
        </w:rPr>
        <w:t>Conclusion</w:t>
      </w:r>
    </w:p>
    <w:p>
      <w:pPr>
        <w:pStyle w:val="BodyText"/>
        <w:spacing w:line="360" w:lineRule="auto" w:before="145"/>
        <w:ind w:left="120" w:right="114"/>
        <w:jc w:val="both"/>
      </w:pPr>
      <w:r>
        <w:rPr/>
        <w:t>Within the context of the stated research questions and objectives, the study has revealed that the</w:t>
      </w:r>
      <w:r>
        <w:rPr>
          <w:spacing w:val="1"/>
        </w:rPr>
        <w:t> </w:t>
      </w:r>
      <w:r>
        <w:rPr/>
        <w:t>effect of income inequality on health outcomes and health-seeking behavior among </w:t>
      </w:r>
      <w:r>
        <w:rPr>
          <w:sz w:val="23"/>
        </w:rPr>
        <w:t>households </w:t>
      </w:r>
      <w:r>
        <w:rPr/>
        <w:t>in</w:t>
      </w:r>
      <w:r>
        <w:rPr>
          <w:spacing w:val="-57"/>
        </w:rPr>
        <w:t> </w:t>
      </w:r>
      <w:r>
        <w:rPr>
          <w:sz w:val="23"/>
        </w:rPr>
        <w:t>Nigeria, </w:t>
      </w:r>
      <w:r>
        <w:rPr/>
        <w:t>is not only direct (as </w:t>
      </w:r>
      <w:r>
        <w:rPr>
          <w:sz w:val="23"/>
        </w:rPr>
        <w:t>Wilkinson’s </w:t>
      </w:r>
      <w:r>
        <w:rPr/>
        <w:t>income inequality-health hypothesis proposed and</w:t>
      </w:r>
      <w:r>
        <w:rPr>
          <w:spacing w:val="1"/>
        </w:rPr>
        <w:t> </w:t>
      </w:r>
      <w:r>
        <w:rPr>
          <w:spacing w:val="-1"/>
        </w:rPr>
        <w:t>evident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more</w:t>
      </w:r>
      <w:r>
        <w:rPr>
          <w:spacing w:val="-12"/>
        </w:rPr>
        <w:t> </w:t>
      </w:r>
      <w:r>
        <w:rPr/>
        <w:t>recent</w:t>
      </w:r>
      <w:r>
        <w:rPr>
          <w:spacing w:val="-10"/>
        </w:rPr>
        <w:t> </w:t>
      </w:r>
      <w:r>
        <w:rPr/>
        <w:t>studies,</w:t>
      </w:r>
      <w:r>
        <w:rPr>
          <w:spacing w:val="-10"/>
        </w:rPr>
        <w:t> </w:t>
      </w:r>
      <w:r>
        <w:rPr/>
        <w:t>such</w:t>
      </w:r>
      <w:r>
        <w:rPr>
          <w:spacing w:val="-10"/>
        </w:rPr>
        <w:t> </w:t>
      </w:r>
      <w:r>
        <w:rPr/>
        <w:t>as,</w:t>
      </w:r>
      <w:r>
        <w:rPr>
          <w:spacing w:val="-10"/>
        </w:rPr>
        <w:t> </w:t>
      </w:r>
      <w:r>
        <w:rPr/>
        <w:t>Rebeira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2017;</w:t>
      </w:r>
      <w:r>
        <w:rPr>
          <w:spacing w:val="-10"/>
        </w:rPr>
        <w:t> </w:t>
      </w:r>
      <w:r>
        <w:rPr/>
        <w:t>Massa</w:t>
      </w:r>
      <w:r>
        <w:rPr>
          <w:spacing w:val="-11"/>
        </w:rPr>
        <w:t> </w:t>
      </w:r>
      <w:r>
        <w:rPr/>
        <w:t>2018;</w:t>
      </w:r>
      <w:r>
        <w:rPr>
          <w:spacing w:val="-10"/>
        </w:rPr>
        <w:t> </w:t>
      </w:r>
      <w:r>
        <w:rPr/>
        <w:t>Matthew</w:t>
      </w:r>
      <w:r>
        <w:rPr>
          <w:spacing w:val="-11"/>
        </w:rPr>
        <w:t> </w:t>
      </w:r>
      <w:r>
        <w:rPr/>
        <w:t>2019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Kim,</w:t>
      </w:r>
      <w:r>
        <w:rPr>
          <w:spacing w:val="-57"/>
        </w:rPr>
        <w:t> </w:t>
      </w:r>
      <w:r>
        <w:rPr/>
        <w:t>2019),</w:t>
      </w:r>
      <w:r>
        <w:rPr>
          <w:spacing w:val="-1"/>
        </w:rPr>
        <w:t> </w:t>
      </w:r>
      <w:r>
        <w:rPr/>
        <w:t>but also, indirect and mediated by</w:t>
      </w:r>
      <w:r>
        <w:rPr>
          <w:spacing w:val="-5"/>
        </w:rPr>
        <w:t> </w:t>
      </w:r>
      <w:r>
        <w:rPr/>
        <w:t>household-characteristics.</w:t>
      </w:r>
    </w:p>
    <w:p>
      <w:pPr>
        <w:spacing w:before="232"/>
        <w:ind w:left="120" w:right="0" w:firstLine="0"/>
        <w:jc w:val="both"/>
        <w:rPr>
          <w:sz w:val="23"/>
        </w:rPr>
      </w:pPr>
      <w:r>
        <w:rPr>
          <w:spacing w:val="-1"/>
          <w:sz w:val="24"/>
        </w:rPr>
        <w:t>Three</w:t>
      </w:r>
      <w:r>
        <w:rPr>
          <w:spacing w:val="-11"/>
          <w:sz w:val="24"/>
        </w:rPr>
        <w:t> </w:t>
      </w:r>
      <w:r>
        <w:rPr>
          <w:spacing w:val="-1"/>
          <w:sz w:val="23"/>
        </w:rPr>
        <w:t>key</w:t>
      </w:r>
      <w:r>
        <w:rPr>
          <w:spacing w:val="-15"/>
          <w:sz w:val="23"/>
        </w:rPr>
        <w:t> </w:t>
      </w:r>
      <w:r>
        <w:rPr>
          <w:sz w:val="23"/>
        </w:rPr>
        <w:t>observations</w:t>
      </w:r>
      <w:r>
        <w:rPr>
          <w:spacing w:val="-9"/>
          <w:sz w:val="23"/>
        </w:rPr>
        <w:t> </w:t>
      </w:r>
      <w:r>
        <w:rPr>
          <w:sz w:val="24"/>
        </w:rPr>
        <w:t>were</w:t>
      </w:r>
      <w:r>
        <w:rPr>
          <w:spacing w:val="-12"/>
          <w:sz w:val="24"/>
        </w:rPr>
        <w:t> </w:t>
      </w:r>
      <w:r>
        <w:rPr>
          <w:sz w:val="24"/>
        </w:rPr>
        <w:t>made</w:t>
      </w:r>
      <w:r>
        <w:rPr>
          <w:spacing w:val="-12"/>
          <w:sz w:val="24"/>
        </w:rPr>
        <w:t> </w:t>
      </w:r>
      <w:r>
        <w:rPr>
          <w:sz w:val="24"/>
        </w:rPr>
        <w:t>from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3"/>
        </w:rPr>
        <w:t>findings</w:t>
      </w:r>
      <w:r>
        <w:rPr>
          <w:spacing w:val="-10"/>
          <w:sz w:val="23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this</w:t>
      </w:r>
      <w:r>
        <w:rPr>
          <w:spacing w:val="-12"/>
          <w:sz w:val="24"/>
        </w:rPr>
        <w:t> </w:t>
      </w:r>
      <w:r>
        <w:rPr>
          <w:sz w:val="24"/>
        </w:rPr>
        <w:t>study,</w:t>
      </w:r>
      <w:r>
        <w:rPr>
          <w:spacing w:val="-10"/>
          <w:sz w:val="24"/>
        </w:rPr>
        <w:t> </w:t>
      </w:r>
      <w:r>
        <w:rPr>
          <w:sz w:val="24"/>
        </w:rPr>
        <w:t>which</w:t>
      </w:r>
      <w:r>
        <w:rPr>
          <w:spacing w:val="-10"/>
          <w:sz w:val="24"/>
        </w:rPr>
        <w:t> </w:t>
      </w:r>
      <w:r>
        <w:rPr>
          <w:sz w:val="24"/>
        </w:rPr>
        <w:t>are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major</w:t>
      </w:r>
      <w:r>
        <w:rPr>
          <w:spacing w:val="-11"/>
          <w:sz w:val="24"/>
        </w:rPr>
        <w:t> </w:t>
      </w:r>
      <w:r>
        <w:rPr>
          <w:sz w:val="23"/>
        </w:rPr>
        <w:t>contributions</w:t>
      </w:r>
    </w:p>
    <w:p>
      <w:pPr>
        <w:pStyle w:val="BodyText"/>
        <w:spacing w:before="137"/>
        <w:ind w:left="120"/>
        <w:jc w:val="both"/>
      </w:pPr>
      <w:r>
        <w:rPr/>
        <w:t>to</w:t>
      </w:r>
      <w:r>
        <w:rPr>
          <w:spacing w:val="-1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literature: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360" w:lineRule="auto"/>
        <w:ind w:left="120" w:right="113"/>
        <w:jc w:val="both"/>
      </w:pPr>
      <w:r>
        <w:rPr/>
        <w:t>Firstly, Nigeria, the </w:t>
      </w:r>
      <w:r>
        <w:rPr>
          <w:sz w:val="23"/>
        </w:rPr>
        <w:t>largest </w:t>
      </w:r>
      <w:r>
        <w:rPr/>
        <w:t>economy and biggest oil exporter in Africa, experiences widening</w:t>
      </w:r>
      <w:r>
        <w:rPr>
          <w:spacing w:val="1"/>
        </w:rPr>
        <w:t> </w:t>
      </w:r>
      <w:r>
        <w:rPr/>
        <w:t>household-income gaps across all the six geo-political zones and states (FCT Abuja inclusive)</w:t>
      </w:r>
      <w:r>
        <w:rPr>
          <w:spacing w:val="1"/>
        </w:rPr>
        <w:t> </w:t>
      </w:r>
      <w:r>
        <w:rPr/>
        <w:t>between 2010 and 2019. And these income inequalities are detrimental to health outcomes and</w:t>
      </w:r>
      <w:r>
        <w:rPr>
          <w:spacing w:val="1"/>
        </w:rPr>
        <w:t> </w:t>
      </w:r>
      <w:r>
        <w:rPr/>
        <w:t>constrain appropriate medical-care seeking in Nigeria. This suggest that all health and welfare</w:t>
      </w:r>
      <w:r>
        <w:rPr>
          <w:spacing w:val="1"/>
        </w:rPr>
        <w:t> </w:t>
      </w:r>
      <w:r>
        <w:rPr/>
        <w:t>policies to achieve good health for all citizens (SDG 3) may not be achieved, without targeting</w:t>
      </w:r>
      <w:r>
        <w:rPr>
          <w:spacing w:val="1"/>
        </w:rPr>
        <w:t> </w:t>
      </w:r>
      <w:r>
        <w:rPr/>
        <w:t>effort in reducing income disparity (achieving SDG 10), before the year 2030 (which is a decade</w:t>
      </w:r>
      <w:r>
        <w:rPr>
          <w:spacing w:val="1"/>
        </w:rPr>
        <w:t> </w:t>
      </w:r>
      <w:r>
        <w:rPr/>
        <w:t>ahead).</w:t>
      </w:r>
      <w:r>
        <w:rPr>
          <w:spacing w:val="-5"/>
        </w:rPr>
        <w:t> </w:t>
      </w:r>
      <w:r>
        <w:rPr/>
        <w:t>Secondly,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mechanisms</w:t>
      </w:r>
      <w:r>
        <w:rPr>
          <w:spacing w:val="-4"/>
        </w:rPr>
        <w:t> </w:t>
      </w:r>
      <w:r>
        <w:rPr/>
        <w:t>through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income</w:t>
      </w:r>
      <w:r>
        <w:rPr>
          <w:spacing w:val="-5"/>
        </w:rPr>
        <w:t> </w:t>
      </w:r>
      <w:r>
        <w:rPr/>
        <w:t>inequality</w:t>
      </w:r>
      <w:r>
        <w:rPr>
          <w:spacing w:val="-9"/>
        </w:rPr>
        <w:t> </w:t>
      </w:r>
      <w:r>
        <w:rPr/>
        <w:t>affects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is</w:t>
      </w:r>
      <w:r>
        <w:rPr>
          <w:spacing w:val="-58"/>
        </w:rPr>
        <w:t> </w:t>
      </w:r>
      <w:r>
        <w:rPr/>
        <w:t>through household characteristics, as it reduces the quantity and quality of healthy goods and</w:t>
      </w:r>
      <w:r>
        <w:rPr>
          <w:spacing w:val="1"/>
        </w:rPr>
        <w:t> </w:t>
      </w:r>
      <w:r>
        <w:rPr/>
        <w:t>services that people buy, consume or have access to. In another words, rising income inequality</w:t>
      </w:r>
      <w:r>
        <w:rPr>
          <w:spacing w:val="1"/>
        </w:rPr>
        <w:t> </w:t>
      </w:r>
      <w:r>
        <w:rPr>
          <w:spacing w:val="-1"/>
        </w:rPr>
        <w:t>often</w:t>
      </w:r>
      <w:r>
        <w:rPr>
          <w:spacing w:val="-10"/>
        </w:rPr>
        <w:t> </w:t>
      </w:r>
      <w:r>
        <w:rPr/>
        <w:t>causes</w:t>
      </w:r>
      <w:r>
        <w:rPr>
          <w:spacing w:val="-10"/>
        </w:rPr>
        <w:t> </w:t>
      </w:r>
      <w:r>
        <w:rPr/>
        <w:t>priorities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change</w:t>
      </w:r>
      <w:r>
        <w:rPr>
          <w:spacing w:val="-9"/>
        </w:rPr>
        <w:t> </w:t>
      </w:r>
      <w:r>
        <w:rPr/>
        <w:t>among</w:t>
      </w:r>
      <w:r>
        <w:rPr>
          <w:spacing w:val="-12"/>
        </w:rPr>
        <w:t> </w:t>
      </w:r>
      <w:r>
        <w:rPr/>
        <w:t>households.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thirdly,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was</w:t>
      </w:r>
      <w:r>
        <w:rPr>
          <w:spacing w:val="-7"/>
        </w:rPr>
        <w:t> </w:t>
      </w:r>
      <w:r>
        <w:rPr/>
        <w:t>evidenced</w:t>
      </w:r>
      <w:r>
        <w:rPr>
          <w:spacing w:val="-8"/>
        </w:rPr>
        <w:t> </w:t>
      </w:r>
      <w:r>
        <w:rPr/>
        <w:t>statistically</w:t>
      </w:r>
      <w:r>
        <w:rPr>
          <w:spacing w:val="-15"/>
        </w:rPr>
        <w:t> </w:t>
      </w:r>
      <w:r>
        <w:rPr/>
        <w:t>that</w:t>
      </w:r>
      <w:r>
        <w:rPr>
          <w:spacing w:val="-57"/>
        </w:rPr>
        <w:t> </w:t>
      </w:r>
      <w:r>
        <w:rPr/>
        <w:t>larger</w:t>
      </w:r>
      <w:r>
        <w:rPr>
          <w:spacing w:val="-2"/>
        </w:rPr>
        <w:t> </w:t>
      </w:r>
      <w:r>
        <w:rPr/>
        <w:t>household</w:t>
      </w:r>
      <w:r>
        <w:rPr>
          <w:spacing w:val="-1"/>
        </w:rPr>
        <w:t> </w:t>
      </w:r>
      <w:r>
        <w:rPr/>
        <w:t>size,</w:t>
      </w:r>
      <w:r>
        <w:rPr>
          <w:spacing w:val="-1"/>
        </w:rPr>
        <w:t> </w:t>
      </w:r>
      <w:r>
        <w:rPr>
          <w:sz w:val="23"/>
        </w:rPr>
        <w:t>malnutrition</w:t>
      </w:r>
      <w:r>
        <w:rPr/>
        <w:t>,</w:t>
      </w:r>
      <w:r>
        <w:rPr>
          <w:spacing w:val="-4"/>
        </w:rPr>
        <w:t> </w:t>
      </w:r>
      <w:r>
        <w:rPr/>
        <w:t>illiteracy</w:t>
      </w:r>
      <w:r>
        <w:rPr>
          <w:spacing w:val="-9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households,</w:t>
      </w:r>
      <w:r>
        <w:rPr>
          <w:spacing w:val="1"/>
        </w:rPr>
        <w:t> </w:t>
      </w:r>
      <w:r>
        <w:rPr/>
        <w:t>lack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58"/>
        </w:rPr>
        <w:t> </w:t>
      </w:r>
      <w:r>
        <w:rPr/>
        <w:t>treated</w:t>
      </w:r>
      <w:r>
        <w:rPr>
          <w:spacing w:val="-5"/>
        </w:rPr>
        <w:t> </w:t>
      </w:r>
      <w:r>
        <w:rPr/>
        <w:t>mosquito</w:t>
      </w:r>
      <w:r>
        <w:rPr>
          <w:spacing w:val="-6"/>
        </w:rPr>
        <w:t> </w:t>
      </w:r>
      <w:r>
        <w:rPr/>
        <w:t>net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drinkable</w:t>
      </w:r>
      <w:r>
        <w:rPr>
          <w:spacing w:val="-7"/>
        </w:rPr>
        <w:t> </w:t>
      </w:r>
      <w:r>
        <w:rPr/>
        <w:t>water,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self-medication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factors</w:t>
      </w:r>
      <w:r>
        <w:rPr>
          <w:spacing w:val="-6"/>
        </w:rPr>
        <w:t> </w:t>
      </w:r>
      <w:r>
        <w:rPr/>
        <w:t>informing</w:t>
      </w:r>
      <w:r>
        <w:rPr>
          <w:spacing w:val="-6"/>
        </w:rPr>
        <w:t> </w:t>
      </w:r>
      <w:r>
        <w:rPr/>
        <w:t>our</w:t>
      </w:r>
      <w:r>
        <w:rPr>
          <w:spacing w:val="-58"/>
        </w:rPr>
        <w:t> </w:t>
      </w:r>
      <w:r>
        <w:rPr/>
        <w:t>understanding of why Nigeria with rising income inequality experiences poor health outcomes</w:t>
      </w:r>
      <w:r>
        <w:rPr>
          <w:spacing w:val="1"/>
        </w:rPr>
        <w:t> </w:t>
      </w:r>
      <w:r>
        <w:rPr/>
        <w:t>(illness)</w:t>
      </w:r>
      <w:r>
        <w:rPr>
          <w:spacing w:val="-1"/>
        </w:rPr>
        <w:t> </w:t>
      </w:r>
      <w:r>
        <w:rPr/>
        <w:t>and weak health-seeking</w:t>
      </w:r>
      <w:r>
        <w:rPr>
          <w:spacing w:val="-3"/>
        </w:rPr>
        <w:t> </w:t>
      </w:r>
      <w:r>
        <w:rPr/>
        <w:t>behavior.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pStyle w:val="Heading4"/>
        <w:numPr>
          <w:ilvl w:val="1"/>
          <w:numId w:val="16"/>
        </w:numPr>
        <w:tabs>
          <w:tab w:pos="840" w:val="left" w:leader="none"/>
          <w:tab w:pos="841" w:val="left" w:leader="none"/>
        </w:tabs>
        <w:spacing w:line="240" w:lineRule="auto" w:before="77" w:after="0"/>
        <w:ind w:left="840" w:right="0" w:hanging="721"/>
        <w:jc w:val="left"/>
      </w:pPr>
      <w:bookmarkStart w:name="_TOC_250002" w:id="75"/>
      <w:bookmarkEnd w:id="75"/>
      <w:r>
        <w:rPr/>
        <w:t>Recommendations</w:t>
      </w:r>
    </w:p>
    <w:p>
      <w:pPr>
        <w:pStyle w:val="ListParagraph"/>
        <w:numPr>
          <w:ilvl w:val="2"/>
          <w:numId w:val="16"/>
        </w:numPr>
        <w:tabs>
          <w:tab w:pos="840" w:val="left" w:leader="none"/>
          <w:tab w:pos="841" w:val="left" w:leader="none"/>
        </w:tabs>
        <w:spacing w:line="240" w:lineRule="auto" w:before="57" w:after="0"/>
        <w:ind w:left="840" w:right="0" w:hanging="721"/>
        <w:jc w:val="left"/>
        <w:rPr>
          <w:i/>
          <w:sz w:val="24"/>
        </w:rPr>
      </w:pPr>
      <w:r>
        <w:rPr>
          <w:i/>
          <w:sz w:val="24"/>
        </w:rPr>
        <w:t>Policy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Recommendations</w:t>
      </w:r>
    </w:p>
    <w:p>
      <w:pPr>
        <w:pStyle w:val="BodyText"/>
        <w:spacing w:line="360" w:lineRule="auto" w:before="24"/>
        <w:ind w:left="120" w:right="102"/>
      </w:pPr>
      <w:r>
        <w:rPr/>
        <w:t>Several findings of this thesis have important policy implications and intervention. Therefore, the</w:t>
      </w:r>
      <w:r>
        <w:rPr>
          <w:spacing w:val="-57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emanating</w:t>
      </w:r>
      <w:r>
        <w:rPr>
          <w:spacing w:val="-3"/>
        </w:rPr>
        <w:t> </w:t>
      </w:r>
      <w:r>
        <w:rPr/>
        <w:t>from this research work</w:t>
      </w:r>
      <w:r>
        <w:rPr>
          <w:spacing w:val="-1"/>
        </w:rPr>
        <w:t> </w:t>
      </w:r>
      <w:r>
        <w:rPr/>
        <w:t>are as follows:</w:t>
      </w:r>
    </w:p>
    <w:p>
      <w:pPr>
        <w:pStyle w:val="ListParagraph"/>
        <w:numPr>
          <w:ilvl w:val="3"/>
          <w:numId w:val="16"/>
        </w:numPr>
        <w:tabs>
          <w:tab w:pos="901" w:val="left" w:leader="none"/>
        </w:tabs>
        <w:spacing w:line="360" w:lineRule="auto" w:before="1" w:after="0"/>
        <w:ind w:left="900" w:right="117" w:hanging="488"/>
        <w:jc w:val="both"/>
        <w:rPr>
          <w:sz w:val="24"/>
        </w:rPr>
      </w:pPr>
      <w:r>
        <w:rPr>
          <w:sz w:val="24"/>
        </w:rPr>
        <w:t>Efforts to reduce income differentials among households should be pursued by Federal</w:t>
      </w:r>
      <w:r>
        <w:rPr>
          <w:spacing w:val="1"/>
          <w:sz w:val="24"/>
        </w:rPr>
        <w:t> </w:t>
      </w:r>
      <w:r>
        <w:rPr>
          <w:sz w:val="24"/>
        </w:rPr>
        <w:t>and State Governments. For instance, broadening the spread of the ongoing conditional</w:t>
      </w:r>
      <w:r>
        <w:rPr>
          <w:spacing w:val="1"/>
          <w:sz w:val="24"/>
        </w:rPr>
        <w:t> </w:t>
      </w:r>
      <w:r>
        <w:rPr>
          <w:sz w:val="24"/>
        </w:rPr>
        <w:t>cash</w:t>
      </w:r>
      <w:r>
        <w:rPr>
          <w:spacing w:val="1"/>
          <w:sz w:val="24"/>
        </w:rPr>
        <w:t> </w:t>
      </w:r>
      <w:r>
        <w:rPr>
          <w:sz w:val="24"/>
        </w:rPr>
        <w:t>transfer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policies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raise</w:t>
      </w:r>
      <w:r>
        <w:rPr>
          <w:spacing w:val="1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entrepreneurship, farming/livestock, and pensions. Small- and medium-scale enterprises</w:t>
      </w:r>
      <w:r>
        <w:rPr>
          <w:spacing w:val="1"/>
          <w:sz w:val="24"/>
        </w:rPr>
        <w:t> </w:t>
      </w:r>
      <w:r>
        <w:rPr>
          <w:sz w:val="24"/>
        </w:rPr>
        <w:t>should also be given more attention. In addition, government can also pursue progressive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taxation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order</w:t>
      </w:r>
      <w:r>
        <w:rPr>
          <w:spacing w:val="-16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bridge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income</w:t>
      </w:r>
      <w:r>
        <w:rPr>
          <w:spacing w:val="-11"/>
          <w:sz w:val="24"/>
        </w:rPr>
        <w:t> </w:t>
      </w:r>
      <w:r>
        <w:rPr>
          <w:sz w:val="24"/>
        </w:rPr>
        <w:t>gap</w:t>
      </w:r>
      <w:r>
        <w:rPr>
          <w:spacing w:val="-15"/>
          <w:sz w:val="24"/>
        </w:rPr>
        <w:t> </w:t>
      </w:r>
      <w:r>
        <w:rPr>
          <w:sz w:val="24"/>
        </w:rPr>
        <w:t>between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rich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poor.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additional</w:t>
      </w:r>
      <w:r>
        <w:rPr>
          <w:spacing w:val="-15"/>
          <w:sz w:val="24"/>
        </w:rPr>
        <w:t> </w:t>
      </w:r>
      <w:r>
        <w:rPr>
          <w:sz w:val="24"/>
        </w:rPr>
        <w:t>saving</w:t>
      </w:r>
      <w:r>
        <w:rPr>
          <w:spacing w:val="-57"/>
          <w:sz w:val="24"/>
        </w:rPr>
        <w:t> </w:t>
      </w:r>
      <w:r>
        <w:rPr>
          <w:sz w:val="24"/>
        </w:rPr>
        <w:t>can be channeled towards social safety net programmes such as cash transfers and soft</w:t>
      </w:r>
      <w:r>
        <w:rPr>
          <w:spacing w:val="1"/>
          <w:sz w:val="24"/>
        </w:rPr>
        <w:t> </w:t>
      </w:r>
      <w:r>
        <w:rPr>
          <w:sz w:val="24"/>
        </w:rPr>
        <w:t>loans</w:t>
      </w:r>
      <w:r>
        <w:rPr>
          <w:spacing w:val="-1"/>
          <w:sz w:val="24"/>
        </w:rPr>
        <w:t> </w:t>
      </w:r>
      <w:r>
        <w:rPr>
          <w:sz w:val="24"/>
        </w:rPr>
        <w:t>for productive</w:t>
      </w:r>
      <w:r>
        <w:rPr>
          <w:spacing w:val="1"/>
          <w:sz w:val="24"/>
        </w:rPr>
        <w:t> </w:t>
      </w:r>
      <w:r>
        <w:rPr>
          <w:sz w:val="24"/>
        </w:rPr>
        <w:t>activities with flexible</w:t>
      </w:r>
      <w:r>
        <w:rPr>
          <w:spacing w:val="-1"/>
          <w:sz w:val="24"/>
        </w:rPr>
        <w:t> </w:t>
      </w:r>
      <w:r>
        <w:rPr>
          <w:sz w:val="24"/>
        </w:rPr>
        <w:t>repayment</w:t>
      </w:r>
      <w:r>
        <w:rPr>
          <w:spacing w:val="-1"/>
          <w:sz w:val="24"/>
        </w:rPr>
        <w:t> </w:t>
      </w:r>
      <w:r>
        <w:rPr>
          <w:sz w:val="24"/>
        </w:rPr>
        <w:t>plans.</w:t>
      </w:r>
    </w:p>
    <w:p>
      <w:pPr>
        <w:pStyle w:val="ListParagraph"/>
        <w:numPr>
          <w:ilvl w:val="3"/>
          <w:numId w:val="16"/>
        </w:numPr>
        <w:tabs>
          <w:tab w:pos="901" w:val="left" w:leader="none"/>
        </w:tabs>
        <w:spacing w:line="360" w:lineRule="auto" w:before="0" w:after="0"/>
        <w:ind w:left="900" w:right="116" w:hanging="555"/>
        <w:jc w:val="both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use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effective</w:t>
      </w:r>
      <w:r>
        <w:rPr>
          <w:spacing w:val="-9"/>
          <w:sz w:val="24"/>
        </w:rPr>
        <w:t> </w:t>
      </w:r>
      <w:r>
        <w:rPr>
          <w:sz w:val="24"/>
        </w:rPr>
        <w:t>health</w:t>
      </w:r>
      <w:r>
        <w:rPr>
          <w:spacing w:val="-8"/>
          <w:sz w:val="24"/>
        </w:rPr>
        <w:t> </w:t>
      </w:r>
      <w:r>
        <w:rPr>
          <w:sz w:val="24"/>
        </w:rPr>
        <w:t>insurance</w:t>
      </w:r>
      <w:r>
        <w:rPr>
          <w:spacing w:val="-9"/>
          <w:sz w:val="24"/>
        </w:rPr>
        <w:t> </w:t>
      </w:r>
      <w:r>
        <w:rPr>
          <w:sz w:val="24"/>
        </w:rPr>
        <w:t>policy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programs,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can</w:t>
      </w:r>
      <w:r>
        <w:rPr>
          <w:spacing w:val="-8"/>
          <w:sz w:val="24"/>
        </w:rPr>
        <w:t> </w:t>
      </w:r>
      <w:r>
        <w:rPr>
          <w:sz w:val="24"/>
        </w:rPr>
        <w:t>meet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needs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low-</w:t>
      </w:r>
      <w:r>
        <w:rPr>
          <w:spacing w:val="-57"/>
          <w:sz w:val="24"/>
        </w:rPr>
        <w:t> </w:t>
      </w:r>
      <w:r>
        <w:rPr>
          <w:sz w:val="24"/>
        </w:rPr>
        <w:t>income</w:t>
      </w:r>
      <w:r>
        <w:rPr>
          <w:spacing w:val="-8"/>
          <w:sz w:val="24"/>
        </w:rPr>
        <w:t> </w:t>
      </w:r>
      <w:r>
        <w:rPr>
          <w:sz w:val="24"/>
        </w:rPr>
        <w:t>households</w:t>
      </w:r>
      <w:r>
        <w:rPr>
          <w:spacing w:val="-6"/>
          <w:sz w:val="24"/>
        </w:rPr>
        <w:t> </w:t>
      </w:r>
      <w:r>
        <w:rPr>
          <w:sz w:val="24"/>
        </w:rPr>
        <w:t>(especially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self-employed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informal</w:t>
      </w:r>
      <w:r>
        <w:rPr>
          <w:spacing w:val="-6"/>
          <w:sz w:val="24"/>
        </w:rPr>
        <w:t> </w:t>
      </w:r>
      <w:r>
        <w:rPr>
          <w:sz w:val="24"/>
        </w:rPr>
        <w:t>workers)</w:t>
      </w:r>
      <w:r>
        <w:rPr>
          <w:spacing w:val="-6"/>
          <w:sz w:val="24"/>
        </w:rPr>
        <w:t> </w:t>
      </w:r>
      <w:r>
        <w:rPr>
          <w:sz w:val="24"/>
        </w:rPr>
        <w:t>could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pursued</w:t>
      </w:r>
      <w:r>
        <w:rPr>
          <w:spacing w:val="-58"/>
          <w:sz w:val="24"/>
        </w:rPr>
        <w:t> </w:t>
      </w:r>
      <w:r>
        <w:rPr>
          <w:sz w:val="24"/>
        </w:rPr>
        <w:t>by both Federal and States’ Ministries of Health. This has improved health outcomes in</w:t>
      </w:r>
      <w:r>
        <w:rPr>
          <w:spacing w:val="1"/>
          <w:sz w:val="24"/>
        </w:rPr>
        <w:t> </w:t>
      </w:r>
      <w:r>
        <w:rPr>
          <w:sz w:val="24"/>
        </w:rPr>
        <w:t>Ghana and other economies significantly. It is also expected to promote universal health</w:t>
      </w:r>
      <w:r>
        <w:rPr>
          <w:spacing w:val="1"/>
          <w:sz w:val="24"/>
        </w:rPr>
        <w:t> </w:t>
      </w:r>
      <w:r>
        <w:rPr>
          <w:sz w:val="24"/>
        </w:rPr>
        <w:t>coverage</w:t>
      </w:r>
      <w:r>
        <w:rPr>
          <w:spacing w:val="-2"/>
          <w:sz w:val="24"/>
        </w:rPr>
        <w:t> </w:t>
      </w:r>
      <w:r>
        <w:rPr>
          <w:sz w:val="24"/>
        </w:rPr>
        <w:t>to achieve</w:t>
      </w:r>
      <w:r>
        <w:rPr>
          <w:spacing w:val="-1"/>
          <w:sz w:val="24"/>
        </w:rPr>
        <w:t> </w:t>
      </w:r>
      <w:r>
        <w:rPr>
          <w:sz w:val="24"/>
        </w:rPr>
        <w:t>SDG</w:t>
      </w:r>
      <w:r>
        <w:rPr>
          <w:spacing w:val="1"/>
          <w:sz w:val="24"/>
        </w:rPr>
        <w:t> </w:t>
      </w:r>
      <w:r>
        <w:rPr>
          <w:sz w:val="24"/>
        </w:rPr>
        <w:t>target 3.</w:t>
      </w:r>
    </w:p>
    <w:p>
      <w:pPr>
        <w:pStyle w:val="ListParagraph"/>
        <w:numPr>
          <w:ilvl w:val="3"/>
          <w:numId w:val="16"/>
        </w:numPr>
        <w:tabs>
          <w:tab w:pos="901" w:val="left" w:leader="none"/>
        </w:tabs>
        <w:spacing w:line="360" w:lineRule="auto" w:before="0" w:after="0"/>
        <w:ind w:left="900" w:right="117" w:hanging="620"/>
        <w:jc w:val="both"/>
        <w:rPr>
          <w:sz w:val="24"/>
        </w:rPr>
      </w:pPr>
      <w:r>
        <w:rPr>
          <w:sz w:val="24"/>
        </w:rPr>
        <w:t>The Federal and States’ Ministries of Agriculture, and Central Bank of Nigeria (CBN)</w:t>
      </w:r>
      <w:r>
        <w:rPr>
          <w:spacing w:val="1"/>
          <w:sz w:val="24"/>
        </w:rPr>
        <w:t> </w:t>
      </w:r>
      <w:r>
        <w:rPr>
          <w:sz w:val="24"/>
        </w:rPr>
        <w:t>policies</w:t>
      </w:r>
      <w:r>
        <w:rPr>
          <w:spacing w:val="-7"/>
          <w:sz w:val="24"/>
        </w:rPr>
        <w:t> </w:t>
      </w:r>
      <w:r>
        <w:rPr>
          <w:sz w:val="24"/>
        </w:rPr>
        <w:t>efforts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needed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terms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increasing</w:t>
      </w:r>
      <w:r>
        <w:rPr>
          <w:spacing w:val="-8"/>
          <w:sz w:val="24"/>
        </w:rPr>
        <w:t> </w:t>
      </w:r>
      <w:r>
        <w:rPr>
          <w:sz w:val="24"/>
        </w:rPr>
        <w:t>food</w:t>
      </w:r>
      <w:r>
        <w:rPr>
          <w:spacing w:val="-6"/>
          <w:sz w:val="24"/>
        </w:rPr>
        <w:t> </w:t>
      </w:r>
      <w:r>
        <w:rPr>
          <w:sz w:val="24"/>
        </w:rPr>
        <w:t>supply,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at</w:t>
      </w:r>
      <w:r>
        <w:rPr>
          <w:spacing w:val="-6"/>
          <w:sz w:val="24"/>
        </w:rPr>
        <w:t> </w:t>
      </w:r>
      <w:r>
        <w:rPr>
          <w:sz w:val="24"/>
        </w:rPr>
        <w:t>lower</w:t>
      </w:r>
      <w:r>
        <w:rPr>
          <w:spacing w:val="-7"/>
          <w:sz w:val="24"/>
        </w:rPr>
        <w:t> </w:t>
      </w:r>
      <w:r>
        <w:rPr>
          <w:sz w:val="24"/>
        </w:rPr>
        <w:t>prices.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will</w:t>
      </w:r>
      <w:r>
        <w:rPr>
          <w:spacing w:val="-58"/>
          <w:sz w:val="24"/>
        </w:rPr>
        <w:t> </w:t>
      </w:r>
      <w:r>
        <w:rPr>
          <w:sz w:val="24"/>
        </w:rPr>
        <w:t>play an important role in increasing access to nutritional intake, reduce hunger and mal-</w:t>
      </w:r>
      <w:r>
        <w:rPr>
          <w:spacing w:val="1"/>
          <w:sz w:val="24"/>
        </w:rPr>
        <w:t> </w:t>
      </w:r>
      <w:r>
        <w:rPr>
          <w:sz w:val="24"/>
        </w:rPr>
        <w:t>nutrition,</w:t>
      </w:r>
      <w:r>
        <w:rPr>
          <w:spacing w:val="-1"/>
          <w:sz w:val="24"/>
        </w:rPr>
        <w:t> </w:t>
      </w:r>
      <w:r>
        <w:rPr>
          <w:sz w:val="24"/>
        </w:rPr>
        <w:t>and improve</w:t>
      </w:r>
      <w:r>
        <w:rPr>
          <w:spacing w:val="-2"/>
          <w:sz w:val="24"/>
        </w:rPr>
        <w:t> </w:t>
      </w:r>
      <w:r>
        <w:rPr>
          <w:sz w:val="24"/>
        </w:rPr>
        <w:t>health outcomes in Nigeria.</w:t>
      </w:r>
    </w:p>
    <w:p>
      <w:pPr>
        <w:pStyle w:val="ListParagraph"/>
        <w:numPr>
          <w:ilvl w:val="3"/>
          <w:numId w:val="16"/>
        </w:numPr>
        <w:tabs>
          <w:tab w:pos="901" w:val="left" w:leader="none"/>
        </w:tabs>
        <w:spacing w:line="360" w:lineRule="auto" w:before="0" w:after="0"/>
        <w:ind w:left="900" w:right="118" w:hanging="608"/>
        <w:jc w:val="both"/>
        <w:rPr>
          <w:sz w:val="24"/>
        </w:rPr>
      </w:pPr>
      <w:r>
        <w:rPr>
          <w:sz w:val="24"/>
        </w:rPr>
        <w:t>Reducing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income</w:t>
      </w:r>
      <w:r>
        <w:rPr>
          <w:spacing w:val="-4"/>
          <w:sz w:val="24"/>
        </w:rPr>
        <w:t> </w:t>
      </w:r>
      <w:r>
        <w:rPr>
          <w:sz w:val="24"/>
        </w:rPr>
        <w:t>inequality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4"/>
          <w:sz w:val="24"/>
        </w:rPr>
        <w:t> </w:t>
      </w:r>
      <w:r>
        <w:rPr>
          <w:sz w:val="24"/>
        </w:rPr>
        <w:t>outcomes</w:t>
      </w:r>
      <w:r>
        <w:rPr>
          <w:spacing w:val="3"/>
          <w:sz w:val="24"/>
        </w:rPr>
        <w:t> </w:t>
      </w:r>
      <w:r>
        <w:rPr>
          <w:sz w:val="24"/>
        </w:rPr>
        <w:t>also</w:t>
      </w:r>
      <w:r>
        <w:rPr>
          <w:spacing w:val="-3"/>
          <w:sz w:val="24"/>
        </w:rPr>
        <w:t> </w:t>
      </w:r>
      <w:r>
        <w:rPr>
          <w:sz w:val="24"/>
        </w:rPr>
        <w:t>requires renewed</w:t>
      </w:r>
      <w:r>
        <w:rPr>
          <w:spacing w:val="-1"/>
          <w:sz w:val="24"/>
        </w:rPr>
        <w:t> </w:t>
      </w:r>
      <w:r>
        <w:rPr>
          <w:sz w:val="24"/>
        </w:rPr>
        <w:t>effort</w:t>
      </w:r>
      <w:r>
        <w:rPr>
          <w:spacing w:val="-58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its</w:t>
      </w:r>
      <w:r>
        <w:rPr>
          <w:spacing w:val="-10"/>
          <w:sz w:val="24"/>
        </w:rPr>
        <w:t> </w:t>
      </w:r>
      <w:r>
        <w:rPr>
          <w:sz w:val="24"/>
        </w:rPr>
        <w:t>mediators.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example,</w:t>
      </w:r>
      <w:r>
        <w:rPr>
          <w:spacing w:val="-8"/>
          <w:sz w:val="24"/>
        </w:rPr>
        <w:t> </w:t>
      </w:r>
      <w:r>
        <w:rPr>
          <w:sz w:val="24"/>
        </w:rPr>
        <w:t>providing</w:t>
      </w:r>
      <w:r>
        <w:rPr>
          <w:spacing w:val="-12"/>
          <w:sz w:val="24"/>
        </w:rPr>
        <w:t> </w:t>
      </w:r>
      <w:r>
        <w:rPr>
          <w:sz w:val="24"/>
        </w:rPr>
        <w:t>more</w:t>
      </w:r>
      <w:r>
        <w:rPr>
          <w:spacing w:val="-12"/>
          <w:sz w:val="24"/>
        </w:rPr>
        <w:t> </w:t>
      </w:r>
      <w:r>
        <w:rPr>
          <w:sz w:val="24"/>
        </w:rPr>
        <w:t>basic</w:t>
      </w:r>
      <w:r>
        <w:rPr>
          <w:spacing w:val="-11"/>
          <w:sz w:val="24"/>
        </w:rPr>
        <w:t> </w:t>
      </w:r>
      <w:r>
        <w:rPr>
          <w:sz w:val="24"/>
        </w:rPr>
        <w:t>health-promoting</w:t>
      </w:r>
      <w:r>
        <w:rPr>
          <w:spacing w:val="-10"/>
          <w:sz w:val="24"/>
        </w:rPr>
        <w:t> </w:t>
      </w:r>
      <w:r>
        <w:rPr>
          <w:sz w:val="24"/>
        </w:rPr>
        <w:t>goods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services.</w:t>
      </w:r>
      <w:r>
        <w:rPr>
          <w:spacing w:val="-57"/>
          <w:sz w:val="24"/>
        </w:rPr>
        <w:t> </w:t>
      </w:r>
      <w:r>
        <w:rPr>
          <w:sz w:val="24"/>
        </w:rPr>
        <w:t>This should range from treated mosquito-net, education to greater access to drinkable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and sanitation, and</w:t>
      </w:r>
      <w:r>
        <w:rPr>
          <w:spacing w:val="1"/>
          <w:sz w:val="24"/>
        </w:rPr>
        <w:t> </w:t>
      </w:r>
      <w:r>
        <w:rPr>
          <w:sz w:val="24"/>
        </w:rPr>
        <w:t>to basic infrastructure, such</w:t>
      </w:r>
      <w:r>
        <w:rPr>
          <w:spacing w:val="-1"/>
          <w:sz w:val="24"/>
        </w:rPr>
        <w:t> </w:t>
      </w:r>
      <w:r>
        <w:rPr>
          <w:sz w:val="24"/>
        </w:rPr>
        <w:t>as, electricity.</w:t>
      </w:r>
    </w:p>
    <w:p>
      <w:pPr>
        <w:pStyle w:val="ListParagraph"/>
        <w:numPr>
          <w:ilvl w:val="3"/>
          <w:numId w:val="16"/>
        </w:numPr>
        <w:tabs>
          <w:tab w:pos="901" w:val="left" w:leader="none"/>
        </w:tabs>
        <w:spacing w:line="360" w:lineRule="auto" w:before="1" w:after="0"/>
        <w:ind w:left="900" w:right="115" w:hanging="540"/>
        <w:jc w:val="both"/>
        <w:rPr>
          <w:sz w:val="24"/>
        </w:rPr>
      </w:pPr>
      <w:r>
        <w:rPr>
          <w:sz w:val="24"/>
        </w:rPr>
        <w:t>The thesis further established that unhealthy lifestyles mainly from drug-abuse and self-</w:t>
      </w:r>
      <w:r>
        <w:rPr>
          <w:spacing w:val="1"/>
          <w:sz w:val="24"/>
        </w:rPr>
        <w:t> </w:t>
      </w:r>
      <w:r>
        <w:rPr>
          <w:sz w:val="24"/>
        </w:rPr>
        <w:t>medication during illness lead to poor health outcomes in Nigeria. Thus, there is need to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scale-up</w:t>
      </w:r>
      <w:r>
        <w:rPr>
          <w:spacing w:val="-8"/>
          <w:sz w:val="24"/>
        </w:rPr>
        <w:t> </w:t>
      </w:r>
      <w:r>
        <w:rPr>
          <w:sz w:val="24"/>
        </w:rPr>
        <w:t>campaign</w:t>
      </w:r>
      <w:r>
        <w:rPr>
          <w:spacing w:val="-8"/>
          <w:sz w:val="24"/>
        </w:rPr>
        <w:t> </w:t>
      </w:r>
      <w:r>
        <w:rPr>
          <w:sz w:val="24"/>
        </w:rPr>
        <w:t>against</w:t>
      </w:r>
      <w:r>
        <w:rPr>
          <w:spacing w:val="-9"/>
          <w:sz w:val="24"/>
        </w:rPr>
        <w:t> </w:t>
      </w:r>
      <w:r>
        <w:rPr>
          <w:sz w:val="24"/>
        </w:rPr>
        <w:t>unhealthy</w:t>
      </w:r>
      <w:r>
        <w:rPr>
          <w:spacing w:val="-15"/>
          <w:sz w:val="24"/>
        </w:rPr>
        <w:t> </w:t>
      </w:r>
      <w:r>
        <w:rPr>
          <w:sz w:val="24"/>
        </w:rPr>
        <w:t>lifestyles</w:t>
      </w:r>
      <w:r>
        <w:rPr>
          <w:spacing w:val="-8"/>
          <w:sz w:val="24"/>
        </w:rPr>
        <w:t> </w:t>
      </w:r>
      <w:r>
        <w:rPr>
          <w:sz w:val="24"/>
        </w:rPr>
        <w:t>among</w:t>
      </w:r>
      <w:r>
        <w:rPr>
          <w:spacing w:val="-10"/>
          <w:sz w:val="24"/>
        </w:rPr>
        <w:t> </w:t>
      </w:r>
      <w:r>
        <w:rPr>
          <w:sz w:val="24"/>
        </w:rPr>
        <w:t>citizens</w:t>
      </w:r>
      <w:r>
        <w:rPr>
          <w:spacing w:val="-10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National</w:t>
      </w:r>
      <w:r>
        <w:rPr>
          <w:spacing w:val="-10"/>
          <w:sz w:val="24"/>
        </w:rPr>
        <w:t> </w:t>
      </w:r>
      <w:r>
        <w:rPr>
          <w:sz w:val="24"/>
        </w:rPr>
        <w:t>Orientation</w:t>
      </w:r>
      <w:r>
        <w:rPr>
          <w:spacing w:val="-57"/>
          <w:sz w:val="24"/>
        </w:rPr>
        <w:t> </w:t>
      </w:r>
      <w:r>
        <w:rPr>
          <w:sz w:val="24"/>
        </w:rPr>
        <w:t>Agency</w:t>
      </w:r>
      <w:r>
        <w:rPr>
          <w:spacing w:val="1"/>
          <w:sz w:val="24"/>
        </w:rPr>
        <w:t> </w:t>
      </w:r>
      <w:r>
        <w:rPr>
          <w:sz w:val="24"/>
        </w:rPr>
        <w:t>(NOA),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languages.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paramount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promote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health-seeking</w:t>
      </w:r>
      <w:r>
        <w:rPr>
          <w:spacing w:val="-3"/>
          <w:sz w:val="24"/>
        </w:rPr>
        <w:t> </w:t>
      </w:r>
      <w:r>
        <w:rPr>
          <w:sz w:val="24"/>
        </w:rPr>
        <w:t>behavior among</w:t>
      </w:r>
      <w:r>
        <w:rPr>
          <w:spacing w:val="-3"/>
          <w:sz w:val="24"/>
        </w:rPr>
        <w:t> </w:t>
      </w:r>
      <w:r>
        <w:rPr>
          <w:sz w:val="24"/>
        </w:rPr>
        <w:t>households in Nigeria.</w:t>
      </w:r>
    </w:p>
    <w:p>
      <w:pPr>
        <w:pStyle w:val="ListParagraph"/>
        <w:numPr>
          <w:ilvl w:val="3"/>
          <w:numId w:val="16"/>
        </w:numPr>
        <w:tabs>
          <w:tab w:pos="901" w:val="left" w:leader="none"/>
        </w:tabs>
        <w:spacing w:line="360" w:lineRule="auto" w:before="0" w:after="0"/>
        <w:ind w:left="900" w:right="120" w:hanging="608"/>
        <w:jc w:val="both"/>
        <w:rPr>
          <w:sz w:val="24"/>
        </w:rPr>
      </w:pPr>
      <w:r>
        <w:rPr>
          <w:sz w:val="24"/>
        </w:rPr>
        <w:t>It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recommended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strategies</w:t>
      </w:r>
      <w:r>
        <w:rPr>
          <w:spacing w:val="-7"/>
          <w:sz w:val="24"/>
        </w:rPr>
        <w:t> </w:t>
      </w:r>
      <w:r>
        <w:rPr>
          <w:sz w:val="24"/>
        </w:rPr>
        <w:t>towards</w:t>
      </w:r>
      <w:r>
        <w:rPr>
          <w:spacing w:val="-8"/>
          <w:sz w:val="24"/>
        </w:rPr>
        <w:t> </w:t>
      </w:r>
      <w:r>
        <w:rPr>
          <w:sz w:val="24"/>
        </w:rPr>
        <w:t>reducing</w:t>
      </w:r>
      <w:r>
        <w:rPr>
          <w:spacing w:val="-7"/>
          <w:sz w:val="24"/>
        </w:rPr>
        <w:t> </w:t>
      </w:r>
      <w:r>
        <w:rPr>
          <w:sz w:val="24"/>
        </w:rPr>
        <w:t>stress,</w:t>
      </w:r>
      <w:r>
        <w:rPr>
          <w:spacing w:val="-8"/>
          <w:sz w:val="24"/>
        </w:rPr>
        <w:t> </w:t>
      </w:r>
      <w:r>
        <w:rPr>
          <w:sz w:val="24"/>
        </w:rPr>
        <w:t>insecurity,</w:t>
      </w:r>
      <w:r>
        <w:rPr>
          <w:spacing w:val="-7"/>
          <w:sz w:val="24"/>
        </w:rPr>
        <w:t> </w:t>
      </w:r>
      <w:r>
        <w:rPr>
          <w:sz w:val="24"/>
        </w:rPr>
        <w:t>anxiety,</w:t>
      </w:r>
      <w:r>
        <w:rPr>
          <w:spacing w:val="-5"/>
          <w:sz w:val="24"/>
        </w:rPr>
        <w:t> </w:t>
      </w:r>
      <w:r>
        <w:rPr>
          <w:sz w:val="24"/>
        </w:rPr>
        <w:t>kidnapping,</w:t>
      </w:r>
      <w:r>
        <w:rPr>
          <w:spacing w:val="-58"/>
          <w:sz w:val="24"/>
        </w:rPr>
        <w:t> </w:t>
      </w:r>
      <w:r>
        <w:rPr>
          <w:sz w:val="24"/>
        </w:rPr>
        <w:t>frustration</w:t>
      </w:r>
      <w:r>
        <w:rPr>
          <w:spacing w:val="-1"/>
          <w:sz w:val="24"/>
        </w:rPr>
        <w:t> </w:t>
      </w:r>
      <w:r>
        <w:rPr>
          <w:sz w:val="24"/>
        </w:rPr>
        <w:t>and depression be</w:t>
      </w:r>
      <w:r>
        <w:rPr>
          <w:spacing w:val="-1"/>
          <w:sz w:val="24"/>
        </w:rPr>
        <w:t> </w:t>
      </w:r>
      <w:r>
        <w:rPr>
          <w:sz w:val="24"/>
        </w:rPr>
        <w:t>scaled-up by</w:t>
      </w:r>
      <w:r>
        <w:rPr>
          <w:spacing w:val="-5"/>
          <w:sz w:val="24"/>
        </w:rPr>
        <w:t> </w:t>
      </w:r>
      <w:r>
        <w:rPr>
          <w:sz w:val="24"/>
        </w:rPr>
        <w:t>all tiers of</w:t>
      </w:r>
      <w:r>
        <w:rPr>
          <w:spacing w:val="1"/>
          <w:sz w:val="24"/>
        </w:rPr>
        <w:t> </w:t>
      </w:r>
      <w:r>
        <w:rPr>
          <w:sz w:val="24"/>
        </w:rPr>
        <w:t>government.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ListParagraph"/>
        <w:numPr>
          <w:ilvl w:val="3"/>
          <w:numId w:val="16"/>
        </w:numPr>
        <w:tabs>
          <w:tab w:pos="901" w:val="left" w:leader="none"/>
        </w:tabs>
        <w:spacing w:line="360" w:lineRule="auto" w:before="74" w:after="0"/>
        <w:ind w:left="900" w:right="125" w:hanging="675"/>
        <w:jc w:val="both"/>
        <w:rPr>
          <w:sz w:val="24"/>
        </w:rPr>
      </w:pPr>
      <w:r>
        <w:rPr>
          <w:sz w:val="24"/>
        </w:rPr>
        <w:t>There is also a need for all tiers of government to provide adequate funding to address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facilities inefficiency,</w:t>
      </w:r>
      <w:r>
        <w:rPr>
          <w:spacing w:val="2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political and opportunity</w:t>
      </w:r>
      <w:r>
        <w:rPr>
          <w:spacing w:val="-6"/>
          <w:sz w:val="24"/>
        </w:rPr>
        <w:t> </w:t>
      </w:r>
      <w:r>
        <w:rPr>
          <w:sz w:val="24"/>
        </w:rPr>
        <w:t>captures.</w:t>
      </w:r>
    </w:p>
    <w:p>
      <w:pPr>
        <w:pStyle w:val="ListParagraph"/>
        <w:numPr>
          <w:ilvl w:val="3"/>
          <w:numId w:val="16"/>
        </w:numPr>
        <w:tabs>
          <w:tab w:pos="901" w:val="left" w:leader="none"/>
        </w:tabs>
        <w:spacing w:line="360" w:lineRule="auto" w:before="1" w:after="0"/>
        <w:ind w:left="900" w:right="115" w:hanging="740"/>
        <w:jc w:val="both"/>
        <w:rPr>
          <w:sz w:val="24"/>
        </w:rPr>
      </w:pPr>
      <w:r>
        <w:rPr>
          <w:sz w:val="24"/>
        </w:rPr>
        <w:t>Finally, the thesis recommends that as part of the NGHPS, the Nigerian government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14"/>
          <w:sz w:val="24"/>
        </w:rPr>
        <w:t> </w:t>
      </w:r>
      <w:r>
        <w:rPr>
          <w:sz w:val="24"/>
        </w:rPr>
        <w:t>relevant</w:t>
      </w:r>
      <w:r>
        <w:rPr>
          <w:spacing w:val="-12"/>
          <w:sz w:val="24"/>
        </w:rPr>
        <w:t> </w:t>
      </w:r>
      <w:r>
        <w:rPr>
          <w:sz w:val="24"/>
        </w:rPr>
        <w:t>agencies</w:t>
      </w:r>
      <w:r>
        <w:rPr>
          <w:spacing w:val="-12"/>
          <w:sz w:val="24"/>
        </w:rPr>
        <w:t> </w:t>
      </w:r>
      <w:r>
        <w:rPr>
          <w:sz w:val="24"/>
        </w:rPr>
        <w:t>such</w:t>
      </w:r>
      <w:r>
        <w:rPr>
          <w:spacing w:val="-14"/>
          <w:sz w:val="24"/>
        </w:rPr>
        <w:t> </w:t>
      </w:r>
      <w:r>
        <w:rPr>
          <w:sz w:val="24"/>
        </w:rPr>
        <w:t>as,</w:t>
      </w:r>
      <w:r>
        <w:rPr>
          <w:spacing w:val="-13"/>
          <w:sz w:val="24"/>
        </w:rPr>
        <w:t> </w:t>
      </w:r>
      <w:r>
        <w:rPr>
          <w:sz w:val="24"/>
        </w:rPr>
        <w:t>National</w:t>
      </w:r>
      <w:r>
        <w:rPr>
          <w:spacing w:val="-12"/>
          <w:sz w:val="24"/>
        </w:rPr>
        <w:t> </w:t>
      </w:r>
      <w:r>
        <w:rPr>
          <w:sz w:val="24"/>
        </w:rPr>
        <w:t>Bureau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Statistics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development</w:t>
      </w:r>
      <w:r>
        <w:rPr>
          <w:spacing w:val="-14"/>
          <w:sz w:val="24"/>
        </w:rPr>
        <w:t> </w:t>
      </w:r>
      <w:r>
        <w:rPr>
          <w:sz w:val="24"/>
        </w:rPr>
        <w:t>partners,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should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strengthen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NGHPS</w:t>
      </w:r>
      <w:r>
        <w:rPr>
          <w:spacing w:val="-13"/>
          <w:sz w:val="24"/>
        </w:rPr>
        <w:t> </w:t>
      </w:r>
      <w:r>
        <w:rPr>
          <w:sz w:val="24"/>
        </w:rPr>
        <w:t>data</w:t>
      </w:r>
      <w:r>
        <w:rPr>
          <w:spacing w:val="-15"/>
          <w:sz w:val="24"/>
        </w:rPr>
        <w:t> </w:t>
      </w:r>
      <w:r>
        <w:rPr>
          <w:sz w:val="24"/>
        </w:rPr>
        <w:t>gathering</w:t>
      </w:r>
      <w:r>
        <w:rPr>
          <w:spacing w:val="-18"/>
          <w:sz w:val="24"/>
        </w:rPr>
        <w:t> </w:t>
      </w:r>
      <w:r>
        <w:rPr>
          <w:sz w:val="24"/>
        </w:rPr>
        <w:t>process.</w:t>
      </w:r>
      <w:r>
        <w:rPr>
          <w:spacing w:val="-11"/>
          <w:sz w:val="24"/>
        </w:rPr>
        <w:t> </w:t>
      </w:r>
      <w:r>
        <w:rPr>
          <w:sz w:val="24"/>
        </w:rPr>
        <w:t>This</w:t>
      </w:r>
      <w:r>
        <w:rPr>
          <w:spacing w:val="-14"/>
          <w:sz w:val="24"/>
        </w:rPr>
        <w:t> </w:t>
      </w:r>
      <w:r>
        <w:rPr>
          <w:sz w:val="24"/>
        </w:rPr>
        <w:t>will</w:t>
      </w:r>
      <w:r>
        <w:rPr>
          <w:spacing w:val="-13"/>
          <w:sz w:val="24"/>
        </w:rPr>
        <w:t> </w:t>
      </w:r>
      <w:r>
        <w:rPr>
          <w:sz w:val="24"/>
        </w:rPr>
        <w:t>better</w:t>
      </w:r>
      <w:r>
        <w:rPr>
          <w:spacing w:val="-16"/>
          <w:sz w:val="24"/>
        </w:rPr>
        <w:t> </w:t>
      </w:r>
      <w:r>
        <w:rPr>
          <w:sz w:val="24"/>
        </w:rPr>
        <w:t>capture</w:t>
      </w:r>
      <w:r>
        <w:rPr>
          <w:spacing w:val="-16"/>
          <w:sz w:val="24"/>
        </w:rPr>
        <w:t> </w:t>
      </w:r>
      <w:r>
        <w:rPr>
          <w:sz w:val="24"/>
        </w:rPr>
        <w:t>important</w:t>
      </w:r>
      <w:r>
        <w:rPr>
          <w:spacing w:val="-13"/>
          <w:sz w:val="24"/>
        </w:rPr>
        <w:t> </w:t>
      </w:r>
      <w:r>
        <w:rPr>
          <w:sz w:val="24"/>
        </w:rPr>
        <w:t>health</w:t>
      </w:r>
      <w:r>
        <w:rPr>
          <w:spacing w:val="-58"/>
          <w:sz w:val="24"/>
        </w:rPr>
        <w:t> </w:t>
      </w:r>
      <w:r>
        <w:rPr>
          <w:sz w:val="24"/>
        </w:rPr>
        <w:t>indicators such as, severity of illness and self-rated health that provide an ordinal ranking</w:t>
      </w:r>
      <w:r>
        <w:rPr>
          <w:spacing w:val="-57"/>
          <w:sz w:val="24"/>
        </w:rPr>
        <w:t> </w:t>
      </w:r>
      <w:r>
        <w:rPr>
          <w:sz w:val="24"/>
        </w:rPr>
        <w:t>of perceived health status of respondents. This will aid future research on health and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life as more</w:t>
      </w:r>
      <w:r>
        <w:rPr>
          <w:spacing w:val="-1"/>
          <w:sz w:val="24"/>
        </w:rPr>
        <w:t> </w:t>
      </w:r>
      <w:r>
        <w:rPr>
          <w:sz w:val="24"/>
        </w:rPr>
        <w:t>heterogeneous data becomes available.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2"/>
          <w:numId w:val="16"/>
        </w:numPr>
        <w:tabs>
          <w:tab w:pos="841" w:val="left" w:leader="none"/>
        </w:tabs>
        <w:spacing w:line="240" w:lineRule="auto" w:before="1" w:after="0"/>
        <w:ind w:left="840" w:right="0" w:hanging="721"/>
        <w:jc w:val="both"/>
        <w:rPr>
          <w:i/>
          <w:sz w:val="24"/>
        </w:rPr>
      </w:pPr>
      <w:r>
        <w:rPr>
          <w:i/>
          <w:sz w:val="24"/>
        </w:rPr>
        <w:t>Recommendations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Further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</w:p>
    <w:p>
      <w:pPr>
        <w:pStyle w:val="BodyText"/>
        <w:spacing w:line="360" w:lineRule="auto" w:before="139"/>
        <w:ind w:left="120" w:right="116"/>
        <w:jc w:val="both"/>
      </w:pPr>
      <w:r>
        <w:rPr/>
        <w:t>Further studies obviously need to be much more broadly based, this will better aid health and</w:t>
      </w:r>
      <w:r>
        <w:rPr>
          <w:spacing w:val="1"/>
        </w:rPr>
        <w:t> </w:t>
      </w:r>
      <w:r>
        <w:rPr/>
        <w:t>welfare</w:t>
      </w:r>
      <w:r>
        <w:rPr>
          <w:spacing w:val="-3"/>
        </w:rPr>
        <w:t> </w:t>
      </w:r>
      <w:r>
        <w:rPr/>
        <w:t>policy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-2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frontiers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fully</w:t>
      </w:r>
      <w:r>
        <w:rPr>
          <w:spacing w:val="-7"/>
        </w:rPr>
        <w:t> </w:t>
      </w:r>
      <w:r>
        <w:rPr/>
        <w:t>explored.</w:t>
      </w:r>
      <w:r>
        <w:rPr>
          <w:spacing w:val="-58"/>
        </w:rPr>
        <w:t> </w:t>
      </w:r>
      <w:r>
        <w:rPr/>
        <w:t>For</w:t>
      </w:r>
      <w:r>
        <w:rPr>
          <w:spacing w:val="-1"/>
        </w:rPr>
        <w:t> </w:t>
      </w:r>
      <w:r>
        <w:rPr/>
        <w:t>instance:</w:t>
      </w:r>
    </w:p>
    <w:p>
      <w:pPr>
        <w:pStyle w:val="ListParagraph"/>
        <w:numPr>
          <w:ilvl w:val="3"/>
          <w:numId w:val="16"/>
        </w:numPr>
        <w:tabs>
          <w:tab w:pos="1201" w:val="left" w:leader="none"/>
        </w:tabs>
        <w:spacing w:line="360" w:lineRule="auto" w:before="0" w:after="0"/>
        <w:ind w:left="1200" w:right="121" w:hanging="72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 the</w:t>
      </w:r>
      <w:r>
        <w:rPr>
          <w:spacing w:val="1"/>
          <w:sz w:val="24"/>
        </w:rPr>
        <w:t> </w:t>
      </w:r>
      <w:r>
        <w:rPr>
          <w:sz w:val="24"/>
        </w:rPr>
        <w:t>socio-cultural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mediating 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inequality on</w:t>
      </w:r>
      <w:r>
        <w:rPr>
          <w:spacing w:val="1"/>
          <w:sz w:val="24"/>
        </w:rPr>
        <w:t> </w:t>
      </w:r>
      <w:r>
        <w:rPr>
          <w:sz w:val="24"/>
        </w:rPr>
        <w:t>severity</w:t>
      </w:r>
      <w:r>
        <w:rPr>
          <w:spacing w:val="-5"/>
          <w:sz w:val="24"/>
        </w:rPr>
        <w:t> </w:t>
      </w:r>
      <w:r>
        <w:rPr>
          <w:sz w:val="24"/>
        </w:rPr>
        <w:t>of ill-health in Nigeria?;</w:t>
      </w:r>
    </w:p>
    <w:p>
      <w:pPr>
        <w:pStyle w:val="ListParagraph"/>
        <w:numPr>
          <w:ilvl w:val="3"/>
          <w:numId w:val="16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sz w:val="24"/>
        </w:rPr>
      </w:pPr>
      <w:r>
        <w:rPr>
          <w:spacing w:val="-1"/>
          <w:sz w:val="24"/>
        </w:rPr>
        <w:t>Income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Inequality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Health</w:t>
      </w:r>
      <w:r>
        <w:rPr>
          <w:spacing w:val="-10"/>
          <w:sz w:val="24"/>
        </w:rPr>
        <w:t> </w:t>
      </w:r>
      <w:r>
        <w:rPr>
          <w:sz w:val="24"/>
        </w:rPr>
        <w:t>links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Nigeria: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Mediation</w:t>
      </w:r>
      <w:r>
        <w:rPr>
          <w:spacing w:val="-10"/>
          <w:sz w:val="24"/>
        </w:rPr>
        <w:t> </w:t>
      </w:r>
      <w:r>
        <w:rPr>
          <w:sz w:val="24"/>
        </w:rPr>
        <w:t>Role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Climate</w:t>
      </w:r>
      <w:r>
        <w:rPr>
          <w:spacing w:val="-10"/>
          <w:sz w:val="24"/>
        </w:rPr>
        <w:t> </w:t>
      </w:r>
      <w:r>
        <w:rPr>
          <w:sz w:val="24"/>
        </w:rPr>
        <w:t>Change.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Heading1"/>
        <w:spacing w:before="75"/>
        <w:ind w:left="120" w:right="0"/>
        <w:jc w:val="left"/>
      </w:pPr>
      <w:bookmarkStart w:name="_TOC_250001" w:id="76"/>
      <w:bookmarkEnd w:id="76"/>
      <w:r>
        <w:rPr/>
        <w:t>REFERENCES</w:t>
      </w:r>
    </w:p>
    <w:p>
      <w:pPr>
        <w:pStyle w:val="BodyText"/>
        <w:spacing w:before="23"/>
        <w:ind w:left="840" w:right="115" w:hanging="720"/>
        <w:jc w:val="both"/>
      </w:pPr>
      <w:r>
        <w:rPr/>
        <w:t>Abokyi, E., Konadu, P., Sikayena, I., &amp; Oteng-Abayie, E.F. (2018). Consumption of Electricity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Ghana.</w:t>
      </w:r>
      <w:r>
        <w:rPr>
          <w:spacing w:val="2"/>
        </w:rPr>
        <w:t> </w:t>
      </w:r>
      <w:r>
        <w:rPr>
          <w:i/>
        </w:rPr>
        <w:t>Journal of Energy</w:t>
      </w:r>
      <w:r>
        <w:rPr/>
        <w:t>,</w:t>
      </w:r>
      <w:r>
        <w:rPr>
          <w:spacing w:val="-1"/>
        </w:rPr>
        <w:t> </w:t>
      </w:r>
      <w:r>
        <w:rPr/>
        <w:t>2018, 1-11</w:t>
      </w:r>
      <w:r>
        <w:rPr>
          <w:spacing w:val="-1"/>
        </w:rPr>
        <w:t> </w:t>
      </w:r>
      <w:hyperlink r:id="rId169">
        <w:r>
          <w:rPr>
            <w:color w:val="0462C1"/>
            <w:u w:val="single" w:color="0462C1"/>
          </w:rPr>
          <w:t>http://doi.10.1155/2018/8924835</w:t>
        </w:r>
      </w:hyperlink>
    </w:p>
    <w:p>
      <w:pPr>
        <w:spacing w:line="276" w:lineRule="auto" w:before="161"/>
        <w:ind w:left="840" w:right="117" w:hanging="720"/>
        <w:jc w:val="both"/>
        <w:rPr>
          <w:sz w:val="24"/>
        </w:rPr>
      </w:pPr>
      <w:r>
        <w:rPr>
          <w:sz w:val="24"/>
        </w:rPr>
        <w:t>Acemoglu, D., &amp; Robinson, J. (2012). </w:t>
      </w:r>
      <w:r>
        <w:rPr>
          <w:i/>
          <w:sz w:val="24"/>
        </w:rPr>
        <w:t>Why Nations Fail: The Origins of Power, Prosperity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Poverty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 York: Crown Business</w:t>
      </w:r>
    </w:p>
    <w:p>
      <w:pPr>
        <w:spacing w:before="160"/>
        <w:ind w:left="840" w:right="116" w:hanging="720"/>
        <w:jc w:val="both"/>
        <w:rPr>
          <w:sz w:val="24"/>
        </w:rPr>
      </w:pPr>
      <w:r>
        <w:rPr>
          <w:sz w:val="24"/>
        </w:rPr>
        <w:t>Adedini, S.A. (2013). </w:t>
      </w:r>
      <w:r>
        <w:rPr>
          <w:i/>
          <w:sz w:val="24"/>
        </w:rPr>
        <w:t>Contextual Determinants of Infant and Child Mortality in Nigeria,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PhD</w:t>
      </w:r>
      <w:r>
        <w:rPr>
          <w:spacing w:val="-1"/>
          <w:sz w:val="24"/>
        </w:rPr>
        <w:t> </w:t>
      </w:r>
      <w:r>
        <w:rPr>
          <w:sz w:val="24"/>
        </w:rPr>
        <w:t>Thesis, University</w:t>
      </w:r>
      <w:r>
        <w:rPr>
          <w:spacing w:val="-6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Witwatersrand, Johannesburg,</w:t>
      </w:r>
      <w:r>
        <w:rPr>
          <w:spacing w:val="-1"/>
          <w:sz w:val="24"/>
        </w:rPr>
        <w:t> </w:t>
      </w:r>
      <w:r>
        <w:rPr>
          <w:sz w:val="24"/>
        </w:rPr>
        <w:t>South Africa</w:t>
      </w:r>
    </w:p>
    <w:p>
      <w:pPr>
        <w:pStyle w:val="BodyText"/>
        <w:spacing w:before="158"/>
        <w:ind w:left="840" w:right="114" w:hanging="720"/>
        <w:jc w:val="both"/>
      </w:pPr>
      <w:r>
        <w:rPr/>
        <w:t>Adjaye-Gbewonjo, K., Kawachi, I., Subramarian, S., &amp; Avendano M. (2018). Income Inequality</w:t>
      </w:r>
      <w:r>
        <w:rPr>
          <w:spacing w:val="1"/>
        </w:rPr>
        <w:t> </w:t>
      </w:r>
      <w:r>
        <w:rPr/>
        <w:t>and Cardiovascular disease risk factors in a highly unequal country: A Fixed-Effects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South</w:t>
      </w:r>
      <w:r>
        <w:rPr>
          <w:spacing w:val="-1"/>
        </w:rPr>
        <w:t> </w:t>
      </w:r>
      <w:r>
        <w:rPr/>
        <w:t>Africa.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-1"/>
        </w:rPr>
        <w:t> </w:t>
      </w:r>
      <w:r>
        <w:rPr>
          <w:i/>
        </w:rPr>
        <w:t>Equity in</w:t>
      </w:r>
      <w:r>
        <w:rPr>
          <w:i/>
          <w:spacing w:val="-1"/>
        </w:rPr>
        <w:t> </w:t>
      </w:r>
      <w:r>
        <w:rPr>
          <w:i/>
        </w:rPr>
        <w:t>Health</w:t>
      </w:r>
      <w:r>
        <w:rPr/>
        <w:t>,</w:t>
      </w:r>
      <w:r>
        <w:rPr>
          <w:spacing w:val="-1"/>
        </w:rPr>
        <w:t> </w:t>
      </w:r>
      <w:r>
        <w:rPr>
          <w:i/>
        </w:rPr>
        <w:t>17</w:t>
      </w:r>
      <w:r>
        <w:rPr/>
        <w:t>(31),</w:t>
      </w:r>
      <w:r>
        <w:rPr>
          <w:spacing w:val="-1"/>
        </w:rPr>
        <w:t> </w:t>
      </w:r>
      <w:r>
        <w:rPr/>
        <w:t>1-13</w:t>
      </w:r>
    </w:p>
    <w:p>
      <w:pPr>
        <w:spacing w:before="161"/>
        <w:ind w:left="840" w:right="120" w:hanging="720"/>
        <w:jc w:val="both"/>
        <w:rPr>
          <w:sz w:val="24"/>
        </w:rPr>
      </w:pPr>
      <w:r>
        <w:rPr>
          <w:sz w:val="24"/>
        </w:rPr>
        <w:t>Adler, N.E., &amp; Steward, J. (2010). Health Disparities across the lifespan: Meaning, Methods, and</w:t>
      </w:r>
      <w:r>
        <w:rPr>
          <w:spacing w:val="-57"/>
          <w:sz w:val="24"/>
        </w:rPr>
        <w:t> </w:t>
      </w:r>
      <w:r>
        <w:rPr>
          <w:sz w:val="24"/>
        </w:rPr>
        <w:t>Mechanisms.</w:t>
      </w:r>
      <w:r>
        <w:rPr>
          <w:spacing w:val="-1"/>
          <w:sz w:val="24"/>
        </w:rPr>
        <w:t> </w:t>
      </w:r>
      <w:r>
        <w:rPr>
          <w:i/>
          <w:sz w:val="24"/>
        </w:rPr>
        <w:t>Annals of the New York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Sciences</w:t>
      </w:r>
      <w:r>
        <w:rPr>
          <w:sz w:val="24"/>
        </w:rPr>
        <w:t>, </w:t>
      </w:r>
      <w:r>
        <w:rPr>
          <w:i/>
          <w:sz w:val="24"/>
        </w:rPr>
        <w:t>1186</w:t>
      </w:r>
      <w:r>
        <w:rPr>
          <w:sz w:val="24"/>
        </w:rPr>
        <w:t>(1), 5-23</w:t>
      </w:r>
    </w:p>
    <w:p>
      <w:pPr>
        <w:spacing w:before="159"/>
        <w:ind w:left="840" w:right="117" w:hanging="720"/>
        <w:jc w:val="both"/>
        <w:rPr>
          <w:sz w:val="24"/>
        </w:rPr>
      </w:pPr>
      <w:r>
        <w:rPr>
          <w:sz w:val="24"/>
        </w:rPr>
        <w:t>African Development Bank (2019). </w:t>
      </w:r>
      <w:r>
        <w:rPr>
          <w:i/>
          <w:sz w:val="24"/>
        </w:rPr>
        <w:t>Briefing Notes for African for Development Bank Long-term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Africa,</w:t>
      </w:r>
      <w:r>
        <w:rPr>
          <w:i/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Bank,</w:t>
      </w:r>
      <w:r>
        <w:rPr>
          <w:spacing w:val="-1"/>
          <w:sz w:val="24"/>
        </w:rPr>
        <w:t> </w:t>
      </w:r>
      <w:r>
        <w:rPr>
          <w:sz w:val="24"/>
        </w:rPr>
        <w:t>Nairobi,</w:t>
      </w:r>
      <w:r>
        <w:rPr>
          <w:spacing w:val="-1"/>
          <w:sz w:val="24"/>
        </w:rPr>
        <w:t> </w:t>
      </w:r>
      <w:r>
        <w:rPr>
          <w:sz w:val="24"/>
        </w:rPr>
        <w:t>Kenya</w:t>
      </w:r>
    </w:p>
    <w:p>
      <w:pPr>
        <w:pStyle w:val="BodyText"/>
        <w:spacing w:before="161"/>
        <w:ind w:left="840" w:right="121" w:hanging="720"/>
        <w:jc w:val="both"/>
      </w:pPr>
      <w:r>
        <w:rPr/>
        <w:t>Afonso, H., LaFleur M., &amp; Alarcon, D. (2015). </w:t>
      </w:r>
      <w:r>
        <w:rPr>
          <w:i/>
        </w:rPr>
        <w:t>Concepts of Inequality. </w:t>
      </w:r>
      <w:r>
        <w:rPr/>
        <w:t>Development Policy and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Division Development</w:t>
      </w:r>
      <w:r>
        <w:rPr>
          <w:spacing w:val="2"/>
        </w:rPr>
        <w:t> </w:t>
      </w:r>
      <w:r>
        <w:rPr/>
        <w:t>Issues, No 1</w:t>
      </w:r>
    </w:p>
    <w:p>
      <w:pPr>
        <w:spacing w:before="161"/>
        <w:ind w:left="840" w:right="116" w:hanging="720"/>
        <w:jc w:val="both"/>
        <w:rPr>
          <w:sz w:val="24"/>
        </w:rPr>
      </w:pPr>
      <w:r>
        <w:rPr>
          <w:sz w:val="24"/>
        </w:rPr>
        <w:t>African Population and Health Research Center (2017). </w:t>
      </w:r>
      <w:r>
        <w:rPr>
          <w:i/>
          <w:sz w:val="24"/>
        </w:rPr>
        <w:t>Marital health in Nigeria: Facts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Figures.</w:t>
      </w:r>
      <w:r>
        <w:rPr>
          <w:i/>
          <w:spacing w:val="-2"/>
          <w:sz w:val="24"/>
        </w:rPr>
        <w:t> </w:t>
      </w:r>
      <w:r>
        <w:rPr>
          <w:sz w:val="24"/>
        </w:rPr>
        <w:t>African Population and</w:t>
      </w:r>
      <w:r>
        <w:rPr>
          <w:spacing w:val="-1"/>
          <w:sz w:val="24"/>
        </w:rPr>
        <w:t> </w:t>
      </w:r>
      <w:r>
        <w:rPr>
          <w:sz w:val="24"/>
        </w:rPr>
        <w:t>Health Research</w:t>
      </w:r>
      <w:r>
        <w:rPr>
          <w:spacing w:val="2"/>
          <w:sz w:val="24"/>
        </w:rPr>
        <w:t> </w:t>
      </w:r>
      <w:r>
        <w:rPr>
          <w:sz w:val="24"/>
        </w:rPr>
        <w:t>Center</w:t>
      </w:r>
      <w:r>
        <w:rPr>
          <w:spacing w:val="-2"/>
          <w:sz w:val="24"/>
        </w:rPr>
        <w:t> </w:t>
      </w:r>
      <w:r>
        <w:rPr>
          <w:sz w:val="24"/>
        </w:rPr>
        <w:t>(APHR)</w:t>
      </w:r>
    </w:p>
    <w:p>
      <w:pPr>
        <w:spacing w:before="158"/>
        <w:ind w:left="840" w:right="118" w:hanging="720"/>
        <w:jc w:val="both"/>
        <w:rPr>
          <w:sz w:val="24"/>
        </w:rPr>
      </w:pPr>
      <w:r>
        <w:rPr>
          <w:sz w:val="24"/>
        </w:rPr>
        <w:t>Agha, S. (2000). Determinants of Infant Mortality in Pakistan.</w:t>
      </w:r>
      <w:r>
        <w:rPr>
          <w:spacing w:val="1"/>
          <w:sz w:val="24"/>
        </w:rPr>
        <w:t> </w:t>
      </w:r>
      <w:r>
        <w:rPr>
          <w:i/>
          <w:sz w:val="24"/>
        </w:rPr>
        <w:t>Journal of Social Science</w:t>
      </w:r>
      <w:r>
        <w:rPr>
          <w:sz w:val="24"/>
        </w:rPr>
        <w:t>, </w:t>
      </w:r>
      <w:r>
        <w:rPr>
          <w:i/>
          <w:sz w:val="24"/>
        </w:rPr>
        <w:t>51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199–208</w:t>
      </w:r>
    </w:p>
    <w:p>
      <w:pPr>
        <w:pStyle w:val="BodyText"/>
        <w:spacing w:before="161"/>
        <w:ind w:left="840" w:right="116" w:hanging="720"/>
        <w:jc w:val="both"/>
      </w:pPr>
      <w:r>
        <w:rPr/>
        <w:t>Aigbokhan,</w:t>
      </w:r>
      <w:r>
        <w:rPr>
          <w:spacing w:val="-3"/>
        </w:rPr>
        <w:t> </w:t>
      </w:r>
      <w:r>
        <w:rPr/>
        <w:t>B.E.</w:t>
      </w:r>
      <w:r>
        <w:rPr>
          <w:spacing w:val="-2"/>
        </w:rPr>
        <w:t> </w:t>
      </w:r>
      <w:r>
        <w:rPr/>
        <w:t>(2017).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5"/>
        </w:rPr>
        <w:t> </w:t>
      </w:r>
      <w:r>
        <w:rPr>
          <w:i/>
        </w:rPr>
        <w:t>Price</w:t>
      </w:r>
      <w:r>
        <w:rPr>
          <w:i/>
          <w:spacing w:val="-5"/>
        </w:rPr>
        <w:t> </w:t>
      </w:r>
      <w:r>
        <w:rPr>
          <w:i/>
        </w:rPr>
        <w:t>of</w:t>
      </w:r>
      <w:r>
        <w:rPr>
          <w:i/>
          <w:spacing w:val="-3"/>
        </w:rPr>
        <w:t> </w:t>
      </w:r>
      <w:r>
        <w:rPr>
          <w:i/>
        </w:rPr>
        <w:t>Inequality</w:t>
      </w:r>
      <w:r>
        <w:rPr>
          <w:i/>
          <w:spacing w:val="-4"/>
        </w:rPr>
        <w:t> </w:t>
      </w:r>
      <w:r>
        <w:rPr>
          <w:i/>
        </w:rPr>
        <w:t>in</w:t>
      </w:r>
      <w:r>
        <w:rPr>
          <w:i/>
          <w:spacing w:val="-4"/>
        </w:rPr>
        <w:t> </w:t>
      </w:r>
      <w:r>
        <w:rPr>
          <w:i/>
        </w:rPr>
        <w:t>Nigeria.</w:t>
      </w:r>
      <w:r>
        <w:rPr>
          <w:i/>
          <w:spacing w:val="-2"/>
        </w:rPr>
        <w:t> </w:t>
      </w:r>
      <w:r>
        <w:rPr/>
        <w:t>Presidential</w:t>
      </w:r>
      <w:r>
        <w:rPr>
          <w:spacing w:val="-3"/>
        </w:rPr>
        <w:t> </w:t>
      </w:r>
      <w:r>
        <w:rPr/>
        <w:t>Address</w:t>
      </w:r>
      <w:r>
        <w:rPr>
          <w:spacing w:val="-3"/>
        </w:rPr>
        <w:t> </w:t>
      </w:r>
      <w:r>
        <w:rPr/>
        <w:t>Delivered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58</w:t>
      </w:r>
      <w:r>
        <w:rPr>
          <w:vertAlign w:val="superscript"/>
        </w:rPr>
        <w:t>th</w:t>
      </w:r>
      <w:r>
        <w:rPr>
          <w:vertAlign w:val="baseline"/>
        </w:rPr>
        <w:t> Annual Conference of the Nigerian Economic Society held at Abuja, 26</w:t>
      </w:r>
      <w:r>
        <w:rPr>
          <w:vertAlign w:val="superscript"/>
        </w:rPr>
        <w:t>th</w:t>
      </w:r>
      <w:r>
        <w:rPr>
          <w:vertAlign w:val="baseline"/>
        </w:rPr>
        <w:t> to 28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September,</w:t>
      </w:r>
      <w:r>
        <w:rPr>
          <w:spacing w:val="-1"/>
          <w:vertAlign w:val="baseline"/>
        </w:rPr>
        <w:t> </w:t>
      </w:r>
      <w:r>
        <w:rPr>
          <w:vertAlign w:val="baseline"/>
        </w:rPr>
        <w:t>2017</w:t>
      </w:r>
    </w:p>
    <w:p>
      <w:pPr>
        <w:spacing w:before="161"/>
        <w:ind w:left="840" w:right="118" w:hanging="720"/>
        <w:jc w:val="both"/>
        <w:rPr>
          <w:sz w:val="24"/>
        </w:rPr>
      </w:pPr>
      <w:r>
        <w:rPr>
          <w:sz w:val="24"/>
        </w:rPr>
        <w:t>Alawode,</w:t>
      </w:r>
      <w:r>
        <w:rPr>
          <w:spacing w:val="1"/>
          <w:sz w:val="24"/>
        </w:rPr>
        <w:t> </w:t>
      </w:r>
      <w:r>
        <w:rPr>
          <w:sz w:val="24"/>
        </w:rPr>
        <w:t>O.O.,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Lawal,</w:t>
      </w:r>
      <w:r>
        <w:rPr>
          <w:spacing w:val="1"/>
          <w:sz w:val="24"/>
        </w:rPr>
        <w:t> </w:t>
      </w:r>
      <w:r>
        <w:rPr>
          <w:sz w:val="24"/>
        </w:rPr>
        <w:t>A.M.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Inequality and</w:t>
      </w:r>
      <w:r>
        <w:rPr>
          <w:spacing w:val="1"/>
          <w:sz w:val="24"/>
        </w:rPr>
        <w:t> </w:t>
      </w:r>
      <w:r>
        <w:rPr>
          <w:sz w:val="24"/>
        </w:rPr>
        <w:t>Self-Rated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Peak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 of Agricultural Science, 2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36-50</w:t>
      </w:r>
    </w:p>
    <w:p>
      <w:pPr>
        <w:pStyle w:val="BodyText"/>
        <w:spacing w:before="159"/>
        <w:ind w:left="840" w:right="113" w:hanging="720"/>
        <w:jc w:val="both"/>
      </w:pPr>
      <w:r>
        <w:rPr>
          <w:spacing w:val="-1"/>
        </w:rPr>
        <w:t>Anderson,</w:t>
      </w:r>
      <w:r>
        <w:rPr>
          <w:spacing w:val="-11"/>
        </w:rPr>
        <w:t> </w:t>
      </w:r>
      <w:r>
        <w:rPr>
          <w:spacing w:val="-1"/>
        </w:rPr>
        <w:t>M.V.,</w:t>
      </w:r>
      <w:r>
        <w:rPr>
          <w:spacing w:val="-10"/>
        </w:rPr>
        <w:t> </w:t>
      </w:r>
      <w:r>
        <w:rPr>
          <w:spacing w:val="-1"/>
        </w:rPr>
        <w:t>&amp;</w:t>
      </w:r>
      <w:r>
        <w:rPr>
          <w:spacing w:val="-12"/>
        </w:rPr>
        <w:t> </w:t>
      </w:r>
      <w:r>
        <w:rPr/>
        <w:t>Rutherford,</w:t>
      </w:r>
      <w:r>
        <w:rPr>
          <w:spacing w:val="-10"/>
        </w:rPr>
        <w:t> </w:t>
      </w:r>
      <w:r>
        <w:rPr/>
        <w:t>M.D.,</w:t>
      </w:r>
      <w:r>
        <w:rPr>
          <w:spacing w:val="-10"/>
        </w:rPr>
        <w:t> </w:t>
      </w:r>
      <w:r>
        <w:rPr/>
        <w:t>(2012).</w:t>
      </w:r>
      <w:r>
        <w:rPr>
          <w:spacing w:val="-11"/>
        </w:rPr>
        <w:t> </w:t>
      </w:r>
      <w:r>
        <w:rPr/>
        <w:t>Cognitive</w:t>
      </w:r>
      <w:r>
        <w:rPr>
          <w:spacing w:val="-11"/>
        </w:rPr>
        <w:t> </w:t>
      </w:r>
      <w:r>
        <w:rPr/>
        <w:t>Reorganization</w:t>
      </w:r>
      <w:r>
        <w:rPr>
          <w:spacing w:val="-10"/>
        </w:rPr>
        <w:t> </w:t>
      </w:r>
      <w:r>
        <w:rPr/>
        <w:t>during</w:t>
      </w:r>
      <w:r>
        <w:rPr>
          <w:spacing w:val="-13"/>
        </w:rPr>
        <w:t> </w:t>
      </w:r>
      <w:r>
        <w:rPr/>
        <w:t>Pregnancy</w:t>
      </w:r>
      <w:r>
        <w:rPr>
          <w:spacing w:val="-15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postpartum</w:t>
      </w:r>
      <w:r>
        <w:rPr>
          <w:spacing w:val="-2"/>
        </w:rPr>
        <w:t> </w:t>
      </w:r>
      <w:r>
        <w:rPr/>
        <w:t>period:</w:t>
      </w:r>
      <w:r>
        <w:rPr>
          <w:spacing w:val="57"/>
        </w:rPr>
        <w:t> </w:t>
      </w:r>
      <w:r>
        <w:rPr/>
        <w:t>An</w:t>
      </w:r>
      <w:r>
        <w:rPr>
          <w:spacing w:val="-1"/>
        </w:rPr>
        <w:t> </w:t>
      </w:r>
      <w:r>
        <w:rPr/>
        <w:t>Evolutionary</w:t>
      </w:r>
      <w:r>
        <w:rPr>
          <w:spacing w:val="-6"/>
        </w:rPr>
        <w:t> </w:t>
      </w:r>
      <w:r>
        <w:rPr/>
        <w:t>Perspective.</w:t>
      </w:r>
      <w:r>
        <w:rPr>
          <w:spacing w:val="59"/>
        </w:rPr>
        <w:t> </w:t>
      </w:r>
      <w:r>
        <w:rPr>
          <w:i/>
        </w:rPr>
        <w:t>Evolution</w:t>
      </w:r>
      <w:r>
        <w:rPr>
          <w:i/>
          <w:spacing w:val="-2"/>
        </w:rPr>
        <w:t> </w:t>
      </w:r>
      <w:r>
        <w:rPr>
          <w:i/>
        </w:rPr>
        <w:t>Psychology,</w:t>
      </w:r>
      <w:r>
        <w:rPr>
          <w:i/>
          <w:spacing w:val="-1"/>
        </w:rPr>
        <w:t> </w:t>
      </w:r>
      <w:r>
        <w:rPr>
          <w:i/>
        </w:rPr>
        <w:t>10</w:t>
      </w:r>
      <w:r>
        <w:rPr/>
        <w:t>(1),</w:t>
      </w:r>
      <w:r>
        <w:rPr>
          <w:spacing w:val="-1"/>
        </w:rPr>
        <w:t> </w:t>
      </w:r>
      <w:r>
        <w:rPr/>
        <w:t>659–687.</w:t>
      </w:r>
    </w:p>
    <w:p>
      <w:pPr>
        <w:spacing w:before="160"/>
        <w:ind w:left="840" w:right="115" w:hanging="720"/>
        <w:jc w:val="both"/>
        <w:rPr>
          <w:sz w:val="24"/>
        </w:rPr>
      </w:pPr>
      <w:r>
        <w:rPr>
          <w:sz w:val="24"/>
        </w:rPr>
        <w:t>Antillon,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(2017).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Burden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Typhoid</w:t>
      </w:r>
      <w:r>
        <w:rPr>
          <w:spacing w:val="-1"/>
          <w:sz w:val="24"/>
        </w:rPr>
        <w:t> </w:t>
      </w:r>
      <w:r>
        <w:rPr>
          <w:sz w:val="24"/>
        </w:rPr>
        <w:t>fever in</w:t>
      </w:r>
      <w:r>
        <w:rPr>
          <w:spacing w:val="-1"/>
          <w:sz w:val="24"/>
        </w:rPr>
        <w:t> </w:t>
      </w:r>
      <w:r>
        <w:rPr>
          <w:sz w:val="24"/>
        </w:rPr>
        <w:t>low-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middle-income</w:t>
      </w:r>
      <w:r>
        <w:rPr>
          <w:spacing w:val="-2"/>
          <w:sz w:val="24"/>
        </w:rPr>
        <w:t> </w:t>
      </w:r>
      <w:r>
        <w:rPr>
          <w:sz w:val="24"/>
        </w:rPr>
        <w:t>countries.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Meta-</w:t>
      </w:r>
      <w:r>
        <w:rPr>
          <w:spacing w:val="-58"/>
          <w:sz w:val="24"/>
        </w:rPr>
        <w:t> </w:t>
      </w: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Approach.</w:t>
      </w:r>
      <w:r>
        <w:rPr>
          <w:spacing w:val="1"/>
          <w:sz w:val="24"/>
        </w:rPr>
        <w:t> </w:t>
      </w:r>
      <w:r>
        <w:rPr>
          <w:i/>
          <w:sz w:val="24"/>
        </w:rPr>
        <w:t>PLoS Neglected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 Diseases</w:t>
      </w:r>
      <w:r>
        <w:rPr>
          <w:sz w:val="24"/>
        </w:rPr>
        <w:t>, </w:t>
      </w:r>
      <w:r>
        <w:rPr>
          <w:i/>
          <w:sz w:val="24"/>
        </w:rPr>
        <w:t>11</w:t>
      </w:r>
      <w:r>
        <w:rPr>
          <w:sz w:val="24"/>
        </w:rPr>
        <w:t>(2),</w:t>
      </w:r>
      <w:r>
        <w:rPr>
          <w:spacing w:val="-2"/>
          <w:sz w:val="24"/>
        </w:rPr>
        <w:t> </w:t>
      </w:r>
      <w:r>
        <w:rPr>
          <w:sz w:val="24"/>
        </w:rPr>
        <w:t>53-76</w:t>
      </w:r>
    </w:p>
    <w:p>
      <w:pPr>
        <w:spacing w:before="162"/>
        <w:ind w:left="840" w:right="116" w:hanging="720"/>
        <w:jc w:val="both"/>
        <w:rPr>
          <w:sz w:val="24"/>
        </w:rPr>
      </w:pPr>
      <w:r>
        <w:rPr>
          <w:sz w:val="24"/>
        </w:rPr>
        <w:t>Anyamele O.D., B.N. Akabegbu, &amp; Ukawuilulu, J.O. (2015). </w:t>
      </w:r>
      <w:r>
        <w:rPr>
          <w:i/>
          <w:sz w:val="24"/>
        </w:rPr>
        <w:t>Trends and Disparities in Infant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Child Mortality in Nigeria using Pooled 2003 and 2008 Demographic and 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Data. </w:t>
      </w:r>
      <w:r>
        <w:rPr>
          <w:color w:val="0462C1"/>
          <w:sz w:val="24"/>
          <w:u w:val="single" w:color="0462C1"/>
        </w:rPr>
        <w:t>http://doi:10.1177/21582440156111936</w:t>
      </w:r>
    </w:p>
    <w:p>
      <w:pPr>
        <w:pStyle w:val="BodyText"/>
        <w:spacing w:before="158"/>
        <w:ind w:left="120"/>
      </w:pPr>
      <w:r>
        <w:rPr/>
        <w:t>Anyanwu,</w:t>
      </w:r>
      <w:r>
        <w:rPr>
          <w:spacing w:val="26"/>
        </w:rPr>
        <w:t> </w:t>
      </w:r>
      <w:r>
        <w:rPr/>
        <w:t>J.</w:t>
      </w:r>
      <w:r>
        <w:rPr>
          <w:spacing w:val="28"/>
        </w:rPr>
        <w:t> </w:t>
      </w:r>
      <w:r>
        <w:rPr/>
        <w:t>&amp;</w:t>
      </w:r>
      <w:r>
        <w:rPr>
          <w:spacing w:val="28"/>
        </w:rPr>
        <w:t> </w:t>
      </w:r>
      <w:r>
        <w:rPr/>
        <w:t>Erhijakpor,</w:t>
      </w:r>
      <w:r>
        <w:rPr>
          <w:spacing w:val="26"/>
        </w:rPr>
        <w:t> </w:t>
      </w:r>
      <w:r>
        <w:rPr/>
        <w:t>A.E.</w:t>
      </w:r>
      <w:r>
        <w:rPr>
          <w:spacing w:val="29"/>
        </w:rPr>
        <w:t> </w:t>
      </w:r>
      <w:r>
        <w:rPr/>
        <w:t>(2007).</w:t>
      </w:r>
      <w:r>
        <w:rPr>
          <w:spacing w:val="29"/>
        </w:rPr>
        <w:t> </w:t>
      </w:r>
      <w:r>
        <w:rPr/>
        <w:t>Health</w:t>
      </w:r>
      <w:r>
        <w:rPr>
          <w:spacing w:val="29"/>
        </w:rPr>
        <w:t> </w:t>
      </w:r>
      <w:r>
        <w:rPr/>
        <w:t>Expenditures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Health</w:t>
      </w:r>
      <w:r>
        <w:rPr>
          <w:spacing w:val="26"/>
        </w:rPr>
        <w:t> </w:t>
      </w:r>
      <w:r>
        <w:rPr/>
        <w:t>Outcomes</w:t>
      </w:r>
      <w:r>
        <w:rPr>
          <w:spacing w:val="27"/>
        </w:rPr>
        <w:t> </w:t>
      </w:r>
      <w:r>
        <w:rPr/>
        <w:t>in</w:t>
      </w:r>
      <w:r>
        <w:rPr>
          <w:spacing w:val="30"/>
        </w:rPr>
        <w:t> </w:t>
      </w:r>
      <w:r>
        <w:rPr/>
        <w:t>Africa,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i/>
          <w:sz w:val="24"/>
        </w:rPr>
        <w:t>Africa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Bank Working Paper</w:t>
      </w:r>
      <w:r>
        <w:rPr>
          <w:i/>
          <w:spacing w:val="-1"/>
          <w:sz w:val="24"/>
        </w:rPr>
        <w:t> </w:t>
      </w:r>
      <w:r>
        <w:rPr>
          <w:sz w:val="24"/>
        </w:rPr>
        <w:t>Nairobi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91</w:t>
      </w:r>
    </w:p>
    <w:p>
      <w:pPr>
        <w:spacing w:before="161"/>
        <w:ind w:left="840" w:right="118" w:hanging="720"/>
        <w:jc w:val="both"/>
        <w:rPr>
          <w:sz w:val="24"/>
        </w:rPr>
      </w:pPr>
      <w:r>
        <w:rPr>
          <w:sz w:val="24"/>
        </w:rPr>
        <w:t>Anyanwu,</w:t>
      </w:r>
      <w:r>
        <w:rPr>
          <w:spacing w:val="-2"/>
          <w:sz w:val="24"/>
        </w:rPr>
        <w:t> </w:t>
      </w:r>
      <w:r>
        <w:rPr>
          <w:sz w:val="24"/>
        </w:rPr>
        <w:t>C.I.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-2"/>
          <w:sz w:val="24"/>
        </w:rPr>
        <w:t> </w:t>
      </w:r>
      <w:r>
        <w:rPr>
          <w:i/>
          <w:sz w:val="24"/>
        </w:rPr>
        <w:t>Marital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Status,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Household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Size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Poverty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Evidence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2009/2010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data.</w:t>
      </w:r>
      <w:r>
        <w:rPr>
          <w:i/>
          <w:spacing w:val="2"/>
          <w:sz w:val="24"/>
        </w:rPr>
        <w:t> </w:t>
      </w:r>
      <w:r>
        <w:rPr>
          <w:sz w:val="24"/>
        </w:rPr>
        <w:t>African</w:t>
      </w:r>
      <w:r>
        <w:rPr>
          <w:spacing w:val="2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Bank Working</w:t>
      </w:r>
      <w:r>
        <w:rPr>
          <w:spacing w:val="-3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No 180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1320" w:right="1320"/>
        </w:sectPr>
      </w:pPr>
    </w:p>
    <w:p>
      <w:pPr>
        <w:spacing w:before="72"/>
        <w:ind w:left="840" w:right="117" w:hanging="720"/>
        <w:jc w:val="left"/>
        <w:rPr>
          <w:sz w:val="24"/>
        </w:rPr>
      </w:pPr>
      <w:r>
        <w:rPr>
          <w:sz w:val="24"/>
        </w:rPr>
        <w:t>Arezki,</w:t>
      </w:r>
      <w:r>
        <w:rPr>
          <w:spacing w:val="3"/>
          <w:sz w:val="24"/>
        </w:rPr>
        <w:t> </w:t>
      </w:r>
      <w:r>
        <w:rPr>
          <w:sz w:val="24"/>
        </w:rPr>
        <w:t>R.</w:t>
      </w:r>
      <w:r>
        <w:rPr>
          <w:spacing w:val="4"/>
          <w:sz w:val="24"/>
        </w:rPr>
        <w:t> </w:t>
      </w:r>
      <w:r>
        <w:rPr>
          <w:sz w:val="24"/>
        </w:rPr>
        <w:t>&amp;</w:t>
      </w:r>
      <w:r>
        <w:rPr>
          <w:spacing w:val="2"/>
          <w:sz w:val="24"/>
        </w:rPr>
        <w:t> </w:t>
      </w:r>
      <w:r>
        <w:rPr>
          <w:sz w:val="24"/>
        </w:rPr>
        <w:t>Brucker</w:t>
      </w:r>
      <w:r>
        <w:rPr>
          <w:spacing w:val="2"/>
          <w:sz w:val="24"/>
        </w:rPr>
        <w:t> </w:t>
      </w:r>
      <w:r>
        <w:rPr>
          <w:sz w:val="24"/>
        </w:rPr>
        <w:t>M.</w:t>
      </w:r>
      <w:r>
        <w:rPr>
          <w:spacing w:val="5"/>
          <w:sz w:val="24"/>
        </w:rPr>
        <w:t> </w:t>
      </w:r>
      <w:r>
        <w:rPr>
          <w:sz w:val="24"/>
        </w:rPr>
        <w:t>(2011).</w:t>
      </w:r>
      <w:r>
        <w:rPr>
          <w:spacing w:val="3"/>
          <w:sz w:val="24"/>
        </w:rPr>
        <w:t> </w:t>
      </w:r>
      <w:r>
        <w:rPr>
          <w:i/>
          <w:sz w:val="24"/>
        </w:rPr>
        <w:t>Oil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Rents,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Corruption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Stability: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Evidence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Panel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Regression.</w:t>
      </w:r>
      <w:r>
        <w:rPr>
          <w:i/>
          <w:spacing w:val="3"/>
          <w:sz w:val="24"/>
        </w:rPr>
        <w:t> </w:t>
      </w:r>
      <w:r>
        <w:rPr>
          <w:sz w:val="24"/>
        </w:rPr>
        <w:t>IMF</w:t>
      </w:r>
      <w:r>
        <w:rPr>
          <w:spacing w:val="-2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Paper, No 09/267</w:t>
      </w:r>
    </w:p>
    <w:p>
      <w:pPr>
        <w:spacing w:before="161"/>
        <w:ind w:left="840" w:right="121" w:hanging="720"/>
        <w:jc w:val="left"/>
        <w:rPr>
          <w:sz w:val="24"/>
        </w:rPr>
      </w:pPr>
      <w:r>
        <w:rPr>
          <w:sz w:val="24"/>
        </w:rPr>
        <w:t>Arezki,</w:t>
      </w:r>
      <w:r>
        <w:rPr>
          <w:spacing w:val="22"/>
          <w:sz w:val="24"/>
        </w:rPr>
        <w:t> </w:t>
      </w:r>
      <w:r>
        <w:rPr>
          <w:sz w:val="24"/>
        </w:rPr>
        <w:t>R.</w:t>
      </w:r>
      <w:r>
        <w:rPr>
          <w:spacing w:val="23"/>
          <w:sz w:val="24"/>
        </w:rPr>
        <w:t> </w:t>
      </w:r>
      <w:r>
        <w:rPr>
          <w:sz w:val="24"/>
        </w:rPr>
        <w:t>&amp;</w:t>
      </w:r>
      <w:r>
        <w:rPr>
          <w:spacing w:val="21"/>
          <w:sz w:val="24"/>
        </w:rPr>
        <w:t> </w:t>
      </w:r>
      <w:r>
        <w:rPr>
          <w:sz w:val="24"/>
        </w:rPr>
        <w:t>Gylfason</w:t>
      </w:r>
      <w:r>
        <w:rPr>
          <w:spacing w:val="25"/>
          <w:sz w:val="24"/>
        </w:rPr>
        <w:t> </w:t>
      </w:r>
      <w:r>
        <w:rPr>
          <w:sz w:val="24"/>
        </w:rPr>
        <w:t>T.</w:t>
      </w:r>
      <w:r>
        <w:rPr>
          <w:spacing w:val="22"/>
          <w:sz w:val="24"/>
        </w:rPr>
        <w:t> </w:t>
      </w:r>
      <w:r>
        <w:rPr>
          <w:sz w:val="24"/>
        </w:rPr>
        <w:t>(2011).</w:t>
      </w:r>
      <w:r>
        <w:rPr>
          <w:spacing w:val="23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Rents,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Democracy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Corruption: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Evidence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sub-Saharan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Africa. </w:t>
      </w:r>
      <w:r>
        <w:rPr>
          <w:sz w:val="24"/>
        </w:rPr>
        <w:t>CESifo Working</w:t>
      </w:r>
      <w:r>
        <w:rPr>
          <w:spacing w:val="-3"/>
          <w:sz w:val="24"/>
        </w:rPr>
        <w:t> </w:t>
      </w:r>
      <w:r>
        <w:rPr>
          <w:sz w:val="24"/>
        </w:rPr>
        <w:t>Paper Series,</w:t>
      </w:r>
      <w:r>
        <w:rPr>
          <w:spacing w:val="-1"/>
          <w:sz w:val="24"/>
        </w:rPr>
        <w:t> </w:t>
      </w:r>
      <w:r>
        <w:rPr>
          <w:sz w:val="24"/>
        </w:rPr>
        <w:t>3575, CESifo Group</w:t>
      </w:r>
      <w:r>
        <w:rPr>
          <w:spacing w:val="-1"/>
          <w:sz w:val="24"/>
        </w:rPr>
        <w:t> </w:t>
      </w:r>
      <w:r>
        <w:rPr>
          <w:sz w:val="24"/>
        </w:rPr>
        <w:t>Munich</w:t>
      </w:r>
    </w:p>
    <w:p>
      <w:pPr>
        <w:spacing w:before="158"/>
        <w:ind w:left="840" w:right="0" w:hanging="720"/>
        <w:jc w:val="left"/>
        <w:rPr>
          <w:sz w:val="24"/>
        </w:rPr>
      </w:pPr>
      <w:r>
        <w:rPr>
          <w:sz w:val="24"/>
        </w:rPr>
        <w:t>Asafu-Adjaye,</w:t>
      </w:r>
      <w:r>
        <w:rPr>
          <w:spacing w:val="52"/>
          <w:sz w:val="24"/>
        </w:rPr>
        <w:t> </w:t>
      </w:r>
      <w:r>
        <w:rPr>
          <w:sz w:val="24"/>
        </w:rPr>
        <w:t>J.</w:t>
      </w:r>
      <w:r>
        <w:rPr>
          <w:spacing w:val="52"/>
          <w:sz w:val="24"/>
        </w:rPr>
        <w:t> </w:t>
      </w:r>
      <w:r>
        <w:rPr>
          <w:sz w:val="24"/>
        </w:rPr>
        <w:t>(2003).</w:t>
      </w:r>
      <w:r>
        <w:rPr>
          <w:spacing w:val="54"/>
          <w:sz w:val="24"/>
        </w:rPr>
        <w:t> </w:t>
      </w:r>
      <w:r>
        <w:rPr>
          <w:i/>
          <w:sz w:val="24"/>
        </w:rPr>
        <w:t>Income-Inequality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Health: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Multi-Country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Analysis,</w:t>
      </w:r>
      <w:r>
        <w:rPr>
          <w:i/>
          <w:spacing w:val="54"/>
          <w:sz w:val="24"/>
        </w:rPr>
        <w:t> </w:t>
      </w:r>
      <w:r>
        <w:rPr>
          <w:sz w:val="24"/>
        </w:rPr>
        <w:t>Swedish</w:t>
      </w:r>
      <w:r>
        <w:rPr>
          <w:spacing w:val="-57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of Economics and Business</w:t>
      </w:r>
      <w:r>
        <w:rPr>
          <w:spacing w:val="-1"/>
          <w:sz w:val="24"/>
        </w:rPr>
        <w:t> </w:t>
      </w:r>
      <w:r>
        <w:rPr>
          <w:sz w:val="24"/>
        </w:rPr>
        <w:t>Administration, Finland Working</w:t>
      </w:r>
      <w:r>
        <w:rPr>
          <w:spacing w:val="-3"/>
          <w:sz w:val="24"/>
        </w:rPr>
        <w:t> </w:t>
      </w:r>
      <w:r>
        <w:rPr>
          <w:sz w:val="24"/>
        </w:rPr>
        <w:t>Paper</w:t>
      </w:r>
      <w:r>
        <w:rPr>
          <w:i/>
          <w:sz w:val="24"/>
        </w:rPr>
        <w:t>, </w:t>
      </w:r>
      <w:r>
        <w:rPr>
          <w:sz w:val="24"/>
        </w:rPr>
        <w:t>487</w:t>
      </w:r>
    </w:p>
    <w:p>
      <w:pPr>
        <w:spacing w:before="161"/>
        <w:ind w:left="840" w:right="113" w:hanging="720"/>
        <w:jc w:val="left"/>
        <w:rPr>
          <w:sz w:val="24"/>
        </w:rPr>
      </w:pPr>
      <w:r>
        <w:rPr>
          <w:sz w:val="24"/>
        </w:rPr>
        <w:t>Asfaw,</w:t>
      </w:r>
      <w:r>
        <w:rPr>
          <w:spacing w:val="53"/>
          <w:sz w:val="24"/>
        </w:rPr>
        <w:t> </w:t>
      </w:r>
      <w:r>
        <w:rPr>
          <w:sz w:val="24"/>
        </w:rPr>
        <w:t>S.,</w:t>
      </w:r>
      <w:r>
        <w:rPr>
          <w:spacing w:val="53"/>
          <w:sz w:val="24"/>
        </w:rPr>
        <w:t> </w:t>
      </w:r>
      <w:r>
        <w:rPr>
          <w:sz w:val="24"/>
        </w:rPr>
        <w:t>Wakuma,</w:t>
      </w:r>
      <w:r>
        <w:rPr>
          <w:spacing w:val="54"/>
          <w:sz w:val="24"/>
        </w:rPr>
        <w:t> </w:t>
      </w:r>
      <w:r>
        <w:rPr>
          <w:sz w:val="24"/>
        </w:rPr>
        <w:t>S.,</w:t>
      </w:r>
      <w:r>
        <w:rPr>
          <w:spacing w:val="54"/>
          <w:sz w:val="24"/>
        </w:rPr>
        <w:t> </w:t>
      </w:r>
      <w:r>
        <w:rPr>
          <w:sz w:val="24"/>
        </w:rPr>
        <w:t>&amp;</w:t>
      </w:r>
      <w:r>
        <w:rPr>
          <w:spacing w:val="53"/>
          <w:sz w:val="24"/>
        </w:rPr>
        <w:t> </w:t>
      </w:r>
      <w:r>
        <w:rPr>
          <w:sz w:val="24"/>
        </w:rPr>
        <w:t>Woldemariam,</w:t>
      </w:r>
      <w:r>
        <w:rPr>
          <w:spacing w:val="54"/>
          <w:sz w:val="24"/>
        </w:rPr>
        <w:t> </w:t>
      </w:r>
      <w:r>
        <w:rPr>
          <w:sz w:val="24"/>
        </w:rPr>
        <w:t>M.</w:t>
      </w:r>
      <w:r>
        <w:rPr>
          <w:spacing w:val="54"/>
          <w:sz w:val="24"/>
        </w:rPr>
        <w:t> </w:t>
      </w:r>
      <w:r>
        <w:rPr>
          <w:sz w:val="24"/>
        </w:rPr>
        <w:t>(2018).</w:t>
      </w:r>
      <w:r>
        <w:rPr>
          <w:spacing w:val="54"/>
          <w:sz w:val="24"/>
        </w:rPr>
        <w:t> </w:t>
      </w:r>
      <w:r>
        <w:rPr>
          <w:sz w:val="24"/>
        </w:rPr>
        <w:t>Determinants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Chronic</w:t>
      </w:r>
      <w:r>
        <w:rPr>
          <w:spacing w:val="52"/>
          <w:sz w:val="24"/>
        </w:rPr>
        <w:t> </w:t>
      </w:r>
      <w:r>
        <w:rPr>
          <w:sz w:val="24"/>
        </w:rPr>
        <w:t>Respiratory</w:t>
      </w:r>
      <w:r>
        <w:rPr>
          <w:spacing w:val="-57"/>
          <w:sz w:val="24"/>
        </w:rPr>
        <w:t> </w:t>
      </w:r>
      <w:r>
        <w:rPr>
          <w:sz w:val="24"/>
        </w:rPr>
        <w:t>Symptoms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Workers. </w:t>
      </w:r>
      <w:r>
        <w:rPr>
          <w:i/>
          <w:sz w:val="24"/>
        </w:rPr>
        <w:t>Journal of 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2018</w:t>
      </w:r>
      <w:r>
        <w:rPr>
          <w:sz w:val="24"/>
        </w:rPr>
        <w:t>(8), 1-10</w:t>
      </w:r>
    </w:p>
    <w:p>
      <w:pPr>
        <w:pStyle w:val="BodyText"/>
        <w:spacing w:line="430" w:lineRule="atLeast" w:before="7"/>
        <w:ind w:left="120" w:right="118"/>
      </w:pPr>
      <w:r>
        <w:rPr/>
        <w:t>Australian Institute of Health and Welfare (2014). </w:t>
      </w:r>
      <w:r>
        <w:rPr>
          <w:i/>
        </w:rPr>
        <w:t>Concept of Ill-health. </w:t>
      </w:r>
      <w:r>
        <w:rPr/>
        <w:t>AIHW, Australia</w:t>
      </w:r>
      <w:r>
        <w:rPr>
          <w:spacing w:val="1"/>
        </w:rPr>
        <w:t> </w:t>
      </w:r>
      <w:r>
        <w:rPr/>
        <w:t>Avendano,</w:t>
      </w:r>
      <w:r>
        <w:rPr>
          <w:spacing w:val="-1"/>
        </w:rPr>
        <w:t> </w:t>
      </w:r>
      <w:r>
        <w:rPr/>
        <w:t>M.</w:t>
      </w:r>
      <w:r>
        <w:rPr>
          <w:spacing w:val="1"/>
        </w:rPr>
        <w:t> </w:t>
      </w:r>
      <w:r>
        <w:rPr/>
        <w:t>(2012). Correlation</w:t>
      </w:r>
      <w:r>
        <w:rPr>
          <w:spacing w:val="-1"/>
        </w:rPr>
        <w:t> </w:t>
      </w:r>
      <w:r>
        <w:rPr/>
        <w:t>or Causation? Income Inequality</w:t>
      </w:r>
      <w:r>
        <w:rPr>
          <w:spacing w:val="-6"/>
        </w:rPr>
        <w:t> </w:t>
      </w:r>
      <w:r>
        <w:rPr/>
        <w:t>and</w:t>
      </w:r>
      <w:r>
        <w:rPr>
          <w:spacing w:val="3"/>
        </w:rPr>
        <w:t> </w:t>
      </w:r>
      <w:r>
        <w:rPr/>
        <w:t>Infant</w:t>
      </w:r>
      <w:r>
        <w:rPr>
          <w:spacing w:val="-1"/>
        </w:rPr>
        <w:t> </w:t>
      </w:r>
      <w:r>
        <w:rPr/>
        <w:t>Mortality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Fixed</w:t>
      </w:r>
    </w:p>
    <w:p>
      <w:pPr>
        <w:pStyle w:val="BodyText"/>
        <w:spacing w:before="5"/>
        <w:ind w:left="840" w:right="117"/>
      </w:pPr>
      <w:r>
        <w:rPr/>
        <w:t>Effects</w:t>
      </w:r>
      <w:r>
        <w:rPr>
          <w:spacing w:val="27"/>
        </w:rPr>
        <w:t> </w:t>
      </w:r>
      <w:r>
        <w:rPr/>
        <w:t>Models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period</w:t>
      </w:r>
      <w:r>
        <w:rPr>
          <w:spacing w:val="26"/>
        </w:rPr>
        <w:t> </w:t>
      </w:r>
      <w:r>
        <w:rPr/>
        <w:t>1960-2008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34</w:t>
      </w:r>
      <w:r>
        <w:rPr>
          <w:spacing w:val="27"/>
        </w:rPr>
        <w:t> </w:t>
      </w:r>
      <w:r>
        <w:rPr/>
        <w:t>OECD</w:t>
      </w:r>
      <w:r>
        <w:rPr>
          <w:spacing w:val="26"/>
        </w:rPr>
        <w:t> </w:t>
      </w:r>
      <w:r>
        <w:rPr/>
        <w:t>Countries.</w:t>
      </w:r>
      <w:r>
        <w:rPr>
          <w:spacing w:val="29"/>
        </w:rPr>
        <w:t> </w:t>
      </w:r>
      <w:r>
        <w:rPr>
          <w:i/>
        </w:rPr>
        <w:t>Social</w:t>
      </w:r>
      <w:r>
        <w:rPr>
          <w:i/>
          <w:spacing w:val="27"/>
        </w:rPr>
        <w:t> </w:t>
      </w:r>
      <w:r>
        <w:rPr>
          <w:i/>
        </w:rPr>
        <w:t>Science,</w:t>
      </w:r>
      <w:r>
        <w:rPr>
          <w:i/>
          <w:spacing w:val="29"/>
        </w:rPr>
        <w:t> </w:t>
      </w:r>
      <w:r>
        <w:rPr>
          <w:i/>
        </w:rPr>
        <w:t>75</w:t>
      </w:r>
      <w:r>
        <w:rPr/>
        <w:t>(4),</w:t>
      </w:r>
      <w:r>
        <w:rPr>
          <w:spacing w:val="-57"/>
        </w:rPr>
        <w:t> </w:t>
      </w:r>
      <w:r>
        <w:rPr/>
        <w:t>752-753</w:t>
      </w:r>
    </w:p>
    <w:p>
      <w:pPr>
        <w:spacing w:before="161"/>
        <w:ind w:left="840" w:right="116" w:hanging="720"/>
        <w:jc w:val="left"/>
        <w:rPr>
          <w:sz w:val="24"/>
        </w:rPr>
      </w:pPr>
      <w:r>
        <w:rPr>
          <w:sz w:val="24"/>
        </w:rPr>
        <w:t>Babones,</w:t>
      </w:r>
      <w:r>
        <w:rPr>
          <w:spacing w:val="37"/>
          <w:sz w:val="24"/>
        </w:rPr>
        <w:t> </w:t>
      </w:r>
      <w:r>
        <w:rPr>
          <w:sz w:val="24"/>
        </w:rPr>
        <w:t>(2008).</w:t>
      </w:r>
      <w:r>
        <w:rPr>
          <w:spacing w:val="37"/>
          <w:sz w:val="24"/>
        </w:rPr>
        <w:t> </w:t>
      </w:r>
      <w:r>
        <w:rPr>
          <w:sz w:val="24"/>
        </w:rPr>
        <w:t>Income</w:t>
      </w:r>
      <w:r>
        <w:rPr>
          <w:spacing w:val="38"/>
          <w:sz w:val="24"/>
        </w:rPr>
        <w:t> </w:t>
      </w:r>
      <w:r>
        <w:rPr>
          <w:sz w:val="24"/>
        </w:rPr>
        <w:t>Inequality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Population</w:t>
      </w:r>
      <w:r>
        <w:rPr>
          <w:spacing w:val="36"/>
          <w:sz w:val="24"/>
        </w:rPr>
        <w:t> </w:t>
      </w:r>
      <w:r>
        <w:rPr>
          <w:sz w:val="24"/>
        </w:rPr>
        <w:t>Health:</w:t>
      </w:r>
      <w:r>
        <w:rPr>
          <w:spacing w:val="36"/>
          <w:sz w:val="24"/>
        </w:rPr>
        <w:t> </w:t>
      </w:r>
      <w:r>
        <w:rPr>
          <w:sz w:val="24"/>
        </w:rPr>
        <w:t>Correlation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Causality,</w:t>
      </w:r>
      <w:r>
        <w:rPr>
          <w:spacing w:val="4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66</w:t>
      </w:r>
      <w:r>
        <w:rPr>
          <w:sz w:val="24"/>
        </w:rPr>
        <w:t>(7), 1614-1626</w:t>
      </w:r>
    </w:p>
    <w:p>
      <w:pPr>
        <w:spacing w:before="161"/>
        <w:ind w:left="840" w:right="120" w:hanging="720"/>
        <w:jc w:val="both"/>
        <w:rPr>
          <w:sz w:val="24"/>
        </w:rPr>
      </w:pPr>
      <w:r>
        <w:rPr>
          <w:sz w:val="24"/>
        </w:rPr>
        <w:t>Balog, J.E. (1978). </w:t>
      </w:r>
      <w:r>
        <w:rPr>
          <w:i/>
          <w:sz w:val="24"/>
        </w:rPr>
        <w:t>An Historical Review and Philosophical Analysis of Alternative Concepts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 and their Relationship to Health Education. </w:t>
      </w:r>
      <w:r>
        <w:rPr>
          <w:sz w:val="24"/>
        </w:rPr>
        <w:t>Unpublished dissertation, Maryland: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Maryland.</w:t>
      </w:r>
    </w:p>
    <w:p>
      <w:pPr>
        <w:spacing w:before="158"/>
        <w:ind w:left="840" w:right="118" w:hanging="720"/>
        <w:jc w:val="both"/>
        <w:rPr>
          <w:sz w:val="24"/>
        </w:rPr>
      </w:pPr>
      <w:r>
        <w:rPr>
          <w:sz w:val="24"/>
        </w:rPr>
        <w:t>Barro, R. (2008). Inequality and Growth in a Panel of Countries</w:t>
      </w:r>
      <w:r>
        <w:rPr>
          <w:i/>
          <w:sz w:val="24"/>
        </w:rPr>
        <w:t>. Journal of Economic Growth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5-32</w:t>
      </w:r>
    </w:p>
    <w:p>
      <w:pPr>
        <w:spacing w:before="161"/>
        <w:ind w:left="120" w:right="0" w:firstLine="0"/>
        <w:jc w:val="left"/>
        <w:rPr>
          <w:sz w:val="24"/>
        </w:rPr>
      </w:pPr>
      <w:r>
        <w:rPr>
          <w:sz w:val="24"/>
        </w:rPr>
        <w:t>Bartels,</w:t>
      </w:r>
      <w:r>
        <w:rPr>
          <w:spacing w:val="53"/>
          <w:sz w:val="24"/>
        </w:rPr>
        <w:t> </w:t>
      </w:r>
      <w:r>
        <w:rPr>
          <w:sz w:val="24"/>
        </w:rPr>
        <w:t>L.M.</w:t>
      </w:r>
      <w:r>
        <w:rPr>
          <w:spacing w:val="54"/>
          <w:sz w:val="24"/>
        </w:rPr>
        <w:t> </w:t>
      </w:r>
      <w:r>
        <w:rPr>
          <w:sz w:val="24"/>
        </w:rPr>
        <w:t>(2008),</w:t>
      </w:r>
      <w:r>
        <w:rPr>
          <w:spacing w:val="51"/>
          <w:sz w:val="24"/>
        </w:rPr>
        <w:t> </w:t>
      </w:r>
      <w:r>
        <w:rPr>
          <w:i/>
          <w:sz w:val="24"/>
        </w:rPr>
        <w:t>Unequal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Democracy: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Gilded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Age</w:t>
      </w:r>
      <w:r>
        <w:rPr>
          <w:sz w:val="24"/>
        </w:rPr>
        <w:t>.</w:t>
      </w:r>
    </w:p>
    <w:p>
      <w:pPr>
        <w:pStyle w:val="BodyText"/>
        <w:ind w:left="840"/>
      </w:pPr>
      <w:r>
        <w:rPr/>
        <w:t>Princeton,</w:t>
      </w:r>
      <w:r>
        <w:rPr>
          <w:spacing w:val="-1"/>
        </w:rPr>
        <w:t> </w:t>
      </w:r>
      <w:r>
        <w:rPr/>
        <w:t>NJ: Princeton</w:t>
      </w:r>
      <w:r>
        <w:rPr>
          <w:spacing w:val="-3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</w:t>
      </w:r>
    </w:p>
    <w:p>
      <w:pPr>
        <w:spacing w:before="159"/>
        <w:ind w:left="840" w:right="119" w:hanging="720"/>
        <w:jc w:val="both"/>
        <w:rPr>
          <w:sz w:val="24"/>
        </w:rPr>
      </w:pPr>
      <w:r>
        <w:rPr>
          <w:sz w:val="24"/>
        </w:rPr>
        <w:t>Barufi, A.M.B. (2012). </w:t>
      </w:r>
      <w:r>
        <w:rPr>
          <w:i/>
          <w:sz w:val="24"/>
        </w:rPr>
        <w:t>Income Inequality Reduction in Brazil: A Pseudo-Panel Approach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its Determinants.</w:t>
      </w:r>
      <w:r>
        <w:rPr>
          <w:i/>
          <w:spacing w:val="1"/>
          <w:sz w:val="24"/>
        </w:rPr>
        <w:t> </w:t>
      </w:r>
      <w:r>
        <w:rPr>
          <w:sz w:val="24"/>
        </w:rPr>
        <w:t>TD</w:t>
      </w:r>
      <w:r>
        <w:rPr>
          <w:spacing w:val="-1"/>
          <w:sz w:val="24"/>
        </w:rPr>
        <w:t> </w:t>
      </w:r>
      <w:r>
        <w:rPr>
          <w:sz w:val="24"/>
        </w:rPr>
        <w:t>Nereus 11, Sao Paulo</w:t>
      </w:r>
    </w:p>
    <w:p>
      <w:pPr>
        <w:spacing w:before="161"/>
        <w:ind w:left="840" w:right="114" w:hanging="720"/>
        <w:jc w:val="both"/>
        <w:rPr>
          <w:sz w:val="24"/>
        </w:rPr>
      </w:pPr>
      <w:r>
        <w:rPr>
          <w:sz w:val="24"/>
        </w:rPr>
        <w:t>Bakkeli, N.R. (2016). Income Inequality and Health in China: A Panel Data Analysis,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157</w:t>
      </w:r>
      <w:r>
        <w:rPr>
          <w:sz w:val="24"/>
        </w:rPr>
        <w:t>(6), 39-47</w:t>
      </w:r>
    </w:p>
    <w:p>
      <w:pPr>
        <w:spacing w:before="161"/>
        <w:ind w:left="840" w:right="118" w:hanging="720"/>
        <w:jc w:val="both"/>
        <w:rPr>
          <w:sz w:val="24"/>
        </w:rPr>
      </w:pPr>
      <w:r>
        <w:rPr>
          <w:sz w:val="24"/>
        </w:rPr>
        <w:t>Bayar, A.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Decomposition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Turkey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Faculty of</w:t>
      </w:r>
      <w:r>
        <w:rPr>
          <w:spacing w:val="1"/>
          <w:sz w:val="24"/>
        </w:rPr>
        <w:t> </w:t>
      </w:r>
      <w:r>
        <w:rPr>
          <w:sz w:val="24"/>
        </w:rPr>
        <w:t>Management, Turkey</w:t>
      </w:r>
    </w:p>
    <w:p>
      <w:pPr>
        <w:spacing w:before="158"/>
        <w:ind w:left="840" w:right="118" w:hanging="720"/>
        <w:jc w:val="both"/>
        <w:rPr>
          <w:sz w:val="24"/>
        </w:rPr>
      </w:pPr>
      <w:r>
        <w:rPr>
          <w:spacing w:val="-1"/>
          <w:sz w:val="24"/>
        </w:rPr>
        <w:t>Bello,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S.M.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(2015).</w:t>
      </w:r>
      <w:r>
        <w:rPr>
          <w:spacing w:val="-12"/>
          <w:sz w:val="24"/>
        </w:rPr>
        <w:t> </w:t>
      </w:r>
      <w:r>
        <w:rPr>
          <w:i/>
          <w:sz w:val="24"/>
        </w:rPr>
        <w:t>Newspaper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Coverage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Thesis</w:t>
      </w:r>
      <w:r>
        <w:rPr>
          <w:spacing w:val="-14"/>
          <w:sz w:val="24"/>
        </w:rPr>
        <w:t> </w:t>
      </w:r>
      <w:r>
        <w:rPr>
          <w:sz w:val="24"/>
        </w:rPr>
        <w:t>submitted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partial</w:t>
      </w:r>
      <w:r>
        <w:rPr>
          <w:spacing w:val="-58"/>
          <w:sz w:val="24"/>
        </w:rPr>
        <w:t> </w:t>
      </w:r>
      <w:r>
        <w:rPr>
          <w:sz w:val="24"/>
        </w:rPr>
        <w:t>fulfilment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requirement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PhD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Communication,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Canterbury,</w:t>
      </w:r>
      <w:r>
        <w:rPr>
          <w:spacing w:val="-1"/>
          <w:sz w:val="24"/>
        </w:rPr>
        <w:t> </w:t>
      </w:r>
      <w:r>
        <w:rPr>
          <w:sz w:val="24"/>
        </w:rPr>
        <w:t>UK</w:t>
      </w:r>
    </w:p>
    <w:p>
      <w:pPr>
        <w:pStyle w:val="BodyText"/>
        <w:spacing w:line="430" w:lineRule="atLeast" w:before="7"/>
        <w:ind w:left="120" w:right="123"/>
        <w:jc w:val="both"/>
      </w:pPr>
      <w:r>
        <w:rPr/>
        <w:t>Becker, G. S. (1964), </w:t>
      </w:r>
      <w:r>
        <w:rPr>
          <w:i/>
        </w:rPr>
        <w:t>Human Capital, </w:t>
      </w:r>
      <w:r>
        <w:rPr/>
        <w:t>New York: National Bureau of Economic Research.</w:t>
      </w:r>
      <w:r>
        <w:rPr>
          <w:spacing w:val="1"/>
        </w:rPr>
        <w:t> </w:t>
      </w:r>
      <w:r>
        <w:rPr/>
        <w:t>Bergh,</w:t>
      </w:r>
      <w:r>
        <w:rPr>
          <w:spacing w:val="8"/>
        </w:rPr>
        <w:t> </w:t>
      </w:r>
      <w:r>
        <w:rPr/>
        <w:t>A.</w:t>
      </w:r>
      <w:r>
        <w:rPr>
          <w:spacing w:val="6"/>
        </w:rPr>
        <w:t> </w:t>
      </w:r>
      <w:r>
        <w:rPr/>
        <w:t>&amp;</w:t>
      </w:r>
      <w:r>
        <w:rPr>
          <w:spacing w:val="6"/>
        </w:rPr>
        <w:t> </w:t>
      </w:r>
      <w:r>
        <w:rPr/>
        <w:t>Nilsson,</w:t>
      </w:r>
      <w:r>
        <w:rPr>
          <w:spacing w:val="5"/>
        </w:rPr>
        <w:t> </w:t>
      </w:r>
      <w:r>
        <w:rPr/>
        <w:t>T.</w:t>
      </w:r>
      <w:r>
        <w:rPr>
          <w:spacing w:val="6"/>
        </w:rPr>
        <w:t> </w:t>
      </w:r>
      <w:r>
        <w:rPr/>
        <w:t>(2010).</w:t>
      </w:r>
      <w:r>
        <w:rPr>
          <w:spacing w:val="5"/>
        </w:rPr>
        <w:t> </w:t>
      </w:r>
      <w:r>
        <w:rPr/>
        <w:t>Good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living?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relationship</w:t>
      </w:r>
      <w:r>
        <w:rPr>
          <w:spacing w:val="6"/>
        </w:rPr>
        <w:t> </w:t>
      </w:r>
      <w:r>
        <w:rPr/>
        <w:t>between</w:t>
      </w:r>
      <w:r>
        <w:rPr>
          <w:spacing w:val="5"/>
        </w:rPr>
        <w:t> </w:t>
      </w:r>
      <w:r>
        <w:rPr/>
        <w:t>Globalization</w:t>
      </w:r>
      <w:r>
        <w:rPr>
          <w:spacing w:val="6"/>
        </w:rPr>
        <w:t> </w:t>
      </w:r>
      <w:r>
        <w:rPr/>
        <w:t>and</w:t>
      </w:r>
    </w:p>
    <w:p>
      <w:pPr>
        <w:spacing w:before="7"/>
        <w:ind w:left="840" w:right="0" w:firstLine="0"/>
        <w:jc w:val="both"/>
        <w:rPr>
          <w:sz w:val="24"/>
        </w:rPr>
      </w:pPr>
      <w:r>
        <w:rPr>
          <w:sz w:val="24"/>
        </w:rPr>
        <w:t>Life</w:t>
      </w:r>
      <w:r>
        <w:rPr>
          <w:spacing w:val="-3"/>
          <w:sz w:val="24"/>
        </w:rPr>
        <w:t> </w:t>
      </w:r>
      <w:r>
        <w:rPr>
          <w:sz w:val="24"/>
        </w:rPr>
        <w:t>Expectancy. </w:t>
      </w:r>
      <w:r>
        <w:rPr>
          <w:i/>
          <w:sz w:val="24"/>
        </w:rPr>
        <w:t>World Development,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39</w:t>
      </w:r>
      <w:r>
        <w:rPr>
          <w:sz w:val="24"/>
        </w:rPr>
        <w:t>(9),</w:t>
      </w:r>
      <w:r>
        <w:rPr>
          <w:spacing w:val="-2"/>
          <w:sz w:val="24"/>
        </w:rPr>
        <w:t> </w:t>
      </w:r>
      <w:r>
        <w:rPr>
          <w:sz w:val="24"/>
        </w:rPr>
        <w:t>1191-1203</w:t>
      </w:r>
    </w:p>
    <w:p>
      <w:pPr>
        <w:pStyle w:val="BodyText"/>
        <w:spacing w:before="159"/>
        <w:ind w:left="840" w:right="119" w:hanging="720"/>
        <w:jc w:val="both"/>
      </w:pPr>
      <w:r>
        <w:rPr/>
        <w:t>Berkman, L.F., Glass, T., Brissette, I., &amp; Seeman, T.E., (2000), From Social Integration to</w:t>
      </w:r>
      <w:r>
        <w:rPr>
          <w:spacing w:val="1"/>
        </w:rPr>
        <w:t> </w:t>
      </w:r>
      <w:r>
        <w:rPr/>
        <w:t>Health:</w:t>
      </w:r>
      <w:r>
        <w:rPr>
          <w:spacing w:val="-1"/>
        </w:rPr>
        <w:t> </w:t>
      </w:r>
      <w:r>
        <w:rPr/>
        <w:t>Durkheim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 New</w:t>
      </w:r>
      <w:r>
        <w:rPr>
          <w:spacing w:val="-1"/>
        </w:rPr>
        <w:t> </w:t>
      </w:r>
      <w:r>
        <w:rPr/>
        <w:t>Millennium,</w:t>
      </w:r>
      <w:r>
        <w:rPr>
          <w:spacing w:val="1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Medicine, 51</w:t>
      </w:r>
      <w:r>
        <w:rPr/>
        <w:t>(4),</w:t>
      </w:r>
      <w:r>
        <w:rPr>
          <w:spacing w:val="-1"/>
        </w:rPr>
        <w:t> </w:t>
      </w:r>
      <w:r>
        <w:rPr/>
        <w:t>843–57.</w:t>
      </w:r>
    </w:p>
    <w:p>
      <w:pPr>
        <w:spacing w:before="160"/>
        <w:ind w:left="840" w:right="123" w:hanging="720"/>
        <w:jc w:val="both"/>
        <w:rPr>
          <w:sz w:val="24"/>
        </w:rPr>
      </w:pPr>
      <w:r>
        <w:rPr>
          <w:sz w:val="24"/>
        </w:rPr>
        <w:t>Becker, G.S., &amp; Lewis, H. (1973). On the Interaction between the Quantity and Quality of</w:t>
      </w:r>
      <w:r>
        <w:rPr>
          <w:spacing w:val="1"/>
          <w:sz w:val="24"/>
        </w:rPr>
        <w:t> </w:t>
      </w:r>
      <w:r>
        <w:rPr>
          <w:sz w:val="24"/>
        </w:rPr>
        <w:t>Children.</w:t>
      </w:r>
      <w:r>
        <w:rPr>
          <w:spacing w:val="-1"/>
          <w:sz w:val="24"/>
        </w:rPr>
        <w:t> </w:t>
      </w:r>
      <w:r>
        <w:rPr>
          <w:i/>
          <w:sz w:val="24"/>
        </w:rPr>
        <w:t>Journal of Political Economics,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81</w:t>
      </w:r>
      <w:r>
        <w:rPr>
          <w:sz w:val="24"/>
        </w:rPr>
        <w:t>(2), 279-288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before="72"/>
        <w:ind w:left="120"/>
      </w:pPr>
      <w:r>
        <w:rPr/>
        <w:t>Beckfield,</w:t>
      </w:r>
      <w:r>
        <w:rPr>
          <w:spacing w:val="3"/>
        </w:rPr>
        <w:t> </w:t>
      </w:r>
      <w:r>
        <w:rPr/>
        <w:t>J</w:t>
      </w:r>
      <w:r>
        <w:rPr>
          <w:spacing w:val="63"/>
        </w:rPr>
        <w:t> </w:t>
      </w:r>
      <w:r>
        <w:rPr/>
        <w:t>(2004),</w:t>
      </w:r>
      <w:r>
        <w:rPr>
          <w:spacing w:val="61"/>
        </w:rPr>
        <w:t> </w:t>
      </w:r>
      <w:r>
        <w:rPr/>
        <w:t>Does</w:t>
      </w:r>
      <w:r>
        <w:rPr>
          <w:spacing w:val="65"/>
        </w:rPr>
        <w:t> </w:t>
      </w:r>
      <w:r>
        <w:rPr/>
        <w:t>Income</w:t>
      </w:r>
      <w:r>
        <w:rPr>
          <w:spacing w:val="64"/>
        </w:rPr>
        <w:t> </w:t>
      </w:r>
      <w:r>
        <w:rPr/>
        <w:t>Inequality</w:t>
      </w:r>
      <w:r>
        <w:rPr>
          <w:spacing w:val="55"/>
        </w:rPr>
        <w:t> </w:t>
      </w:r>
      <w:r>
        <w:rPr/>
        <w:t>Harm</w:t>
      </w:r>
      <w:r>
        <w:rPr>
          <w:spacing w:val="62"/>
        </w:rPr>
        <w:t> </w:t>
      </w:r>
      <w:r>
        <w:rPr/>
        <w:t>Health?</w:t>
      </w:r>
      <w:r>
        <w:rPr>
          <w:spacing w:val="63"/>
        </w:rPr>
        <w:t> </w:t>
      </w:r>
      <w:r>
        <w:rPr/>
        <w:t>New</w:t>
      </w:r>
      <w:r>
        <w:rPr>
          <w:spacing w:val="62"/>
        </w:rPr>
        <w:t> </w:t>
      </w:r>
      <w:r>
        <w:rPr/>
        <w:t>Cross-National</w:t>
      </w:r>
      <w:r>
        <w:rPr>
          <w:spacing w:val="63"/>
        </w:rPr>
        <w:t> </w:t>
      </w:r>
      <w:r>
        <w:rPr/>
        <w:t>Evidence,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Behaviour,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45</w:t>
      </w:r>
      <w:r>
        <w:rPr>
          <w:sz w:val="24"/>
        </w:rPr>
        <w:t>(1), 231-248</w:t>
      </w:r>
    </w:p>
    <w:p>
      <w:pPr>
        <w:pStyle w:val="BodyText"/>
        <w:spacing w:before="161"/>
        <w:ind w:left="840" w:right="126" w:hanging="720"/>
        <w:jc w:val="both"/>
      </w:pPr>
      <w:r>
        <w:rPr/>
        <w:t>Bellettini,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B.C.</w:t>
      </w:r>
      <w:r>
        <w:rPr>
          <w:spacing w:val="1"/>
        </w:rPr>
        <w:t> </w:t>
      </w:r>
      <w:r>
        <w:rPr/>
        <w:t>Carlotta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Borrowing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Redistributive</w:t>
      </w:r>
      <w:r>
        <w:rPr>
          <w:spacing w:val="17"/>
        </w:rPr>
        <w:t> </w:t>
      </w:r>
      <w:r>
        <w:rPr/>
        <w:t>Policies. </w:t>
      </w:r>
      <w:r>
        <w:rPr>
          <w:i/>
        </w:rPr>
        <w:t>European Economic</w:t>
      </w:r>
      <w:r>
        <w:rPr>
          <w:i/>
          <w:spacing w:val="-1"/>
        </w:rPr>
        <w:t> </w:t>
      </w:r>
      <w:r>
        <w:rPr>
          <w:i/>
        </w:rPr>
        <w:t>Review,</w:t>
      </w:r>
      <w:r>
        <w:rPr>
          <w:i/>
          <w:spacing w:val="1"/>
        </w:rPr>
        <w:t> </w:t>
      </w:r>
      <w:r>
        <w:rPr>
          <w:i/>
        </w:rPr>
        <w:t>51</w:t>
      </w:r>
      <w:r>
        <w:rPr/>
        <w:t>(3), 625-645</w:t>
      </w:r>
    </w:p>
    <w:p>
      <w:pPr>
        <w:spacing w:before="158"/>
        <w:ind w:left="840" w:right="119" w:hanging="720"/>
        <w:jc w:val="both"/>
        <w:rPr>
          <w:sz w:val="24"/>
        </w:rPr>
      </w:pPr>
      <w:r>
        <w:rPr>
          <w:spacing w:val="-1"/>
          <w:sz w:val="24"/>
        </w:rPr>
        <w:t>Benzeval,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M.,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Bond,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L.,</w:t>
      </w:r>
      <w:r>
        <w:rPr>
          <w:spacing w:val="-12"/>
          <w:sz w:val="24"/>
        </w:rPr>
        <w:t> </w:t>
      </w:r>
      <w:r>
        <w:rPr>
          <w:sz w:val="24"/>
        </w:rPr>
        <w:t>Campbell,</w:t>
      </w:r>
      <w:r>
        <w:rPr>
          <w:spacing w:val="-14"/>
          <w:sz w:val="24"/>
        </w:rPr>
        <w:t> </w:t>
      </w:r>
      <w:r>
        <w:rPr>
          <w:sz w:val="24"/>
        </w:rPr>
        <w:t>M.,</w:t>
      </w:r>
      <w:r>
        <w:rPr>
          <w:spacing w:val="-14"/>
          <w:sz w:val="24"/>
        </w:rPr>
        <w:t> </w:t>
      </w:r>
      <w:r>
        <w:rPr>
          <w:sz w:val="24"/>
        </w:rPr>
        <w:t>Egan,</w:t>
      </w:r>
      <w:r>
        <w:rPr>
          <w:spacing w:val="-15"/>
          <w:sz w:val="24"/>
        </w:rPr>
        <w:t> </w:t>
      </w:r>
      <w:r>
        <w:rPr>
          <w:sz w:val="24"/>
        </w:rPr>
        <w:t>M.,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Lorenc,</w:t>
      </w:r>
      <w:r>
        <w:rPr>
          <w:spacing w:val="-15"/>
          <w:sz w:val="24"/>
        </w:rPr>
        <w:t> </w:t>
      </w:r>
      <w:r>
        <w:rPr>
          <w:sz w:val="24"/>
        </w:rPr>
        <w:t>T.</w:t>
      </w:r>
      <w:r>
        <w:rPr>
          <w:spacing w:val="-12"/>
          <w:sz w:val="24"/>
        </w:rPr>
        <w:t> </w:t>
      </w:r>
      <w:r>
        <w:rPr>
          <w:sz w:val="24"/>
        </w:rPr>
        <w:t>(2014).</w:t>
      </w:r>
      <w:r>
        <w:rPr>
          <w:spacing w:val="-16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Money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Health?</w:t>
      </w:r>
      <w:r>
        <w:rPr>
          <w:i/>
          <w:spacing w:val="1"/>
          <w:sz w:val="24"/>
        </w:rPr>
        <w:t> </w:t>
      </w:r>
      <w:r>
        <w:rPr>
          <w:sz w:val="24"/>
        </w:rPr>
        <w:t>Inspiring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2"/>
          <w:sz w:val="24"/>
        </w:rPr>
        <w:t> </w:t>
      </w:r>
      <w:r>
        <w:rPr>
          <w:sz w:val="24"/>
        </w:rPr>
        <w:t>Change.</w:t>
      </w:r>
      <w:r>
        <w:rPr>
          <w:spacing w:val="4"/>
          <w:sz w:val="24"/>
        </w:rPr>
        <w:t> </w:t>
      </w:r>
      <w:hyperlink r:id="rId170">
        <w:r>
          <w:rPr>
            <w:sz w:val="24"/>
            <w:u w:val="single"/>
          </w:rPr>
          <w:t>www.jrf.org.uk</w:t>
        </w:r>
      </w:hyperlink>
    </w:p>
    <w:p>
      <w:pPr>
        <w:spacing w:before="161"/>
        <w:ind w:left="840" w:right="121" w:hanging="720"/>
        <w:jc w:val="both"/>
        <w:rPr>
          <w:sz w:val="24"/>
        </w:rPr>
      </w:pPr>
      <w:r>
        <w:rPr>
          <w:sz w:val="24"/>
        </w:rPr>
        <w:t>Bhattacharjee, A., Maiti, T. &amp; Petrie D. (2014). General Equilibrium Effects of Spatial Structure:</w:t>
      </w:r>
      <w:r>
        <w:rPr>
          <w:spacing w:val="-57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Outcomes in</w:t>
      </w:r>
      <w:r>
        <w:rPr>
          <w:spacing w:val="-1"/>
          <w:sz w:val="24"/>
        </w:rPr>
        <w:t> </w:t>
      </w:r>
      <w:r>
        <w:rPr>
          <w:sz w:val="24"/>
        </w:rPr>
        <w:t>Scotland.</w:t>
      </w:r>
      <w:r>
        <w:rPr>
          <w:spacing w:val="1"/>
          <w:sz w:val="24"/>
        </w:rPr>
        <w:t> </w:t>
      </w:r>
      <w:r>
        <w:rPr>
          <w:i/>
          <w:sz w:val="24"/>
        </w:rPr>
        <w:t>Regional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Urban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, </w:t>
      </w:r>
      <w:r>
        <w:rPr>
          <w:i/>
          <w:sz w:val="24"/>
        </w:rPr>
        <w:t>49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286-297</w:t>
      </w:r>
    </w:p>
    <w:p>
      <w:pPr>
        <w:pStyle w:val="BodyText"/>
        <w:spacing w:before="161"/>
        <w:ind w:left="840" w:right="117" w:hanging="720"/>
        <w:jc w:val="both"/>
      </w:pPr>
      <w:r>
        <w:rPr/>
        <w:t>Blank, R. (2010). Global Regional and National causes of Child Mortality in 2008: A Systematic</w:t>
      </w:r>
      <w:r>
        <w:rPr>
          <w:spacing w:val="-57"/>
        </w:rPr>
        <w:t> </w:t>
      </w:r>
      <w:r>
        <w:rPr/>
        <w:t>Analysis.</w:t>
      </w:r>
      <w:r>
        <w:rPr>
          <w:spacing w:val="-1"/>
        </w:rPr>
        <w:t> </w:t>
      </w:r>
      <w:r>
        <w:rPr>
          <w:i/>
        </w:rPr>
        <w:t>Lancet, 37</w:t>
      </w:r>
      <w:r>
        <w:rPr/>
        <w:t>(5),</w:t>
      </w:r>
      <w:r>
        <w:rPr>
          <w:spacing w:val="2"/>
        </w:rPr>
        <w:t> </w:t>
      </w:r>
      <w:r>
        <w:rPr/>
        <w:t>1969-1987</w:t>
      </w:r>
    </w:p>
    <w:p>
      <w:pPr>
        <w:spacing w:before="159"/>
        <w:ind w:left="840" w:right="117" w:hanging="720"/>
        <w:jc w:val="both"/>
        <w:rPr>
          <w:sz w:val="24"/>
        </w:rPr>
      </w:pPr>
      <w:r>
        <w:rPr>
          <w:sz w:val="24"/>
        </w:rPr>
        <w:t>Blakely, T., &amp; Kawachi, I. (2001). What is the difference between controlling for mean versus</w:t>
      </w:r>
      <w:r>
        <w:rPr>
          <w:spacing w:val="1"/>
          <w:sz w:val="24"/>
        </w:rPr>
        <w:t> </w:t>
      </w:r>
      <w:r>
        <w:rPr>
          <w:sz w:val="24"/>
        </w:rPr>
        <w:t>median income in Income Inequality? </w:t>
      </w:r>
      <w:r>
        <w:rPr>
          <w:i/>
          <w:sz w:val="24"/>
        </w:rPr>
        <w:t>Epidemiology and Community Health Journal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55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352-353</w:t>
      </w:r>
    </w:p>
    <w:p>
      <w:pPr>
        <w:spacing w:before="161"/>
        <w:ind w:left="840" w:right="117" w:hanging="720"/>
        <w:jc w:val="both"/>
        <w:rPr>
          <w:sz w:val="24"/>
        </w:rPr>
      </w:pPr>
      <w:r>
        <w:rPr>
          <w:sz w:val="24"/>
        </w:rPr>
        <w:t>Blakely, T., Kennedy, B., Glass, R., &amp; Kawachi, I. (2000). What is the lag time between Income</w:t>
      </w:r>
      <w:r>
        <w:rPr>
          <w:spacing w:val="1"/>
          <w:sz w:val="24"/>
        </w:rPr>
        <w:t> </w:t>
      </w:r>
      <w:r>
        <w:rPr>
          <w:sz w:val="24"/>
        </w:rPr>
        <w:t>Inequality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4"/>
          <w:sz w:val="24"/>
        </w:rPr>
        <w:t> </w:t>
      </w:r>
      <w:r>
        <w:rPr>
          <w:sz w:val="24"/>
        </w:rPr>
        <w:t>Status?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Epidemiology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(4),</w:t>
      </w:r>
      <w:r>
        <w:rPr>
          <w:spacing w:val="-3"/>
          <w:sz w:val="24"/>
        </w:rPr>
        <w:t> </w:t>
      </w:r>
      <w:r>
        <w:rPr>
          <w:sz w:val="24"/>
        </w:rPr>
        <w:t>318-</w:t>
      </w:r>
      <w:r>
        <w:rPr>
          <w:spacing w:val="-58"/>
          <w:sz w:val="24"/>
        </w:rPr>
        <w:t> </w:t>
      </w:r>
      <w:r>
        <w:rPr>
          <w:sz w:val="24"/>
        </w:rPr>
        <w:t>319</w:t>
      </w:r>
    </w:p>
    <w:p>
      <w:pPr>
        <w:pStyle w:val="BodyText"/>
        <w:spacing w:before="161"/>
        <w:ind w:left="840" w:hanging="720"/>
      </w:pPr>
      <w:r>
        <w:rPr/>
        <w:t>Blakely,</w:t>
      </w:r>
      <w:r>
        <w:rPr>
          <w:spacing w:val="20"/>
        </w:rPr>
        <w:t> </w:t>
      </w:r>
      <w:r>
        <w:rPr/>
        <w:t>T.,</w:t>
      </w:r>
      <w:r>
        <w:rPr>
          <w:spacing w:val="23"/>
        </w:rPr>
        <w:t> </w:t>
      </w:r>
      <w:r>
        <w:rPr/>
        <w:t>Lochner,</w:t>
      </w:r>
      <w:r>
        <w:rPr>
          <w:spacing w:val="21"/>
        </w:rPr>
        <w:t> </w:t>
      </w:r>
      <w:r>
        <w:rPr/>
        <w:t>K.,</w:t>
      </w:r>
      <w:r>
        <w:rPr>
          <w:spacing w:val="24"/>
        </w:rPr>
        <w:t> </w:t>
      </w:r>
      <w:r>
        <w:rPr/>
        <w:t>&amp;</w:t>
      </w:r>
      <w:r>
        <w:rPr>
          <w:spacing w:val="20"/>
        </w:rPr>
        <w:t> </w:t>
      </w:r>
      <w:r>
        <w:rPr/>
        <w:t>Kawachi,</w:t>
      </w:r>
      <w:r>
        <w:rPr>
          <w:spacing w:val="24"/>
        </w:rPr>
        <w:t> </w:t>
      </w:r>
      <w:r>
        <w:rPr/>
        <w:t>I.</w:t>
      </w:r>
      <w:r>
        <w:rPr>
          <w:spacing w:val="21"/>
        </w:rPr>
        <w:t> </w:t>
      </w:r>
      <w:r>
        <w:rPr/>
        <w:t>(2002).</w:t>
      </w:r>
      <w:r>
        <w:rPr>
          <w:spacing w:val="22"/>
        </w:rPr>
        <w:t> </w:t>
      </w:r>
      <w:r>
        <w:rPr/>
        <w:t>Metropolitan</w:t>
      </w:r>
      <w:r>
        <w:rPr>
          <w:spacing w:val="21"/>
        </w:rPr>
        <w:t> </w:t>
      </w:r>
      <w:r>
        <w:rPr/>
        <w:t>area</w:t>
      </w:r>
      <w:r>
        <w:rPr>
          <w:spacing w:val="23"/>
        </w:rPr>
        <w:t> </w:t>
      </w:r>
      <w:r>
        <w:rPr/>
        <w:t>Income</w:t>
      </w:r>
      <w:r>
        <w:rPr>
          <w:spacing w:val="23"/>
        </w:rPr>
        <w:t> </w:t>
      </w:r>
      <w:r>
        <w:rPr/>
        <w:t>Inequality</w:t>
      </w:r>
      <w:r>
        <w:rPr>
          <w:spacing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self-</w:t>
      </w:r>
      <w:r>
        <w:rPr>
          <w:spacing w:val="-57"/>
        </w:rPr>
        <w:t> </w:t>
      </w:r>
      <w:r>
        <w:rPr/>
        <w:t>rated</w:t>
      </w:r>
      <w:r>
        <w:rPr>
          <w:spacing w:val="-1"/>
        </w:rPr>
        <w:t> </w:t>
      </w:r>
      <w:r>
        <w:rPr/>
        <w:t>Health—A Multi-level</w:t>
      </w:r>
      <w:r>
        <w:rPr>
          <w:spacing w:val="-1"/>
        </w:rPr>
        <w:t> </w:t>
      </w:r>
      <w:r>
        <w:rPr/>
        <w:t>Study. </w:t>
      </w:r>
      <w:r>
        <w:rPr>
          <w:i/>
        </w:rPr>
        <w:t>Social Science and Medicine,</w:t>
      </w:r>
      <w:r>
        <w:rPr>
          <w:i/>
          <w:spacing w:val="1"/>
        </w:rPr>
        <w:t> </w:t>
      </w:r>
      <w:r>
        <w:rPr>
          <w:i/>
        </w:rPr>
        <w:t>5</w:t>
      </w:r>
      <w:r>
        <w:rPr/>
        <w:t>(4),</w:t>
      </w:r>
      <w:r>
        <w:rPr>
          <w:spacing w:val="-1"/>
        </w:rPr>
        <w:t> </w:t>
      </w:r>
      <w:r>
        <w:rPr/>
        <w:t>65-77.</w:t>
      </w:r>
    </w:p>
    <w:p>
      <w:pPr>
        <w:spacing w:line="438" w:lineRule="exact" w:before="32"/>
        <w:ind w:left="120" w:right="119" w:firstLine="0"/>
        <w:jc w:val="left"/>
        <w:rPr>
          <w:sz w:val="24"/>
        </w:rPr>
      </w:pPr>
      <w:r>
        <w:rPr>
          <w:sz w:val="24"/>
        </w:rPr>
        <w:t>Bloom, D., &amp; Canning, E. (2000). The Health and Wealth of Nations, </w:t>
      </w:r>
      <w:r>
        <w:rPr>
          <w:i/>
          <w:sz w:val="24"/>
        </w:rPr>
        <w:t>Science</w:t>
      </w:r>
      <w:r>
        <w:rPr>
          <w:sz w:val="24"/>
        </w:rPr>
        <w:t>, </w:t>
      </w:r>
      <w:r>
        <w:rPr>
          <w:i/>
          <w:sz w:val="24"/>
        </w:rPr>
        <w:t>28</w:t>
      </w:r>
      <w:r>
        <w:rPr>
          <w:sz w:val="24"/>
        </w:rPr>
        <w:t>(7), 1207-1209</w:t>
      </w:r>
      <w:r>
        <w:rPr>
          <w:spacing w:val="1"/>
          <w:sz w:val="24"/>
        </w:rPr>
        <w:t> </w:t>
      </w:r>
      <w:r>
        <w:rPr>
          <w:sz w:val="24"/>
        </w:rPr>
        <w:t>Bloom,</w:t>
      </w:r>
      <w:r>
        <w:rPr>
          <w:spacing w:val="20"/>
          <w:sz w:val="24"/>
        </w:rPr>
        <w:t> </w:t>
      </w:r>
      <w:r>
        <w:rPr>
          <w:sz w:val="24"/>
        </w:rPr>
        <w:t>D.,</w:t>
      </w:r>
      <w:r>
        <w:rPr>
          <w:spacing w:val="23"/>
          <w:sz w:val="24"/>
        </w:rPr>
        <w:t> </w:t>
      </w:r>
      <w:r>
        <w:rPr>
          <w:sz w:val="24"/>
        </w:rPr>
        <w:t>&amp;</w:t>
      </w:r>
      <w:r>
        <w:rPr>
          <w:spacing w:val="18"/>
          <w:sz w:val="24"/>
        </w:rPr>
        <w:t> </w:t>
      </w:r>
      <w:r>
        <w:rPr>
          <w:sz w:val="24"/>
        </w:rPr>
        <w:t>Canning</w:t>
      </w:r>
      <w:r>
        <w:rPr>
          <w:spacing w:val="20"/>
          <w:sz w:val="24"/>
        </w:rPr>
        <w:t> </w:t>
      </w:r>
      <w:r>
        <w:rPr>
          <w:sz w:val="24"/>
        </w:rPr>
        <w:t>D.</w:t>
      </w:r>
      <w:r>
        <w:rPr>
          <w:spacing w:val="19"/>
          <w:sz w:val="24"/>
        </w:rPr>
        <w:t> </w:t>
      </w:r>
      <w:r>
        <w:rPr>
          <w:sz w:val="24"/>
        </w:rPr>
        <w:t>(2008).</w:t>
      </w:r>
      <w:r>
        <w:rPr>
          <w:spacing w:val="23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Growth</w:t>
      </w:r>
      <w:r>
        <w:rPr>
          <w:sz w:val="24"/>
        </w:rPr>
        <w:t>,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International</w:t>
      </w:r>
    </w:p>
    <w:p>
      <w:pPr>
        <w:pStyle w:val="BodyText"/>
        <w:spacing w:line="240" w:lineRule="exact"/>
        <w:ind w:left="840"/>
      </w:pPr>
      <w:r>
        <w:rPr/>
        <w:t>Bank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Reconstruction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Bank,</w:t>
      </w:r>
      <w:r>
        <w:rPr>
          <w:spacing w:val="-1"/>
        </w:rPr>
        <w:t> </w:t>
      </w:r>
      <w:r>
        <w:rPr/>
        <w:t>Washington</w:t>
      </w:r>
      <w:r>
        <w:rPr>
          <w:spacing w:val="-1"/>
        </w:rPr>
        <w:t> </w:t>
      </w:r>
      <w:r>
        <w:rPr/>
        <w:t>DC,</w:t>
      </w:r>
      <w:r>
        <w:rPr>
          <w:spacing w:val="-1"/>
        </w:rPr>
        <w:t> </w:t>
      </w:r>
      <w:r>
        <w:rPr/>
        <w:t>USA</w:t>
      </w:r>
    </w:p>
    <w:p>
      <w:pPr>
        <w:pStyle w:val="BodyText"/>
        <w:spacing w:before="158"/>
        <w:ind w:left="840" w:right="117" w:hanging="720"/>
        <w:jc w:val="both"/>
      </w:pPr>
      <w:r>
        <w:rPr/>
        <w:t>Bobak, M., Pikhart, H., Rose, R., Hertzman, C., &amp; Marmot, M. (2000). Socioeconomic Factors,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Inequalities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Self-Rated</w:t>
      </w:r>
      <w:r>
        <w:rPr>
          <w:spacing w:val="1"/>
        </w:rPr>
        <w:t> </w:t>
      </w:r>
      <w:r>
        <w:rPr/>
        <w:t>Health:</w:t>
      </w:r>
      <w:r>
        <w:rPr>
          <w:spacing w:val="1"/>
        </w:rPr>
        <w:t> </w:t>
      </w:r>
      <w:r>
        <w:rPr/>
        <w:t>Cross-sectional</w:t>
      </w:r>
      <w:r>
        <w:rPr>
          <w:spacing w:val="1"/>
        </w:rPr>
        <w:t> </w:t>
      </w:r>
      <w:r>
        <w:rPr/>
        <w:t>data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Medicine,</w:t>
      </w:r>
      <w:r>
        <w:rPr>
          <w:i/>
          <w:spacing w:val="-1"/>
        </w:rPr>
        <w:t> </w:t>
      </w:r>
      <w:r>
        <w:rPr>
          <w:i/>
        </w:rPr>
        <w:t>51</w:t>
      </w:r>
      <w:r>
        <w:rPr/>
        <w:t>(13), 43-50.</w:t>
      </w:r>
    </w:p>
    <w:p>
      <w:pPr>
        <w:pStyle w:val="BodyText"/>
        <w:spacing w:before="161"/>
        <w:ind w:left="840" w:hanging="720"/>
      </w:pPr>
      <w:r>
        <w:rPr/>
        <w:t>Boruchovitch,</w:t>
      </w:r>
      <w:r>
        <w:rPr>
          <w:spacing w:val="32"/>
        </w:rPr>
        <w:t> </w:t>
      </w:r>
      <w:r>
        <w:rPr/>
        <w:t>E.,</w:t>
      </w:r>
      <w:r>
        <w:rPr>
          <w:spacing w:val="35"/>
        </w:rPr>
        <w:t> </w:t>
      </w:r>
      <w:r>
        <w:rPr/>
        <w:t>&amp;</w:t>
      </w:r>
      <w:r>
        <w:rPr>
          <w:spacing w:val="30"/>
        </w:rPr>
        <w:t> </w:t>
      </w:r>
      <w:r>
        <w:rPr/>
        <w:t>Mednick,</w:t>
      </w:r>
      <w:r>
        <w:rPr>
          <w:spacing w:val="31"/>
        </w:rPr>
        <w:t> </w:t>
      </w:r>
      <w:r>
        <w:rPr/>
        <w:t>B.R.</w:t>
      </w:r>
      <w:r>
        <w:rPr>
          <w:spacing w:val="32"/>
        </w:rPr>
        <w:t> </w:t>
      </w:r>
      <w:r>
        <w:rPr/>
        <w:t>(2014).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Meaning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Health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Illness:</w:t>
      </w:r>
      <w:r>
        <w:rPr>
          <w:spacing w:val="33"/>
        </w:rPr>
        <w:t> </w:t>
      </w:r>
      <w:r>
        <w:rPr/>
        <w:t>Some</w:t>
      </w:r>
      <w:r>
        <w:rPr>
          <w:spacing w:val="-57"/>
        </w:rPr>
        <w:t> </w:t>
      </w:r>
      <w:r>
        <w:rPr/>
        <w:t>Considerations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Health Psychology.</w:t>
      </w:r>
      <w:r>
        <w:rPr>
          <w:spacing w:val="2"/>
        </w:rPr>
        <w:t> </w:t>
      </w:r>
      <w:r>
        <w:rPr>
          <w:i/>
        </w:rPr>
        <w:t>Psico-USF, 7</w:t>
      </w:r>
      <w:r>
        <w:rPr/>
        <w:t>(2), 175-183</w:t>
      </w:r>
    </w:p>
    <w:p>
      <w:pPr>
        <w:spacing w:before="161"/>
        <w:ind w:left="840" w:right="119" w:hanging="720"/>
        <w:jc w:val="left"/>
        <w:rPr>
          <w:sz w:val="24"/>
        </w:rPr>
      </w:pPr>
      <w:r>
        <w:rPr>
          <w:sz w:val="24"/>
        </w:rPr>
        <w:t>Bourguignon,</w:t>
      </w:r>
      <w:r>
        <w:rPr>
          <w:spacing w:val="-10"/>
          <w:sz w:val="24"/>
        </w:rPr>
        <w:t> </w:t>
      </w:r>
      <w:r>
        <w:rPr>
          <w:sz w:val="24"/>
        </w:rPr>
        <w:t>F.</w:t>
      </w:r>
      <w:r>
        <w:rPr>
          <w:spacing w:val="-12"/>
          <w:sz w:val="24"/>
        </w:rPr>
        <w:t> </w:t>
      </w:r>
      <w:r>
        <w:rPr>
          <w:sz w:val="24"/>
        </w:rPr>
        <w:t>(2004),</w:t>
      </w:r>
      <w:r>
        <w:rPr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Poverty-Growth-Inequality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Triangle.</w:t>
      </w:r>
      <w:r>
        <w:rPr>
          <w:i/>
          <w:spacing w:val="-10"/>
          <w:sz w:val="24"/>
        </w:rPr>
        <w:t> </w:t>
      </w:r>
      <w:r>
        <w:rPr>
          <w:sz w:val="24"/>
        </w:rPr>
        <w:t>Indian</w:t>
      </w:r>
      <w:r>
        <w:rPr>
          <w:spacing w:val="-10"/>
          <w:sz w:val="24"/>
        </w:rPr>
        <w:t> </w:t>
      </w:r>
      <w:r>
        <w:rPr>
          <w:sz w:val="24"/>
        </w:rPr>
        <w:t>Council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Research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Economic,</w:t>
      </w:r>
      <w:r>
        <w:rPr>
          <w:spacing w:val="2"/>
          <w:sz w:val="24"/>
        </w:rPr>
        <w:t> </w:t>
      </w:r>
      <w:r>
        <w:rPr>
          <w:sz w:val="24"/>
        </w:rPr>
        <w:t>New Delhi,</w:t>
      </w:r>
      <w:r>
        <w:rPr>
          <w:spacing w:val="2"/>
          <w:sz w:val="24"/>
        </w:rPr>
        <w:t> </w:t>
      </w:r>
      <w:r>
        <w:rPr>
          <w:sz w:val="24"/>
        </w:rPr>
        <w:t>India</w:t>
      </w:r>
    </w:p>
    <w:p>
      <w:pPr>
        <w:pStyle w:val="BodyText"/>
        <w:spacing w:before="159"/>
        <w:ind w:left="840" w:right="123" w:hanging="720"/>
      </w:pPr>
      <w:r>
        <w:rPr/>
        <w:t>Boyd,</w:t>
      </w:r>
      <w:r>
        <w:rPr>
          <w:spacing w:val="9"/>
        </w:rPr>
        <w:t> </w:t>
      </w:r>
      <w:r>
        <w:rPr/>
        <w:t>K.M.</w:t>
      </w:r>
      <w:r>
        <w:rPr>
          <w:spacing w:val="12"/>
        </w:rPr>
        <w:t> </w:t>
      </w:r>
      <w:r>
        <w:rPr/>
        <w:t>(2000).</w:t>
      </w:r>
      <w:r>
        <w:rPr>
          <w:spacing w:val="12"/>
        </w:rPr>
        <w:t> </w:t>
      </w:r>
      <w:r>
        <w:rPr/>
        <w:t>Disease,</w:t>
      </w:r>
      <w:r>
        <w:rPr>
          <w:spacing w:val="13"/>
        </w:rPr>
        <w:t> </w:t>
      </w:r>
      <w:r>
        <w:rPr/>
        <w:t>Illness,</w:t>
      </w:r>
      <w:r>
        <w:rPr>
          <w:spacing w:val="13"/>
        </w:rPr>
        <w:t> </w:t>
      </w:r>
      <w:r>
        <w:rPr/>
        <w:t>Sickness,</w:t>
      </w:r>
      <w:r>
        <w:rPr>
          <w:spacing w:val="11"/>
        </w:rPr>
        <w:t> </w:t>
      </w:r>
      <w:r>
        <w:rPr/>
        <w:t>Health,</w:t>
      </w:r>
      <w:r>
        <w:rPr>
          <w:spacing w:val="10"/>
        </w:rPr>
        <w:t> </w:t>
      </w:r>
      <w:r>
        <w:rPr/>
        <w:t>healing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Wholeness:</w:t>
      </w:r>
      <w:r>
        <w:rPr>
          <w:spacing w:val="11"/>
        </w:rPr>
        <w:t> </w:t>
      </w:r>
      <w:r>
        <w:rPr/>
        <w:t>Exploring</w:t>
      </w:r>
      <w:r>
        <w:rPr>
          <w:spacing w:val="8"/>
        </w:rPr>
        <w:t> </w:t>
      </w:r>
      <w:r>
        <w:rPr/>
        <w:t>Some</w:t>
      </w:r>
      <w:r>
        <w:rPr>
          <w:spacing w:val="-57"/>
        </w:rPr>
        <w:t> </w:t>
      </w:r>
      <w:r>
        <w:rPr/>
        <w:t>Elusive</w:t>
      </w:r>
      <w:r>
        <w:rPr>
          <w:spacing w:val="-2"/>
        </w:rPr>
        <w:t> </w:t>
      </w:r>
      <w:r>
        <w:rPr/>
        <w:t>Concepts.</w:t>
      </w:r>
      <w:r>
        <w:rPr>
          <w:spacing w:val="1"/>
        </w:rPr>
        <w:t> </w:t>
      </w:r>
      <w:r>
        <w:rPr>
          <w:i/>
        </w:rPr>
        <w:t>Medical Humanities</w:t>
      </w:r>
      <w:r>
        <w:rPr/>
        <w:t>, </w:t>
      </w:r>
      <w:r>
        <w:rPr>
          <w:i/>
        </w:rPr>
        <w:t>2</w:t>
      </w:r>
      <w:r>
        <w:rPr/>
        <w:t>(6),</w:t>
      </w:r>
      <w:r>
        <w:rPr>
          <w:spacing w:val="-1"/>
        </w:rPr>
        <w:t> </w:t>
      </w:r>
      <w:r>
        <w:rPr/>
        <w:t>9-17</w:t>
      </w:r>
    </w:p>
    <w:p>
      <w:pPr>
        <w:spacing w:before="161"/>
        <w:ind w:left="840" w:right="118" w:hanging="720"/>
        <w:jc w:val="left"/>
        <w:rPr>
          <w:sz w:val="24"/>
        </w:rPr>
      </w:pPr>
      <w:r>
        <w:rPr>
          <w:sz w:val="24"/>
        </w:rPr>
        <w:t>Bricker,</w:t>
      </w:r>
      <w:r>
        <w:rPr>
          <w:spacing w:val="-7"/>
          <w:sz w:val="24"/>
        </w:rPr>
        <w:t> </w:t>
      </w:r>
      <w:r>
        <w:rPr>
          <w:sz w:val="24"/>
        </w:rPr>
        <w:t>J.,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Krimmel,</w:t>
      </w:r>
      <w:r>
        <w:rPr>
          <w:spacing w:val="-6"/>
          <w:sz w:val="24"/>
        </w:rPr>
        <w:t> </w:t>
      </w:r>
      <w:r>
        <w:rPr>
          <w:sz w:val="24"/>
        </w:rPr>
        <w:t>J.,</w:t>
      </w:r>
      <w:r>
        <w:rPr>
          <w:spacing w:val="-5"/>
          <w:sz w:val="24"/>
        </w:rPr>
        <w:t> </w:t>
      </w:r>
      <w:r>
        <w:rPr>
          <w:sz w:val="24"/>
        </w:rPr>
        <w:t>(2014).</w:t>
      </w:r>
      <w:r>
        <w:rPr>
          <w:spacing w:val="-7"/>
          <w:sz w:val="24"/>
        </w:rPr>
        <w:t> </w:t>
      </w:r>
      <w:r>
        <w:rPr>
          <w:i/>
          <w:sz w:val="24"/>
        </w:rPr>
        <w:t>Signaling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Status: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Relative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Household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Consumption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Financial Decisions. </w:t>
      </w:r>
      <w:r>
        <w:rPr>
          <w:sz w:val="24"/>
        </w:rPr>
        <w:t>Finance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Economics Discussion</w:t>
      </w:r>
      <w:r>
        <w:rPr>
          <w:spacing w:val="-1"/>
          <w:sz w:val="24"/>
        </w:rPr>
        <w:t> </w:t>
      </w:r>
      <w:r>
        <w:rPr>
          <w:sz w:val="24"/>
        </w:rPr>
        <w:t>Series</w:t>
      </w:r>
      <w:r>
        <w:rPr>
          <w:spacing w:val="-1"/>
          <w:sz w:val="24"/>
        </w:rPr>
        <w:t> </w:t>
      </w:r>
      <w:r>
        <w:rPr>
          <w:sz w:val="24"/>
        </w:rPr>
        <w:t>76</w:t>
      </w:r>
    </w:p>
    <w:p>
      <w:pPr>
        <w:spacing w:before="161"/>
        <w:ind w:left="840" w:right="0" w:hanging="720"/>
        <w:jc w:val="left"/>
        <w:rPr>
          <w:sz w:val="24"/>
        </w:rPr>
      </w:pPr>
      <w:r>
        <w:rPr>
          <w:sz w:val="24"/>
        </w:rPr>
        <w:t>Brockway,</w:t>
      </w:r>
      <w:r>
        <w:rPr>
          <w:spacing w:val="-4"/>
          <w:sz w:val="24"/>
        </w:rPr>
        <w:t> </w:t>
      </w:r>
      <w:r>
        <w:rPr>
          <w:sz w:val="24"/>
        </w:rPr>
        <w:t>N.,</w:t>
      </w:r>
      <w:r>
        <w:rPr>
          <w:spacing w:val="-4"/>
          <w:sz w:val="24"/>
        </w:rPr>
        <w:t> </w:t>
      </w:r>
      <w:r>
        <w:rPr>
          <w:sz w:val="24"/>
        </w:rPr>
        <w:t>Kallay,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Malone,</w:t>
      </w:r>
      <w:r>
        <w:rPr>
          <w:spacing w:val="-4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(2014).</w:t>
      </w:r>
      <w:r>
        <w:rPr>
          <w:spacing w:val="-5"/>
          <w:sz w:val="24"/>
        </w:rPr>
        <w:t> </w:t>
      </w:r>
      <w:r>
        <w:rPr>
          <w:i/>
          <w:sz w:val="24"/>
        </w:rPr>
        <w:t>Low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Assistance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Synapse</w:t>
      </w:r>
      <w:r>
        <w:rPr>
          <w:spacing w:val="-57"/>
          <w:sz w:val="24"/>
        </w:rPr>
        <w:t> </w:t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Economics</w:t>
      </w:r>
      <w:r>
        <w:rPr>
          <w:spacing w:val="4"/>
          <w:sz w:val="24"/>
        </w:rPr>
        <w:t> </w:t>
      </w:r>
      <w:r>
        <w:rPr>
          <w:sz w:val="24"/>
        </w:rPr>
        <w:t>Inc.,</w:t>
      </w:r>
      <w:r>
        <w:rPr>
          <w:spacing w:val="2"/>
          <w:sz w:val="24"/>
        </w:rPr>
        <w:t> </w:t>
      </w:r>
      <w:r>
        <w:rPr>
          <w:sz w:val="24"/>
        </w:rPr>
        <w:t>Cambridge,</w:t>
      </w:r>
      <w:r>
        <w:rPr>
          <w:spacing w:val="2"/>
          <w:sz w:val="24"/>
        </w:rPr>
        <w:t> </w:t>
      </w:r>
      <w:r>
        <w:rPr>
          <w:sz w:val="24"/>
        </w:rPr>
        <w:t>United Kingdom</w:t>
      </w:r>
    </w:p>
    <w:p>
      <w:pPr>
        <w:pStyle w:val="BodyText"/>
        <w:spacing w:before="158"/>
        <w:ind w:left="840" w:right="115" w:hanging="720"/>
      </w:pPr>
      <w:r>
        <w:rPr/>
        <w:t>Buckler,</w:t>
      </w:r>
      <w:r>
        <w:rPr>
          <w:spacing w:val="9"/>
        </w:rPr>
        <w:t> </w:t>
      </w:r>
      <w:r>
        <w:rPr/>
        <w:t>K.,</w:t>
      </w:r>
      <w:r>
        <w:rPr>
          <w:spacing w:val="10"/>
        </w:rPr>
        <w:t> </w:t>
      </w:r>
      <w:r>
        <w:rPr/>
        <w:t>Hagemann,</w:t>
      </w:r>
      <w:r>
        <w:rPr>
          <w:spacing w:val="14"/>
        </w:rPr>
        <w:t> </w:t>
      </w:r>
      <w:r>
        <w:rPr/>
        <w:t>A.,</w:t>
      </w:r>
      <w:r>
        <w:rPr>
          <w:spacing w:val="10"/>
        </w:rPr>
        <w:t> </w:t>
      </w:r>
      <w:r>
        <w:rPr/>
        <w:t>Malamud,</w:t>
      </w:r>
      <w:r>
        <w:rPr>
          <w:spacing w:val="9"/>
        </w:rPr>
        <w:t> </w:t>
      </w:r>
      <w:r>
        <w:rPr/>
        <w:t>O.,</w:t>
      </w:r>
      <w:r>
        <w:rPr>
          <w:spacing w:val="10"/>
        </w:rPr>
        <w:t> </w:t>
      </w:r>
      <w:r>
        <w:rPr/>
        <w:t>Morill,</w:t>
      </w:r>
      <w:r>
        <w:rPr>
          <w:spacing w:val="9"/>
        </w:rPr>
        <w:t> </w:t>
      </w:r>
      <w:r>
        <w:rPr/>
        <w:t>M.,</w:t>
      </w:r>
      <w:r>
        <w:rPr>
          <w:spacing w:val="11"/>
        </w:rPr>
        <w:t> </w:t>
      </w:r>
      <w:r>
        <w:rPr/>
        <w:t>&amp;</w:t>
      </w:r>
      <w:r>
        <w:rPr>
          <w:spacing w:val="9"/>
        </w:rPr>
        <w:t> </w:t>
      </w:r>
      <w:r>
        <w:rPr/>
        <w:t>Woznick,</w:t>
      </w:r>
      <w:r>
        <w:rPr>
          <w:spacing w:val="9"/>
        </w:rPr>
        <w:t> </w:t>
      </w:r>
      <w:r>
        <w:rPr/>
        <w:t>A.</w:t>
      </w:r>
      <w:r>
        <w:rPr>
          <w:spacing w:val="10"/>
        </w:rPr>
        <w:t> </w:t>
      </w:r>
      <w:r>
        <w:rPr/>
        <w:t>(2016).</w:t>
      </w:r>
      <w:r>
        <w:rPr>
          <w:spacing w:val="10"/>
        </w:rPr>
        <w:t> </w:t>
      </w:r>
      <w:r>
        <w:rPr/>
        <w:t>Effect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College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on Mortality.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Health Economics</w:t>
      </w:r>
      <w:r>
        <w:rPr/>
        <w:t>, </w:t>
      </w:r>
      <w:r>
        <w:rPr>
          <w:i/>
        </w:rPr>
        <w:t>50</w:t>
      </w:r>
      <w:r>
        <w:rPr/>
        <w:t>, 99-114</w:t>
      </w:r>
    </w:p>
    <w:p>
      <w:pPr>
        <w:spacing w:after="0"/>
        <w:sectPr>
          <w:pgSz w:w="12240" w:h="15840"/>
          <w:pgMar w:header="0" w:footer="935" w:top="1360" w:bottom="1200" w:left="1320" w:right="1320"/>
        </w:sectPr>
      </w:pPr>
    </w:p>
    <w:p>
      <w:pPr>
        <w:spacing w:before="72"/>
        <w:ind w:left="840" w:right="115" w:hanging="720"/>
        <w:jc w:val="both"/>
        <w:rPr>
          <w:sz w:val="24"/>
        </w:rPr>
      </w:pPr>
      <w:r>
        <w:rPr>
          <w:sz w:val="24"/>
        </w:rPr>
        <w:t>Cai,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Kalb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Force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Older</w:t>
      </w:r>
      <w:r>
        <w:rPr>
          <w:spacing w:val="1"/>
          <w:sz w:val="24"/>
        </w:rPr>
        <w:t> </w:t>
      </w:r>
      <w:r>
        <w:rPr>
          <w:sz w:val="24"/>
        </w:rPr>
        <w:t>Working-age</w:t>
      </w:r>
      <w:r>
        <w:rPr>
          <w:spacing w:val="-57"/>
          <w:sz w:val="24"/>
        </w:rPr>
        <w:t> </w:t>
      </w:r>
      <w:r>
        <w:rPr>
          <w:sz w:val="24"/>
        </w:rPr>
        <w:t>Australian</w:t>
      </w:r>
      <w:r>
        <w:rPr>
          <w:spacing w:val="-1"/>
          <w:sz w:val="24"/>
        </w:rPr>
        <w:t> </w:t>
      </w:r>
      <w:r>
        <w:rPr>
          <w:sz w:val="24"/>
        </w:rPr>
        <w:t>Men, </w:t>
      </w:r>
      <w:r>
        <w:rPr>
          <w:i/>
          <w:sz w:val="24"/>
        </w:rPr>
        <w:t>Melbourne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Working Paper</w:t>
      </w:r>
      <w:r>
        <w:rPr>
          <w:i/>
          <w:spacing w:val="2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9/05</w:t>
      </w:r>
    </w:p>
    <w:p>
      <w:pPr>
        <w:pStyle w:val="BodyText"/>
        <w:spacing w:before="161"/>
        <w:ind w:left="840" w:right="116" w:hanging="720"/>
        <w:jc w:val="both"/>
      </w:pPr>
      <w:r>
        <w:rPr/>
        <w:t>Carvellati, M., &amp; Sunde, U. (2011). Disease and Development: The Role of Life Expectancy</w:t>
      </w:r>
      <w:r>
        <w:rPr>
          <w:spacing w:val="1"/>
        </w:rPr>
        <w:t> </w:t>
      </w:r>
      <w:r>
        <w:rPr/>
        <w:t>Reconsidered.</w:t>
      </w:r>
      <w:r>
        <w:rPr>
          <w:spacing w:val="16"/>
        </w:rPr>
        <w:t> </w:t>
      </w:r>
      <w:r>
        <w:rPr>
          <w:i/>
        </w:rPr>
        <w:t>Economic</w:t>
      </w:r>
      <w:r>
        <w:rPr>
          <w:i/>
          <w:spacing w:val="-1"/>
        </w:rPr>
        <w:t> </w:t>
      </w:r>
      <w:r>
        <w:rPr>
          <w:i/>
        </w:rPr>
        <w:t>Letters</w:t>
      </w:r>
      <w:r>
        <w:rPr/>
        <w:t>, </w:t>
      </w:r>
      <w:r>
        <w:rPr>
          <w:i/>
        </w:rPr>
        <w:t>113</w:t>
      </w:r>
      <w:r>
        <w:rPr/>
        <w:t>(3), 267-272</w:t>
      </w:r>
    </w:p>
    <w:p>
      <w:pPr>
        <w:pStyle w:val="BodyText"/>
        <w:spacing w:before="158"/>
        <w:ind w:left="840" w:right="118" w:hanging="720"/>
        <w:jc w:val="both"/>
      </w:pPr>
      <w:r>
        <w:rPr/>
        <w:t>Cerda, M., Johnson-Lawrence, V.D., &amp; Galea, S. (2011). Lifetime Income patterns and Alcohol</w:t>
      </w:r>
      <w:r>
        <w:rPr>
          <w:spacing w:val="1"/>
        </w:rPr>
        <w:t> </w:t>
      </w:r>
      <w:r>
        <w:rPr/>
        <w:t>consumption: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Long-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trajectories</w:t>
      </w:r>
      <w:r>
        <w:rPr>
          <w:spacing w:val="1"/>
        </w:rPr>
        <w:t> </w:t>
      </w:r>
      <w:r>
        <w:rPr/>
        <w:t>and drinking.</w:t>
      </w:r>
      <w:r>
        <w:rPr>
          <w:spacing w:val="2"/>
        </w:rPr>
        <w:t> </w:t>
      </w:r>
      <w:r>
        <w:rPr>
          <w:i/>
        </w:rPr>
        <w:t>Social Science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Medicine</w:t>
      </w:r>
      <w:r>
        <w:rPr/>
        <w:t>, </w:t>
      </w:r>
      <w:r>
        <w:rPr>
          <w:i/>
        </w:rPr>
        <w:t>73</w:t>
      </w:r>
      <w:r>
        <w:rPr/>
        <w:t>(8),</w:t>
      </w:r>
      <w:r>
        <w:rPr>
          <w:spacing w:val="-1"/>
        </w:rPr>
        <w:t> </w:t>
      </w:r>
      <w:r>
        <w:rPr/>
        <w:t>1178-1185</w:t>
      </w:r>
    </w:p>
    <w:p>
      <w:pPr>
        <w:pStyle w:val="BodyText"/>
        <w:spacing w:before="161"/>
        <w:ind w:left="840" w:right="121" w:hanging="720"/>
        <w:jc w:val="both"/>
      </w:pPr>
      <w:r>
        <w:rPr/>
        <w:t>Chandra</w:t>
      </w:r>
      <w:r>
        <w:rPr>
          <w:spacing w:val="-6"/>
        </w:rPr>
        <w:t> </w:t>
      </w:r>
      <w:r>
        <w:rPr/>
        <w:t>S.J.,</w:t>
      </w:r>
      <w:r>
        <w:rPr>
          <w:spacing w:val="-3"/>
        </w:rPr>
        <w:t> </w:t>
      </w:r>
      <w:r>
        <w:rPr/>
        <w:t>Kinda</w:t>
      </w:r>
      <w:r>
        <w:rPr>
          <w:spacing w:val="-4"/>
        </w:rPr>
        <w:t> </w:t>
      </w:r>
      <w:r>
        <w:rPr/>
        <w:t>T.,</w:t>
      </w:r>
      <w:r>
        <w:rPr>
          <w:spacing w:val="1"/>
        </w:rPr>
        <w:t> </w:t>
      </w:r>
      <w:r>
        <w:rPr/>
        <w:t>Kochhar,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Piao</w:t>
      </w:r>
      <w:r>
        <w:rPr>
          <w:spacing w:val="-3"/>
        </w:rPr>
        <w:t> </w:t>
      </w:r>
      <w:r>
        <w:rPr/>
        <w:t>S., &amp;</w:t>
      </w:r>
      <w:r>
        <w:rPr>
          <w:spacing w:val="-2"/>
        </w:rPr>
        <w:t> </w:t>
      </w:r>
      <w:r>
        <w:rPr/>
        <w:t>Schauer</w:t>
      </w:r>
      <w:r>
        <w:rPr>
          <w:spacing w:val="-1"/>
        </w:rPr>
        <w:t> </w:t>
      </w:r>
      <w:r>
        <w:rPr/>
        <w:t>J.</w:t>
      </w:r>
      <w:r>
        <w:rPr>
          <w:spacing w:val="-4"/>
        </w:rPr>
        <w:t> </w:t>
      </w:r>
      <w:r>
        <w:rPr/>
        <w:t>(2016).</w:t>
      </w:r>
      <w:r>
        <w:rPr>
          <w:spacing w:val="-4"/>
        </w:rPr>
        <w:t> </w:t>
      </w:r>
      <w:r>
        <w:rPr/>
        <w:t>Sharing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Growth</w:t>
      </w:r>
      <w:r>
        <w:rPr>
          <w:spacing w:val="-2"/>
        </w:rPr>
        <w:t> </w:t>
      </w:r>
      <w:r>
        <w:rPr/>
        <w:t>Dividend:</w:t>
      </w:r>
      <w:r>
        <w:rPr>
          <w:spacing w:val="-57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Asia.</w:t>
      </w:r>
      <w:r>
        <w:rPr>
          <w:spacing w:val="1"/>
        </w:rPr>
        <w:t> </w:t>
      </w:r>
      <w:r>
        <w:rPr>
          <w:i/>
        </w:rPr>
        <w:t>IMF</w:t>
      </w:r>
      <w:r>
        <w:rPr>
          <w:i/>
          <w:spacing w:val="1"/>
        </w:rPr>
        <w:t> </w:t>
      </w:r>
      <w:r>
        <w:rPr>
          <w:i/>
        </w:rPr>
        <w:t>Working Paper,</w:t>
      </w:r>
      <w:r>
        <w:rPr>
          <w:i/>
          <w:spacing w:val="1"/>
        </w:rPr>
        <w:t> </w:t>
      </w:r>
      <w:r>
        <w:rPr/>
        <w:t>WP/16/48</w:t>
      </w:r>
    </w:p>
    <w:p>
      <w:pPr>
        <w:pStyle w:val="BodyText"/>
        <w:spacing w:before="161"/>
        <w:ind w:left="120"/>
      </w:pPr>
      <w:r>
        <w:rPr/>
        <w:t>Charles-Coll</w:t>
      </w:r>
      <w:r>
        <w:rPr>
          <w:spacing w:val="-9"/>
        </w:rPr>
        <w:t> </w:t>
      </w:r>
      <w:r>
        <w:rPr/>
        <w:t>J.A.</w:t>
      </w:r>
      <w:r>
        <w:rPr>
          <w:spacing w:val="-10"/>
        </w:rPr>
        <w:t> </w:t>
      </w:r>
      <w:r>
        <w:rPr/>
        <w:t>(2011).</w:t>
      </w:r>
      <w:r>
        <w:rPr>
          <w:spacing w:val="-10"/>
        </w:rPr>
        <w:t> </w:t>
      </w:r>
      <w:r>
        <w:rPr/>
        <w:t>Understanding</w:t>
      </w:r>
      <w:r>
        <w:rPr>
          <w:spacing w:val="-9"/>
        </w:rPr>
        <w:t> </w:t>
      </w:r>
      <w:r>
        <w:rPr/>
        <w:t>Income</w:t>
      </w:r>
      <w:r>
        <w:rPr>
          <w:spacing w:val="-8"/>
        </w:rPr>
        <w:t> </w:t>
      </w:r>
      <w:r>
        <w:rPr/>
        <w:t>Inequalities:</w:t>
      </w:r>
      <w:r>
        <w:rPr>
          <w:spacing w:val="-9"/>
        </w:rPr>
        <w:t> </w:t>
      </w:r>
      <w:r>
        <w:rPr/>
        <w:t>Concept,</w:t>
      </w:r>
      <w:r>
        <w:rPr>
          <w:spacing w:val="-9"/>
        </w:rPr>
        <w:t> </w:t>
      </w:r>
      <w:r>
        <w:rPr/>
        <w:t>Causes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Measurement.</w:t>
      </w:r>
    </w:p>
    <w:p>
      <w:pPr>
        <w:spacing w:before="1"/>
        <w:ind w:left="840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(3), 17-28</w:t>
      </w:r>
    </w:p>
    <w:p>
      <w:pPr>
        <w:spacing w:before="158"/>
        <w:ind w:left="840" w:right="120" w:hanging="720"/>
        <w:jc w:val="both"/>
        <w:rPr>
          <w:sz w:val="24"/>
        </w:rPr>
      </w:pPr>
      <w:r>
        <w:rPr>
          <w:sz w:val="24"/>
        </w:rPr>
        <w:t>Cheong, T., &amp; Wu, Y. (2016). </w:t>
      </w:r>
      <w:r>
        <w:rPr>
          <w:i/>
          <w:sz w:val="24"/>
        </w:rPr>
        <w:t>Inequality and Crime Rates in China</w:t>
      </w:r>
      <w:r>
        <w:rPr>
          <w:sz w:val="24"/>
        </w:rPr>
        <w:t>. The University of Western</w:t>
      </w:r>
      <w:r>
        <w:rPr>
          <w:spacing w:val="1"/>
          <w:sz w:val="24"/>
        </w:rPr>
        <w:t> </w:t>
      </w:r>
      <w:r>
        <w:rPr>
          <w:sz w:val="24"/>
        </w:rPr>
        <w:t>Australia.</w:t>
      </w:r>
      <w:r>
        <w:rPr>
          <w:spacing w:val="-1"/>
          <w:sz w:val="24"/>
        </w:rPr>
        <w:t> </w:t>
      </w:r>
      <w:r>
        <w:rPr>
          <w:sz w:val="24"/>
        </w:rPr>
        <w:t>Discussion Paper 1311</w:t>
      </w:r>
    </w:p>
    <w:p>
      <w:pPr>
        <w:spacing w:before="161"/>
        <w:ind w:left="840" w:right="122" w:hanging="720"/>
        <w:jc w:val="both"/>
        <w:rPr>
          <w:sz w:val="24"/>
        </w:rPr>
      </w:pPr>
      <w:r>
        <w:rPr>
          <w:sz w:val="24"/>
        </w:rPr>
        <w:t>Chima, O. (2016). </w:t>
      </w:r>
      <w:r>
        <w:rPr>
          <w:i/>
          <w:sz w:val="24"/>
        </w:rPr>
        <w:t>Report: Income Inequality Skewed Wealth, Resources to Pockets of 20%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Nigerians. </w:t>
      </w:r>
      <w:r>
        <w:rPr>
          <w:sz w:val="24"/>
        </w:rPr>
        <w:t>This Day</w:t>
      </w:r>
      <w:r>
        <w:rPr>
          <w:spacing w:val="-5"/>
          <w:sz w:val="24"/>
        </w:rPr>
        <w:t> </w:t>
      </w:r>
      <w:r>
        <w:rPr>
          <w:sz w:val="24"/>
        </w:rPr>
        <w:t>Newspaper of June</w:t>
      </w:r>
      <w:r>
        <w:rPr>
          <w:spacing w:val="-1"/>
          <w:sz w:val="24"/>
        </w:rPr>
        <w:t> </w:t>
      </w:r>
      <w:r>
        <w:rPr>
          <w:sz w:val="24"/>
        </w:rPr>
        <w:t>22, 2016</w:t>
      </w:r>
    </w:p>
    <w:p>
      <w:pPr>
        <w:spacing w:before="161"/>
        <w:ind w:left="840" w:right="117" w:hanging="720"/>
        <w:jc w:val="both"/>
        <w:rPr>
          <w:sz w:val="24"/>
        </w:rPr>
      </w:pPr>
      <w:r>
        <w:rPr>
          <w:sz w:val="24"/>
        </w:rPr>
        <w:t>Chong, A., &amp; Calderon, C. (2000). Institutional Quality and Income Distribution.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Cultural Change,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48</w:t>
      </w:r>
      <w:r>
        <w:rPr>
          <w:sz w:val="24"/>
        </w:rPr>
        <w:t>(4), 761-786</w:t>
      </w:r>
    </w:p>
    <w:p>
      <w:pPr>
        <w:pStyle w:val="BodyText"/>
        <w:spacing w:before="158"/>
        <w:ind w:left="840" w:right="115" w:hanging="720"/>
        <w:jc w:val="both"/>
      </w:pPr>
      <w:r>
        <w:rPr/>
        <w:t>Cingano, F. (2014). Trends in Income Inequality and its impacts on Economic Growth, OECD</w:t>
      </w:r>
      <w:r>
        <w:rPr>
          <w:spacing w:val="1"/>
        </w:rPr>
        <w:t> </w:t>
      </w:r>
      <w:r>
        <w:rPr/>
        <w:t>Social,</w:t>
      </w:r>
      <w:r>
        <w:rPr>
          <w:spacing w:val="-2"/>
        </w:rPr>
        <w:t> </w:t>
      </w:r>
      <w:r>
        <w:rPr/>
        <w:t>Employment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Migration, </w:t>
      </w:r>
      <w:r>
        <w:rPr>
          <w:i/>
        </w:rPr>
        <w:t>OECD Working</w:t>
      </w:r>
      <w:r>
        <w:rPr>
          <w:i/>
          <w:spacing w:val="-1"/>
        </w:rPr>
        <w:t> </w:t>
      </w:r>
      <w:r>
        <w:rPr>
          <w:i/>
        </w:rPr>
        <w:t>Papers</w:t>
      </w:r>
      <w:r>
        <w:rPr/>
        <w:t>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163,</w:t>
      </w:r>
      <w:r>
        <w:rPr>
          <w:spacing w:val="-2"/>
        </w:rPr>
        <w:t> </w:t>
      </w:r>
      <w:r>
        <w:rPr/>
        <w:t>OECD</w:t>
      </w:r>
      <w:r>
        <w:rPr>
          <w:spacing w:val="-1"/>
        </w:rPr>
        <w:t> </w:t>
      </w:r>
      <w:r>
        <w:rPr/>
        <w:t>Publishing</w:t>
      </w:r>
    </w:p>
    <w:p>
      <w:pPr>
        <w:pStyle w:val="BodyText"/>
        <w:spacing w:before="161"/>
        <w:ind w:left="120"/>
      </w:pPr>
      <w:r>
        <w:rPr/>
        <w:t>Clements,</w:t>
      </w:r>
      <w:r>
        <w:rPr>
          <w:spacing w:val="15"/>
        </w:rPr>
        <w:t> </w:t>
      </w:r>
      <w:r>
        <w:rPr/>
        <w:t>B.,</w:t>
      </w:r>
      <w:r>
        <w:rPr>
          <w:spacing w:val="15"/>
        </w:rPr>
        <w:t> </w:t>
      </w:r>
      <w:r>
        <w:rPr/>
        <w:t>Gaspar,</w:t>
      </w:r>
      <w:r>
        <w:rPr>
          <w:spacing w:val="14"/>
        </w:rPr>
        <w:t> </w:t>
      </w:r>
      <w:r>
        <w:rPr/>
        <w:t>V.,</w:t>
      </w:r>
      <w:r>
        <w:rPr>
          <w:spacing w:val="15"/>
        </w:rPr>
        <w:t> </w:t>
      </w:r>
      <w:r>
        <w:rPr/>
        <w:t>Gupta,</w:t>
      </w:r>
      <w:r>
        <w:rPr>
          <w:spacing w:val="15"/>
        </w:rPr>
        <w:t> </w:t>
      </w:r>
      <w:r>
        <w:rPr/>
        <w:t>S.,</w:t>
      </w:r>
      <w:r>
        <w:rPr>
          <w:spacing w:val="17"/>
        </w:rPr>
        <w:t> </w:t>
      </w:r>
      <w:r>
        <w:rPr/>
        <w:t>&amp;</w:t>
      </w:r>
      <w:r>
        <w:rPr>
          <w:spacing w:val="16"/>
        </w:rPr>
        <w:t> </w:t>
      </w:r>
      <w:r>
        <w:rPr/>
        <w:t>Kinda,</w:t>
      </w:r>
      <w:r>
        <w:rPr>
          <w:spacing w:val="15"/>
        </w:rPr>
        <w:t> </w:t>
      </w:r>
      <w:r>
        <w:rPr/>
        <w:t>T.,</w:t>
      </w:r>
      <w:r>
        <w:rPr>
          <w:spacing w:val="17"/>
        </w:rPr>
        <w:t> </w:t>
      </w:r>
      <w:r>
        <w:rPr/>
        <w:t>(2015).</w:t>
      </w:r>
      <w:r>
        <w:rPr>
          <w:spacing w:val="13"/>
        </w:rPr>
        <w:t> </w:t>
      </w:r>
      <w:r>
        <w:rPr/>
        <w:t>“The</w:t>
      </w:r>
      <w:r>
        <w:rPr>
          <w:spacing w:val="17"/>
        </w:rPr>
        <w:t> </w:t>
      </w:r>
      <w:r>
        <w:rPr/>
        <w:t>IMF</w:t>
      </w:r>
      <w:r>
        <w:rPr>
          <w:spacing w:val="14"/>
        </w:rPr>
        <w:t> </w:t>
      </w:r>
      <w:r>
        <w:rPr/>
        <w:t>and</w:t>
      </w:r>
      <w:r>
        <w:rPr>
          <w:spacing w:val="20"/>
        </w:rPr>
        <w:t> </w:t>
      </w:r>
      <w:r>
        <w:rPr/>
        <w:t>Income</w:t>
      </w:r>
      <w:r>
        <w:rPr>
          <w:spacing w:val="15"/>
        </w:rPr>
        <w:t> </w:t>
      </w:r>
      <w:r>
        <w:rPr/>
        <w:t>Distribution,”</w:t>
      </w:r>
    </w:p>
    <w:p>
      <w:pPr>
        <w:spacing w:before="1"/>
        <w:ind w:left="840" w:right="0" w:firstLine="0"/>
        <w:jc w:val="left"/>
        <w:rPr>
          <w:sz w:val="24"/>
        </w:rPr>
      </w:pPr>
      <w:r>
        <w:rPr>
          <w:i/>
          <w:sz w:val="24"/>
        </w:rPr>
        <w:t>Fiscal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Inequality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Monetary</w:t>
      </w:r>
      <w:r>
        <w:rPr>
          <w:spacing w:val="-5"/>
          <w:sz w:val="24"/>
        </w:rPr>
        <w:t> </w:t>
      </w:r>
      <w:r>
        <w:rPr>
          <w:sz w:val="24"/>
        </w:rPr>
        <w:t>Fund.</w:t>
      </w:r>
    </w:p>
    <w:p>
      <w:pPr>
        <w:spacing w:before="158"/>
        <w:ind w:left="840" w:right="115" w:hanging="720"/>
        <w:jc w:val="both"/>
        <w:rPr>
          <w:sz w:val="24"/>
        </w:rPr>
      </w:pPr>
      <w:r>
        <w:rPr>
          <w:sz w:val="24"/>
        </w:rPr>
        <w:t>Clementi,</w:t>
      </w:r>
      <w:r>
        <w:rPr>
          <w:spacing w:val="44"/>
          <w:sz w:val="24"/>
        </w:rPr>
        <w:t> </w:t>
      </w:r>
      <w:r>
        <w:rPr>
          <w:sz w:val="24"/>
        </w:rPr>
        <w:t>F.,</w:t>
      </w:r>
      <w:r>
        <w:rPr>
          <w:spacing w:val="45"/>
          <w:sz w:val="24"/>
        </w:rPr>
        <w:t> </w:t>
      </w:r>
      <w:r>
        <w:rPr>
          <w:sz w:val="24"/>
        </w:rPr>
        <w:t>Andrew</w:t>
      </w:r>
      <w:r>
        <w:rPr>
          <w:spacing w:val="46"/>
          <w:sz w:val="24"/>
        </w:rPr>
        <w:t> </w:t>
      </w:r>
      <w:r>
        <w:rPr>
          <w:sz w:val="24"/>
        </w:rPr>
        <w:t>L.,</w:t>
      </w:r>
      <w:r>
        <w:rPr>
          <w:spacing w:val="45"/>
          <w:sz w:val="24"/>
        </w:rPr>
        <w:t> </w:t>
      </w:r>
      <w:r>
        <w:rPr>
          <w:sz w:val="24"/>
        </w:rPr>
        <w:t>Dabalen</w:t>
      </w:r>
      <w:r>
        <w:rPr>
          <w:spacing w:val="46"/>
          <w:sz w:val="24"/>
        </w:rPr>
        <w:t> </w:t>
      </w:r>
      <w:r>
        <w:rPr>
          <w:sz w:val="24"/>
        </w:rPr>
        <w:t>V.,</w:t>
      </w:r>
      <w:r>
        <w:rPr>
          <w:spacing w:val="47"/>
          <w:sz w:val="24"/>
        </w:rPr>
        <w:t> </w:t>
      </w:r>
      <w:r>
        <w:rPr>
          <w:sz w:val="24"/>
        </w:rPr>
        <w:t>&amp;</w:t>
      </w:r>
      <w:r>
        <w:rPr>
          <w:spacing w:val="45"/>
          <w:sz w:val="24"/>
        </w:rPr>
        <w:t> </w:t>
      </w:r>
      <w:r>
        <w:rPr>
          <w:sz w:val="24"/>
        </w:rPr>
        <w:t>Francesco</w:t>
      </w:r>
      <w:r>
        <w:rPr>
          <w:spacing w:val="45"/>
          <w:sz w:val="24"/>
        </w:rPr>
        <w:t> </w:t>
      </w:r>
      <w:r>
        <w:rPr>
          <w:sz w:val="24"/>
        </w:rPr>
        <w:t>S.</w:t>
      </w:r>
      <w:r>
        <w:rPr>
          <w:spacing w:val="44"/>
          <w:sz w:val="24"/>
        </w:rPr>
        <w:t> </w:t>
      </w:r>
      <w:r>
        <w:rPr>
          <w:sz w:val="24"/>
        </w:rPr>
        <w:t>(2014).</w:t>
      </w:r>
      <w:r>
        <w:rPr>
          <w:spacing w:val="32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Polarization: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Dark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hyperlink r:id="rId171">
        <w:r>
          <w:rPr>
            <w:sz w:val="24"/>
            <w:u w:val="single"/>
          </w:rPr>
          <w:t>https://www.ifw-kiel.de/konfer/100-jahre-</w:t>
        </w:r>
      </w:hyperlink>
      <w:r>
        <w:rPr>
          <w:spacing w:val="1"/>
          <w:sz w:val="24"/>
        </w:rPr>
        <w:t> </w:t>
      </w:r>
      <w:r>
        <w:rPr>
          <w:sz w:val="24"/>
        </w:rPr>
        <w:t>ifw/folder2014-07-104191296464/social-inclusiveness/1.%20Clementi.pdf</w:t>
      </w:r>
    </w:p>
    <w:p>
      <w:pPr>
        <w:spacing w:before="161"/>
        <w:ind w:left="120" w:right="0" w:firstLine="0"/>
        <w:jc w:val="left"/>
        <w:rPr>
          <w:sz w:val="24"/>
        </w:rPr>
      </w:pPr>
      <w:r>
        <w:rPr>
          <w:sz w:val="24"/>
        </w:rPr>
        <w:t>Clarke</w:t>
      </w:r>
      <w:r>
        <w:rPr>
          <w:spacing w:val="-3"/>
          <w:sz w:val="24"/>
        </w:rPr>
        <w:t> </w:t>
      </w:r>
      <w:r>
        <w:rPr>
          <w:sz w:val="24"/>
        </w:rPr>
        <w:t>(1994).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Dysfunctions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Theory.</w:t>
      </w:r>
      <w:r>
        <w:rPr>
          <w:i/>
          <w:spacing w:val="1"/>
          <w:sz w:val="24"/>
        </w:rPr>
        <w:t> </w:t>
      </w:r>
      <w:r>
        <w:rPr>
          <w:sz w:val="24"/>
        </w:rPr>
        <w:t>(3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Ed.), London:England</w:t>
      </w:r>
    </w:p>
    <w:p>
      <w:pPr>
        <w:spacing w:before="161"/>
        <w:ind w:left="840" w:right="120" w:hanging="720"/>
        <w:jc w:val="both"/>
        <w:rPr>
          <w:sz w:val="24"/>
        </w:rPr>
      </w:pPr>
      <w:r>
        <w:rPr>
          <w:sz w:val="24"/>
        </w:rPr>
        <w:t>Coady,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Dizidi,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Revisited: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Persistence,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Endogeneity,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Heterogeneity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IMF</w:t>
      </w:r>
      <w:r>
        <w:rPr>
          <w:spacing w:val="-2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Paper 17/126</w:t>
      </w:r>
    </w:p>
    <w:p>
      <w:pPr>
        <w:pStyle w:val="BodyText"/>
        <w:spacing w:before="158"/>
        <w:ind w:left="840" w:right="121" w:hanging="720"/>
        <w:jc w:val="both"/>
      </w:pPr>
      <w:r>
        <w:rPr/>
        <w:t>Cobham, A., &amp; Sumner, A., (2013), “Putting the Gini back in the bottle? The Palma as a policy</w:t>
      </w:r>
      <w:r>
        <w:rPr>
          <w:spacing w:val="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measure</w:t>
      </w:r>
      <w:r>
        <w:rPr>
          <w:spacing w:val="-2"/>
        </w:rPr>
        <w:t> </w:t>
      </w:r>
      <w:r>
        <w:rPr/>
        <w:t>of inequality,”</w:t>
      </w:r>
      <w:r>
        <w:rPr>
          <w:spacing w:val="-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Paper.</w:t>
      </w:r>
    </w:p>
    <w:p>
      <w:pPr>
        <w:pStyle w:val="BodyText"/>
        <w:spacing w:before="162"/>
        <w:ind w:left="120"/>
      </w:pPr>
      <w:r>
        <w:rPr/>
        <w:t>Corak,</w:t>
      </w:r>
      <w:r>
        <w:rPr>
          <w:spacing w:val="33"/>
        </w:rPr>
        <w:t> </w:t>
      </w:r>
      <w:r>
        <w:rPr/>
        <w:t>A.</w:t>
      </w:r>
      <w:r>
        <w:rPr>
          <w:spacing w:val="33"/>
        </w:rPr>
        <w:t> </w:t>
      </w:r>
      <w:r>
        <w:rPr/>
        <w:t>(2013).</w:t>
      </w:r>
      <w:r>
        <w:rPr>
          <w:spacing w:val="35"/>
        </w:rPr>
        <w:t> </w:t>
      </w:r>
      <w:r>
        <w:rPr/>
        <w:t>Income</w:t>
      </w:r>
      <w:r>
        <w:rPr>
          <w:spacing w:val="36"/>
        </w:rPr>
        <w:t> </w:t>
      </w:r>
      <w:r>
        <w:rPr/>
        <w:t>Inequality,</w:t>
      </w:r>
      <w:r>
        <w:rPr>
          <w:spacing w:val="33"/>
        </w:rPr>
        <w:t> </w:t>
      </w:r>
      <w:r>
        <w:rPr/>
        <w:t>Equality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Opportunity</w:t>
      </w:r>
      <w:r>
        <w:rPr>
          <w:spacing w:val="28"/>
        </w:rPr>
        <w:t> </w:t>
      </w:r>
      <w:r>
        <w:rPr/>
        <w:t>and</w:t>
      </w:r>
      <w:r>
        <w:rPr>
          <w:spacing w:val="37"/>
        </w:rPr>
        <w:t> </w:t>
      </w:r>
      <w:r>
        <w:rPr/>
        <w:t>Intergenerational</w:t>
      </w:r>
      <w:r>
        <w:rPr>
          <w:spacing w:val="34"/>
        </w:rPr>
        <w:t> </w:t>
      </w:r>
      <w:r>
        <w:rPr/>
        <w:t>Mobility.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Perspectives, 27</w:t>
      </w:r>
      <w:r>
        <w:rPr>
          <w:sz w:val="24"/>
        </w:rPr>
        <w:t>(3),</w:t>
      </w:r>
      <w:r>
        <w:rPr>
          <w:spacing w:val="-2"/>
          <w:sz w:val="24"/>
        </w:rPr>
        <w:t> </w:t>
      </w:r>
      <w:r>
        <w:rPr>
          <w:sz w:val="24"/>
        </w:rPr>
        <w:t>79-102</w:t>
      </w:r>
    </w:p>
    <w:p>
      <w:pPr>
        <w:spacing w:before="160"/>
        <w:ind w:left="840" w:right="117" w:hanging="720"/>
        <w:jc w:val="both"/>
        <w:rPr>
          <w:sz w:val="24"/>
        </w:rPr>
      </w:pPr>
      <w:r>
        <w:rPr>
          <w:sz w:val="24"/>
        </w:rPr>
        <w:t>Cuberes, D., &amp; Teigner, M. (2015). </w:t>
      </w:r>
      <w:r>
        <w:rPr>
          <w:i/>
          <w:sz w:val="24"/>
        </w:rPr>
        <w:t>How Costly are Labour Gender Gaps? Estimates for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Bethan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Turkey</w:t>
      </w:r>
      <w:r>
        <w:rPr>
          <w:sz w:val="24"/>
        </w:rPr>
        <w:t>. Policy</w:t>
      </w:r>
      <w:r>
        <w:rPr>
          <w:spacing w:val="-3"/>
          <w:sz w:val="24"/>
        </w:rPr>
        <w:t> </w:t>
      </w:r>
      <w:r>
        <w:rPr>
          <w:sz w:val="24"/>
        </w:rPr>
        <w:t>Research Working</w:t>
      </w:r>
      <w:r>
        <w:rPr>
          <w:spacing w:val="-3"/>
          <w:sz w:val="24"/>
        </w:rPr>
        <w:t> </w:t>
      </w:r>
      <w:r>
        <w:rPr>
          <w:sz w:val="24"/>
        </w:rPr>
        <w:t>Paper 08,</w:t>
      </w:r>
      <w:r>
        <w:rPr>
          <w:spacing w:val="-2"/>
          <w:sz w:val="24"/>
        </w:rPr>
        <w:t> </w:t>
      </w:r>
      <w:r>
        <w:rPr>
          <w:sz w:val="24"/>
        </w:rPr>
        <w:t>World Bank</w:t>
      </w:r>
    </w:p>
    <w:p>
      <w:pPr>
        <w:spacing w:before="159"/>
        <w:ind w:left="840" w:right="119" w:hanging="720"/>
        <w:jc w:val="both"/>
        <w:rPr>
          <w:sz w:val="24"/>
        </w:rPr>
      </w:pPr>
      <w:r>
        <w:rPr>
          <w:sz w:val="24"/>
        </w:rPr>
        <w:t>Dabla-Noris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Kochahar,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Ricaka,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Causes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Consequences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Inequality: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 Global Perspective,</w:t>
      </w:r>
      <w:r>
        <w:rPr>
          <w:i/>
          <w:spacing w:val="3"/>
          <w:sz w:val="24"/>
        </w:rPr>
        <w:t> </w:t>
      </w:r>
      <w:r>
        <w:rPr>
          <w:sz w:val="24"/>
        </w:rPr>
        <w:t>International Monetary</w:t>
      </w:r>
      <w:r>
        <w:rPr>
          <w:spacing w:val="-6"/>
          <w:sz w:val="24"/>
        </w:rPr>
        <w:t> </w:t>
      </w:r>
      <w:r>
        <w:rPr>
          <w:sz w:val="24"/>
        </w:rPr>
        <w:t>Fund</w:t>
      </w:r>
    </w:p>
    <w:p>
      <w:pPr>
        <w:spacing w:before="161"/>
        <w:ind w:left="840" w:right="120" w:hanging="720"/>
        <w:jc w:val="both"/>
        <w:rPr>
          <w:sz w:val="24"/>
        </w:rPr>
      </w:pPr>
      <w:r>
        <w:rPr>
          <w:sz w:val="24"/>
        </w:rPr>
        <w:t>Dasgupta K., &amp; Solomon, K. (2017). </w:t>
      </w:r>
      <w:r>
        <w:rPr>
          <w:i/>
          <w:sz w:val="24"/>
        </w:rPr>
        <w:t>Family Size Effects on Child Health: Evidence on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Quantity-Quality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Trade-off. </w:t>
      </w:r>
      <w:r>
        <w:rPr>
          <w:sz w:val="24"/>
        </w:rPr>
        <w:t>Centre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Social Data</w:t>
      </w:r>
      <w:r>
        <w:rPr>
          <w:spacing w:val="-2"/>
          <w:sz w:val="24"/>
        </w:rPr>
        <w:t> </w:t>
      </w:r>
      <w:r>
        <w:rPr>
          <w:sz w:val="24"/>
        </w:rPr>
        <w:t>Analytics Workshop,</w:t>
      </w:r>
      <w:r>
        <w:rPr>
          <w:spacing w:val="-1"/>
          <w:sz w:val="24"/>
        </w:rPr>
        <w:t> </w:t>
      </w:r>
      <w:r>
        <w:rPr>
          <w:sz w:val="24"/>
        </w:rPr>
        <w:t>Feb. 23-24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1320" w:right="1320"/>
        </w:sectPr>
      </w:pPr>
    </w:p>
    <w:p>
      <w:pPr>
        <w:spacing w:line="276" w:lineRule="auto" w:before="74"/>
        <w:ind w:left="840" w:right="116" w:hanging="720"/>
        <w:jc w:val="both"/>
        <w:rPr>
          <w:sz w:val="24"/>
        </w:rPr>
      </w:pPr>
      <w:r>
        <w:rPr>
          <w:sz w:val="24"/>
        </w:rPr>
        <w:t>Deaton, A. (2018).</w:t>
      </w:r>
      <w:r>
        <w:rPr>
          <w:spacing w:val="1"/>
          <w:sz w:val="24"/>
        </w:rPr>
        <w:t> </w:t>
      </w:r>
      <w:r>
        <w:rPr>
          <w:i/>
          <w:sz w:val="24"/>
        </w:rPr>
        <w:t>The Analysis of Household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Surveys: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Micro-Econometric 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Policy.</w:t>
      </w:r>
      <w:r>
        <w:rPr>
          <w:i/>
          <w:spacing w:val="1"/>
          <w:sz w:val="24"/>
        </w:rPr>
        <w:t> </w:t>
      </w:r>
      <w:r>
        <w:rPr>
          <w:sz w:val="24"/>
        </w:rPr>
        <w:t>World Bank</w:t>
      </w:r>
      <w:r>
        <w:rPr>
          <w:spacing w:val="-1"/>
          <w:sz w:val="24"/>
        </w:rPr>
        <w:t> </w:t>
      </w:r>
      <w:r>
        <w:rPr>
          <w:sz w:val="24"/>
        </w:rPr>
        <w:t>Publications, Washington DC.</w:t>
      </w:r>
      <w:r>
        <w:rPr>
          <w:spacing w:val="-1"/>
          <w:sz w:val="24"/>
        </w:rPr>
        <w:t> </w:t>
      </w:r>
      <w:r>
        <w:rPr>
          <w:sz w:val="24"/>
        </w:rPr>
        <w:t>USA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840" w:right="112" w:hanging="720"/>
        <w:jc w:val="both"/>
      </w:pPr>
      <w:r>
        <w:rPr/>
        <w:t>Demombynes, G., &amp; Trommlevova, S.K. (2016). What has driven the decline of Infant Mortality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Kenya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2000s.</w:t>
      </w:r>
      <w:r>
        <w:rPr>
          <w:spacing w:val="1"/>
        </w:rPr>
        <w:t> </w:t>
      </w:r>
      <w:r>
        <w:rPr>
          <w:i/>
        </w:rPr>
        <w:t>Economics and Human</w:t>
      </w:r>
      <w:r>
        <w:rPr>
          <w:i/>
          <w:spacing w:val="-1"/>
        </w:rPr>
        <w:t> </w:t>
      </w:r>
      <w:r>
        <w:rPr>
          <w:i/>
        </w:rPr>
        <w:t>Biology</w:t>
      </w:r>
      <w:r>
        <w:rPr/>
        <w:t>, </w:t>
      </w:r>
      <w:r>
        <w:rPr>
          <w:i/>
        </w:rPr>
        <w:t>2</w:t>
      </w:r>
      <w:r>
        <w:rPr/>
        <w:t>(1),</w:t>
      </w:r>
      <w:r>
        <w:rPr>
          <w:spacing w:val="-1"/>
        </w:rPr>
        <w:t> </w:t>
      </w:r>
      <w:r>
        <w:rPr/>
        <w:t>17-32</w:t>
      </w:r>
    </w:p>
    <w:p>
      <w:pPr>
        <w:spacing w:before="161"/>
        <w:ind w:left="120" w:right="0" w:firstLine="0"/>
        <w:jc w:val="left"/>
        <w:rPr>
          <w:sz w:val="24"/>
        </w:rPr>
      </w:pPr>
      <w:r>
        <w:rPr>
          <w:sz w:val="24"/>
        </w:rPr>
        <w:t>Deprez,</w:t>
      </w:r>
      <w:r>
        <w:rPr>
          <w:spacing w:val="-1"/>
          <w:sz w:val="24"/>
        </w:rPr>
        <w:t> </w:t>
      </w:r>
      <w:r>
        <w:rPr>
          <w:sz w:val="24"/>
        </w:rPr>
        <w:t>E.E.</w:t>
      </w:r>
      <w:r>
        <w:rPr>
          <w:spacing w:val="-1"/>
          <w:sz w:val="24"/>
        </w:rPr>
        <w:t> </w:t>
      </w:r>
      <w:r>
        <w:rPr>
          <w:sz w:val="24"/>
        </w:rPr>
        <w:t>(2018).</w:t>
      </w:r>
      <w:r>
        <w:rPr>
          <w:spacing w:val="-2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Inequality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Friday,</w:t>
      </w:r>
      <w:r>
        <w:rPr>
          <w:spacing w:val="-1"/>
          <w:sz w:val="24"/>
        </w:rPr>
        <w:t> </w:t>
      </w:r>
      <w:r>
        <w:rPr>
          <w:sz w:val="24"/>
        </w:rPr>
        <w:t>September</w:t>
      </w:r>
      <w:r>
        <w:rPr>
          <w:spacing w:val="-1"/>
          <w:sz w:val="24"/>
        </w:rPr>
        <w:t> </w:t>
      </w:r>
      <w:r>
        <w:rPr>
          <w:sz w:val="24"/>
        </w:rPr>
        <w:t>21,</w:t>
      </w:r>
      <w:r>
        <w:rPr>
          <w:spacing w:val="-2"/>
          <w:sz w:val="24"/>
        </w:rPr>
        <w:t> </w:t>
      </w:r>
      <w:r>
        <w:rPr>
          <w:sz w:val="24"/>
        </w:rPr>
        <w:t>2018,</w:t>
      </w:r>
      <w:r>
        <w:rPr>
          <w:spacing w:val="1"/>
          <w:sz w:val="24"/>
        </w:rPr>
        <w:t> </w:t>
      </w:r>
      <w:r>
        <w:rPr>
          <w:sz w:val="24"/>
        </w:rPr>
        <w:t>Bloomberg</w:t>
      </w:r>
    </w:p>
    <w:p>
      <w:pPr>
        <w:spacing w:line="273" w:lineRule="auto" w:before="163"/>
        <w:ind w:left="840" w:right="117" w:hanging="720"/>
        <w:jc w:val="both"/>
        <w:rPr>
          <w:sz w:val="24"/>
        </w:rPr>
      </w:pPr>
      <w:r>
        <w:rPr>
          <w:sz w:val="24"/>
        </w:rPr>
        <w:t>De-Roiste, M., Fasianos, A., Kirkby, R., &amp; Yao, F. (2019). </w:t>
      </w:r>
      <w:r>
        <w:rPr>
          <w:i/>
          <w:sz w:val="24"/>
        </w:rPr>
        <w:t>Household Leverage and Asymmetric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Effects-Evidence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Zealand.</w:t>
      </w:r>
      <w:r>
        <w:rPr>
          <w:i/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Series</w:t>
      </w:r>
      <w:r>
        <w:rPr>
          <w:spacing w:val="1"/>
          <w:sz w:val="24"/>
        </w:rPr>
        <w:t> </w:t>
      </w:r>
      <w:r>
        <w:rPr>
          <w:sz w:val="24"/>
        </w:rPr>
        <w:t>(DP-</w:t>
      </w:r>
      <w:r>
        <w:rPr>
          <w:spacing w:val="1"/>
          <w:sz w:val="24"/>
        </w:rPr>
        <w:t> </w:t>
      </w:r>
      <w:r>
        <w:rPr>
          <w:sz w:val="24"/>
        </w:rPr>
        <w:t>2019/01),</w:t>
      </w:r>
      <w:r>
        <w:rPr>
          <w:spacing w:val="-1"/>
          <w:sz w:val="24"/>
        </w:rPr>
        <w:t> </w:t>
      </w:r>
      <w:r>
        <w:rPr>
          <w:sz w:val="24"/>
        </w:rPr>
        <w:t>Reserve Bank</w:t>
      </w:r>
      <w:r>
        <w:rPr>
          <w:spacing w:val="2"/>
          <w:sz w:val="24"/>
        </w:rPr>
        <w:t> </w:t>
      </w:r>
      <w:r>
        <w:rPr>
          <w:sz w:val="24"/>
        </w:rPr>
        <w:t>of New</w:t>
      </w:r>
      <w:r>
        <w:rPr>
          <w:spacing w:val="1"/>
          <w:sz w:val="24"/>
        </w:rPr>
        <w:t> </w:t>
      </w:r>
      <w:r>
        <w:rPr>
          <w:sz w:val="24"/>
        </w:rPr>
        <w:t>Zealand</w:t>
      </w:r>
    </w:p>
    <w:p>
      <w:pPr>
        <w:pStyle w:val="BodyText"/>
        <w:spacing w:before="165"/>
        <w:ind w:left="840" w:right="117" w:hanging="720"/>
        <w:jc w:val="both"/>
      </w:pPr>
      <w:r>
        <w:rPr/>
        <w:t>Desbordes, R. (2011). The Non-Linear Effects of Life Effects on Economic Growth. </w:t>
      </w:r>
      <w:r>
        <w:rPr>
          <w:i/>
        </w:rPr>
        <w:t>Economic</w:t>
      </w:r>
      <w:r>
        <w:rPr>
          <w:i/>
          <w:spacing w:val="1"/>
        </w:rPr>
        <w:t> </w:t>
      </w:r>
      <w:r>
        <w:rPr>
          <w:i/>
        </w:rPr>
        <w:t>Letters, 112</w:t>
      </w:r>
      <w:r>
        <w:rPr/>
        <w:t>(1), 116-118</w:t>
      </w:r>
    </w:p>
    <w:p>
      <w:pPr>
        <w:pStyle w:val="BodyText"/>
        <w:spacing w:before="162"/>
        <w:ind w:left="840" w:right="118" w:hanging="720"/>
        <w:jc w:val="both"/>
      </w:pPr>
      <w:r>
        <w:rPr/>
        <w:t>Deurzen,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Oorschat,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Ingen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Inequality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Health:</w:t>
      </w:r>
      <w:r>
        <w:rPr>
          <w:spacing w:val="-3"/>
        </w:rPr>
        <w:t> </w:t>
      </w:r>
      <w:r>
        <w:rPr/>
        <w:t>Policy</w:t>
      </w:r>
      <w:r>
        <w:rPr>
          <w:spacing w:val="-6"/>
        </w:rPr>
        <w:t> </w:t>
      </w:r>
      <w:r>
        <w:rPr/>
        <w:t>Myth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Social</w:t>
      </w:r>
      <w:r>
        <w:rPr>
          <w:spacing w:val="-4"/>
        </w:rPr>
        <w:t> </w:t>
      </w:r>
      <w:r>
        <w:rPr/>
        <w:t>Reality,</w:t>
      </w:r>
      <w:r>
        <w:rPr>
          <w:spacing w:val="2"/>
        </w:rPr>
        <w:t> </w:t>
      </w:r>
      <w:r>
        <w:rPr>
          <w:i/>
        </w:rPr>
        <w:t>Social</w:t>
      </w:r>
      <w:r>
        <w:rPr>
          <w:i/>
          <w:spacing w:val="-2"/>
        </w:rPr>
        <w:t> </w:t>
      </w:r>
      <w:r>
        <w:rPr>
          <w:i/>
        </w:rPr>
        <w:t>Science</w:t>
      </w:r>
      <w:r>
        <w:rPr>
          <w:i/>
          <w:spacing w:val="-5"/>
        </w:rPr>
        <w:t> </w:t>
      </w:r>
      <w:r>
        <w:rPr>
          <w:i/>
        </w:rPr>
        <w:t>and</w:t>
      </w:r>
      <w:r>
        <w:rPr>
          <w:i/>
          <w:spacing w:val="-2"/>
        </w:rPr>
        <w:t> </w:t>
      </w:r>
      <w:r>
        <w:rPr>
          <w:i/>
        </w:rPr>
        <w:t>Medicine,</w:t>
      </w:r>
      <w:r>
        <w:rPr>
          <w:i/>
          <w:spacing w:val="-3"/>
        </w:rPr>
        <w:t> </w:t>
      </w:r>
      <w:r>
        <w:rPr>
          <w:i/>
        </w:rPr>
        <w:t>10</w:t>
      </w:r>
      <w:r>
        <w:rPr/>
        <w:t>,</w:t>
      </w:r>
      <w:r>
        <w:rPr>
          <w:spacing w:val="-3"/>
        </w:rPr>
        <w:t> </w:t>
      </w:r>
      <w:r>
        <w:rPr/>
        <w:t>13-71</w:t>
      </w:r>
    </w:p>
    <w:p>
      <w:pPr>
        <w:pStyle w:val="BodyText"/>
        <w:spacing w:before="158"/>
        <w:ind w:left="840" w:right="120" w:hanging="720"/>
        <w:jc w:val="both"/>
      </w:pPr>
      <w:r>
        <w:rPr/>
        <w:t>De Vogli R., Mistry, R., Gnesotto, R., &amp; Cornia, G.A. (2005). Has the relation between Income</w:t>
      </w:r>
      <w:r>
        <w:rPr>
          <w:spacing w:val="1"/>
        </w:rPr>
        <w:t> </w:t>
      </w:r>
      <w:r>
        <w:rPr/>
        <w:t>Inequality and Life Expectancy disappeared? Evidence from Italy and top industrialized</w:t>
      </w:r>
      <w:r>
        <w:rPr>
          <w:spacing w:val="1"/>
        </w:rPr>
        <w:t> </w:t>
      </w:r>
      <w:r>
        <w:rPr/>
        <w:t>Countries.</w:t>
      </w:r>
      <w:r>
        <w:rPr>
          <w:spacing w:val="-1"/>
        </w:rPr>
        <w:t> </w:t>
      </w:r>
      <w:r>
        <w:rPr>
          <w:i/>
        </w:rPr>
        <w:t>Journal of Epidemical Community</w:t>
      </w:r>
      <w:r>
        <w:rPr>
          <w:i/>
          <w:spacing w:val="-1"/>
        </w:rPr>
        <w:t> </w:t>
      </w:r>
      <w:r>
        <w:rPr>
          <w:i/>
        </w:rPr>
        <w:t>Health</w:t>
      </w:r>
      <w:r>
        <w:rPr/>
        <w:t>, </w:t>
      </w:r>
      <w:r>
        <w:rPr>
          <w:i/>
        </w:rPr>
        <w:t>59</w:t>
      </w:r>
      <w:r>
        <w:rPr/>
        <w:t>(5), 158-162</w:t>
      </w:r>
    </w:p>
    <w:p>
      <w:pPr>
        <w:pStyle w:val="BodyText"/>
        <w:spacing w:before="161"/>
        <w:ind w:left="840" w:right="115" w:hanging="720"/>
        <w:jc w:val="both"/>
      </w:pPr>
      <w:r>
        <w:rPr/>
        <w:t>Diez-Roux, A.V., Link, B.G., &amp; Northridge, M.E. (2000). A Multilevel Analysis of Income</w:t>
      </w:r>
      <w:r>
        <w:rPr>
          <w:spacing w:val="1"/>
        </w:rPr>
        <w:t> </w:t>
      </w:r>
      <w:r>
        <w:rPr/>
        <w:t>Inequality and Cardiovascular Disease Risk Factors. </w:t>
      </w:r>
      <w:r>
        <w:rPr>
          <w:i/>
        </w:rPr>
        <w:t>Social Science and Medicine, 50 </w:t>
      </w:r>
      <w:r>
        <w:rPr/>
        <w:t>(6),</w:t>
      </w:r>
      <w:r>
        <w:rPr>
          <w:spacing w:val="-57"/>
        </w:rPr>
        <w:t> </w:t>
      </w:r>
      <w:r>
        <w:rPr/>
        <w:t>73-87</w:t>
      </w:r>
    </w:p>
    <w:p>
      <w:pPr>
        <w:pStyle w:val="BodyText"/>
        <w:spacing w:before="161"/>
        <w:ind w:left="840" w:right="119" w:hanging="720"/>
        <w:jc w:val="both"/>
      </w:pPr>
      <w:r>
        <w:rPr/>
        <w:t>Dorling,</w:t>
      </w:r>
      <w:r>
        <w:rPr>
          <w:spacing w:val="-5"/>
        </w:rPr>
        <w:t> </w:t>
      </w:r>
      <w:r>
        <w:rPr/>
        <w:t>D.,</w:t>
      </w:r>
      <w:r>
        <w:rPr>
          <w:spacing w:val="-5"/>
        </w:rPr>
        <w:t> </w:t>
      </w:r>
      <w:r>
        <w:rPr/>
        <w:t>Mitchell,</w:t>
      </w:r>
      <w:r>
        <w:rPr>
          <w:spacing w:val="-5"/>
        </w:rPr>
        <w:t> </w:t>
      </w:r>
      <w:r>
        <w:rPr/>
        <w:t>R.</w:t>
      </w:r>
      <w:r>
        <w:rPr>
          <w:spacing w:val="-2"/>
        </w:rPr>
        <w:t> </w:t>
      </w:r>
      <w:r>
        <w:rPr/>
        <w:t>&amp;</w:t>
      </w:r>
      <w:r>
        <w:rPr>
          <w:spacing w:val="-7"/>
        </w:rPr>
        <w:t> </w:t>
      </w:r>
      <w:r>
        <w:rPr/>
        <w:t>Pearce,</w:t>
      </w:r>
      <w:r>
        <w:rPr>
          <w:spacing w:val="-5"/>
        </w:rPr>
        <w:t> </w:t>
      </w:r>
      <w:r>
        <w:rPr/>
        <w:t>J.</w:t>
      </w:r>
      <w:r>
        <w:rPr>
          <w:spacing w:val="-4"/>
        </w:rPr>
        <w:t> </w:t>
      </w:r>
      <w:r>
        <w:rPr/>
        <w:t>(2007),</w:t>
      </w:r>
      <w:r>
        <w:rPr>
          <w:spacing w:val="-5"/>
        </w:rPr>
        <w:t> </w:t>
      </w:r>
      <w:r>
        <w:rPr/>
        <w:t>“The</w:t>
      </w:r>
      <w:r>
        <w:rPr>
          <w:spacing w:val="-4"/>
        </w:rPr>
        <w:t> </w:t>
      </w:r>
      <w:r>
        <w:rPr/>
        <w:t>Global</w:t>
      </w:r>
      <w:r>
        <w:rPr>
          <w:spacing w:val="-2"/>
        </w:rPr>
        <w:t> </w:t>
      </w:r>
      <w:r>
        <w:rPr/>
        <w:t>Impact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Income</w:t>
      </w:r>
      <w:r>
        <w:rPr>
          <w:spacing w:val="-3"/>
        </w:rPr>
        <w:t> </w:t>
      </w:r>
      <w:r>
        <w:rPr/>
        <w:t>Inequality</w:t>
      </w:r>
      <w:r>
        <w:rPr>
          <w:spacing w:val="-11"/>
        </w:rPr>
        <w:t> </w:t>
      </w:r>
      <w:r>
        <w:rPr/>
        <w:t>on</w:t>
      </w:r>
      <w:r>
        <w:rPr>
          <w:spacing w:val="-5"/>
        </w:rPr>
        <w:t> </w:t>
      </w:r>
      <w:r>
        <w:rPr/>
        <w:t>Health</w:t>
      </w:r>
      <w:r>
        <w:rPr>
          <w:spacing w:val="-58"/>
        </w:rPr>
        <w:t> </w:t>
      </w:r>
      <w:r>
        <w:rPr/>
        <w:t>by</w:t>
      </w:r>
      <w:r>
        <w:rPr>
          <w:spacing w:val="-6"/>
        </w:rPr>
        <w:t> </w:t>
      </w:r>
      <w:r>
        <w:rPr/>
        <w:t>Age: An</w:t>
      </w:r>
      <w:r>
        <w:rPr>
          <w:spacing w:val="-1"/>
        </w:rPr>
        <w:t> </w:t>
      </w:r>
      <w:r>
        <w:rPr/>
        <w:t>Observational</w:t>
      </w:r>
      <w:r>
        <w:rPr>
          <w:spacing w:val="-1"/>
        </w:rPr>
        <w:t> </w:t>
      </w:r>
      <w:r>
        <w:rPr/>
        <w:t>Study”,</w:t>
      </w:r>
      <w:r>
        <w:rPr>
          <w:spacing w:val="2"/>
        </w:rPr>
        <w:t> </w:t>
      </w:r>
      <w:r>
        <w:rPr>
          <w:i/>
        </w:rPr>
        <w:t>British</w:t>
      </w:r>
      <w:r>
        <w:rPr>
          <w:i/>
          <w:spacing w:val="-1"/>
        </w:rPr>
        <w:t> </w:t>
      </w:r>
      <w:r>
        <w:rPr>
          <w:i/>
        </w:rPr>
        <w:t>Medical Journal,</w:t>
      </w:r>
      <w:r>
        <w:rPr>
          <w:i/>
          <w:spacing w:val="1"/>
        </w:rPr>
        <w:t> </w:t>
      </w:r>
      <w:r>
        <w:rPr>
          <w:i/>
        </w:rPr>
        <w:t>335</w:t>
      </w:r>
      <w:r>
        <w:rPr/>
        <w:t>(7625),</w:t>
      </w:r>
      <w:r>
        <w:rPr>
          <w:spacing w:val="-2"/>
        </w:rPr>
        <w:t> </w:t>
      </w:r>
      <w:r>
        <w:rPr/>
        <w:t>873-881.</w:t>
      </w:r>
    </w:p>
    <w:p>
      <w:pPr>
        <w:pStyle w:val="BodyText"/>
        <w:spacing w:before="159"/>
        <w:ind w:left="840" w:right="119" w:hanging="720"/>
        <w:jc w:val="both"/>
      </w:pPr>
      <w:r>
        <w:rPr/>
        <w:t>Dotollenaere, J., Desmarest, A., Boeckxstaens, P., &amp; Willems, S. (2018). The Link between</w:t>
      </w:r>
      <w:r>
        <w:rPr>
          <w:spacing w:val="1"/>
        </w:rPr>
        <w:t> </w:t>
      </w:r>
      <w:r>
        <w:rPr/>
        <w:t>Income</w:t>
      </w:r>
      <w:r>
        <w:rPr>
          <w:spacing w:val="-1"/>
        </w:rPr>
        <w:t> </w:t>
      </w:r>
      <w:r>
        <w:rPr/>
        <w:t>Inequality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Europe.</w:t>
      </w:r>
      <w:r>
        <w:rPr>
          <w:spacing w:val="1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Medicine,</w:t>
      </w:r>
      <w:r>
        <w:rPr>
          <w:i/>
          <w:spacing w:val="1"/>
        </w:rPr>
        <w:t> </w:t>
      </w:r>
      <w:r>
        <w:rPr>
          <w:i/>
        </w:rPr>
        <w:t>201</w:t>
      </w:r>
      <w:r>
        <w:rPr/>
        <w:t>(8),</w:t>
      </w:r>
      <w:r>
        <w:rPr>
          <w:spacing w:val="-1"/>
        </w:rPr>
        <w:t> </w:t>
      </w:r>
      <w:r>
        <w:rPr/>
        <w:t>103-110</w:t>
      </w:r>
    </w:p>
    <w:p>
      <w:pPr>
        <w:spacing w:before="161"/>
        <w:ind w:left="840" w:right="114" w:hanging="720"/>
        <w:jc w:val="both"/>
        <w:rPr>
          <w:sz w:val="24"/>
        </w:rPr>
      </w:pPr>
      <w:r>
        <w:rPr>
          <w:sz w:val="24"/>
        </w:rPr>
        <w:t>Ebeke,</w:t>
      </w:r>
      <w:r>
        <w:rPr>
          <w:spacing w:val="17"/>
          <w:sz w:val="24"/>
        </w:rPr>
        <w:t> </w:t>
      </w:r>
      <w:r>
        <w:rPr>
          <w:sz w:val="24"/>
        </w:rPr>
        <w:t>C.</w:t>
      </w:r>
      <w:r>
        <w:rPr>
          <w:spacing w:val="21"/>
          <w:sz w:val="24"/>
        </w:rPr>
        <w:t> </w:t>
      </w:r>
      <w:r>
        <w:rPr>
          <w:sz w:val="24"/>
        </w:rPr>
        <w:t>&amp;</w:t>
      </w:r>
      <w:r>
        <w:rPr>
          <w:spacing w:val="17"/>
          <w:sz w:val="24"/>
        </w:rPr>
        <w:t> </w:t>
      </w:r>
      <w:r>
        <w:rPr>
          <w:sz w:val="24"/>
        </w:rPr>
        <w:t>Ougba,</w:t>
      </w:r>
      <w:r>
        <w:rPr>
          <w:spacing w:val="17"/>
          <w:sz w:val="24"/>
        </w:rPr>
        <w:t> </w:t>
      </w:r>
      <w:r>
        <w:rPr>
          <w:sz w:val="24"/>
        </w:rPr>
        <w:t>D.L.</w:t>
      </w:r>
      <w:r>
        <w:rPr>
          <w:spacing w:val="21"/>
          <w:sz w:val="24"/>
        </w:rPr>
        <w:t> </w:t>
      </w:r>
      <w:r>
        <w:rPr>
          <w:sz w:val="24"/>
        </w:rPr>
        <w:t>(2011).</w:t>
      </w:r>
      <w:r>
        <w:rPr>
          <w:spacing w:val="19"/>
          <w:sz w:val="24"/>
        </w:rPr>
        <w:t> </w:t>
      </w:r>
      <w:r>
        <w:rPr>
          <w:i/>
          <w:sz w:val="24"/>
        </w:rPr>
        <w:t>Oil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Rents,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Allocation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Talents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Developing countries.</w:t>
      </w:r>
      <w:r>
        <w:rPr>
          <w:i/>
          <w:spacing w:val="3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Papers 201123</w:t>
      </w:r>
      <w:r>
        <w:rPr>
          <w:spacing w:val="1"/>
          <w:sz w:val="24"/>
        </w:rPr>
        <w:t> </w:t>
      </w:r>
      <w:r>
        <w:rPr>
          <w:sz w:val="24"/>
        </w:rPr>
        <w:t>CERDI</w:t>
      </w:r>
    </w:p>
    <w:p>
      <w:pPr>
        <w:pStyle w:val="BodyText"/>
        <w:spacing w:before="161"/>
        <w:ind w:left="840" w:right="122" w:hanging="720"/>
        <w:jc w:val="both"/>
      </w:pPr>
      <w:r>
        <w:rPr/>
        <w:t>Elder, T.E., Goddeeris, T.H., &amp; Haider, S.J. (2016). Racial and Ethnic Infant Mortality Gaps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of Socio-economic</w:t>
      </w:r>
      <w:r>
        <w:rPr>
          <w:spacing w:val="-1"/>
        </w:rPr>
        <w:t> </w:t>
      </w:r>
      <w:r>
        <w:rPr/>
        <w:t>Status. </w:t>
      </w:r>
      <w:r>
        <w:rPr>
          <w:i/>
        </w:rPr>
        <w:t>Labour Economics, 43</w:t>
      </w:r>
      <w:r>
        <w:rPr/>
        <w:t>(6), 42-54</w:t>
      </w:r>
    </w:p>
    <w:p>
      <w:pPr>
        <w:spacing w:before="158"/>
        <w:ind w:left="840" w:right="122" w:hanging="720"/>
        <w:jc w:val="both"/>
        <w:rPr>
          <w:sz w:val="24"/>
        </w:rPr>
      </w:pPr>
      <w:r>
        <w:rPr>
          <w:sz w:val="24"/>
        </w:rPr>
        <w:t>Evans, D.K, Hotemeyer, B., &amp; Kosec, K. (2017). Cash Transfer and Health: Evidence from</w:t>
      </w:r>
      <w:r>
        <w:rPr>
          <w:spacing w:val="1"/>
          <w:sz w:val="24"/>
        </w:rPr>
        <w:t> </w:t>
      </w:r>
      <w:r>
        <w:rPr>
          <w:sz w:val="24"/>
        </w:rPr>
        <w:t>Tanzania.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 Bank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1-19</w:t>
      </w:r>
    </w:p>
    <w:p>
      <w:pPr>
        <w:pStyle w:val="BodyText"/>
        <w:spacing w:before="162"/>
        <w:ind w:left="840" w:right="121" w:hanging="720"/>
        <w:jc w:val="both"/>
      </w:pPr>
      <w:r>
        <w:rPr/>
        <w:t>Eze, T.C., Okpala C.S., &amp; Ogbodo, J. (2014). Patterns of Inequality in Human Development</w:t>
      </w:r>
      <w:r>
        <w:rPr>
          <w:spacing w:val="1"/>
        </w:rPr>
        <w:t> </w:t>
      </w:r>
      <w:r>
        <w:rPr/>
        <w:t>Across</w:t>
      </w:r>
      <w:r>
        <w:rPr>
          <w:spacing w:val="-1"/>
        </w:rPr>
        <w:t> </w:t>
      </w:r>
      <w:r>
        <w:rPr/>
        <w:t>Nigeria’s</w:t>
      </w:r>
      <w:r>
        <w:rPr>
          <w:spacing w:val="-1"/>
        </w:rPr>
        <w:t> </w:t>
      </w:r>
      <w:r>
        <w:rPr/>
        <w:t>Six</w:t>
      </w:r>
      <w:r>
        <w:rPr>
          <w:spacing w:val="1"/>
        </w:rPr>
        <w:t> </w:t>
      </w:r>
      <w:r>
        <w:rPr/>
        <w:t>Geopolitical</w:t>
      </w:r>
      <w:r>
        <w:rPr>
          <w:spacing w:val="-1"/>
        </w:rPr>
        <w:t> </w:t>
      </w:r>
      <w:r>
        <w:rPr/>
        <w:t>zones.</w:t>
      </w:r>
      <w:r>
        <w:rPr>
          <w:spacing w:val="1"/>
        </w:rPr>
        <w:t> </w:t>
      </w:r>
      <w:r>
        <w:rPr>
          <w:i/>
        </w:rPr>
        <w:t>Developing</w:t>
      </w:r>
      <w:r>
        <w:rPr>
          <w:i/>
          <w:spacing w:val="-1"/>
        </w:rPr>
        <w:t> </w:t>
      </w:r>
      <w:r>
        <w:rPr>
          <w:i/>
        </w:rPr>
        <w:t>Country</w:t>
      </w:r>
      <w:r>
        <w:rPr>
          <w:i/>
          <w:spacing w:val="-1"/>
        </w:rPr>
        <w:t> </w:t>
      </w:r>
      <w:r>
        <w:rPr>
          <w:i/>
        </w:rPr>
        <w:t>Studies, 4</w:t>
      </w:r>
      <w:r>
        <w:rPr/>
        <w:t>(8),</w:t>
      </w:r>
      <w:r>
        <w:rPr>
          <w:spacing w:val="-1"/>
        </w:rPr>
        <w:t> </w:t>
      </w:r>
      <w:r>
        <w:rPr/>
        <w:t>97-101</w:t>
      </w:r>
    </w:p>
    <w:p>
      <w:pPr>
        <w:pStyle w:val="BodyText"/>
        <w:spacing w:before="160"/>
        <w:ind w:left="840" w:right="122" w:hanging="720"/>
        <w:jc w:val="both"/>
      </w:pPr>
      <w:r>
        <w:rPr/>
        <w:t>Faisal,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Electricity</w:t>
      </w:r>
      <w:r>
        <w:rPr>
          <w:spacing w:val="1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Urbanization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Trade.</w:t>
      </w:r>
      <w:r>
        <w:rPr>
          <w:spacing w:val="1"/>
        </w:rPr>
        <w:t> </w:t>
      </w:r>
      <w:hyperlink r:id="rId172">
        <w:r>
          <w:rPr>
            <w:u w:val="single"/>
          </w:rPr>
          <w:t>http://hrcak.scre.hr</w:t>
        </w:r>
      </w:hyperlink>
    </w:p>
    <w:p>
      <w:pPr>
        <w:pStyle w:val="BodyText"/>
        <w:spacing w:before="159"/>
        <w:ind w:left="840" w:right="119" w:hanging="720"/>
        <w:jc w:val="both"/>
      </w:pPr>
      <w:r>
        <w:rPr/>
        <w:t>Fagbemigbe,</w:t>
      </w:r>
      <w:r>
        <w:rPr>
          <w:spacing w:val="-2"/>
        </w:rPr>
        <w:t> </w:t>
      </w:r>
      <w:r>
        <w:rPr/>
        <w:t>A.E,</w:t>
      </w:r>
      <w:r>
        <w:rPr>
          <w:spacing w:val="-2"/>
        </w:rPr>
        <w:t> </w:t>
      </w:r>
      <w:r>
        <w:rPr/>
        <w:t>Ngige,</w:t>
      </w:r>
      <w:r>
        <w:rPr>
          <w:spacing w:val="-2"/>
        </w:rPr>
        <w:t> </w:t>
      </w:r>
      <w:r>
        <w:rPr/>
        <w:t>P.,</w:t>
      </w:r>
      <w:r>
        <w:rPr>
          <w:spacing w:val="-4"/>
        </w:rPr>
        <w:t> </w:t>
      </w:r>
      <w:r>
        <w:rPr/>
        <w:t>Amida,</w:t>
      </w:r>
      <w:r>
        <w:rPr>
          <w:spacing w:val="-3"/>
        </w:rPr>
        <w:t> </w:t>
      </w:r>
      <w:r>
        <w:rPr/>
        <w:t>P,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Yusuf,</w:t>
      </w:r>
      <w:r>
        <w:rPr>
          <w:spacing w:val="-1"/>
        </w:rPr>
        <w:t> </w:t>
      </w:r>
      <w:r>
        <w:rPr/>
        <w:t>B.</w:t>
      </w:r>
      <w:r>
        <w:rPr>
          <w:spacing w:val="-3"/>
        </w:rPr>
        <w:t> </w:t>
      </w:r>
      <w:r>
        <w:rPr/>
        <w:t>(2015).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Nigeria</w:t>
      </w:r>
      <w:r>
        <w:rPr>
          <w:spacing w:val="-3"/>
        </w:rPr>
        <w:t> </w:t>
      </w:r>
      <w:r>
        <w:rPr/>
        <w:t>Wealth</w:t>
      </w:r>
      <w:r>
        <w:rPr>
          <w:spacing w:val="-4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Health-Seeking</w:t>
      </w:r>
      <w:r>
        <w:rPr>
          <w:spacing w:val="-12"/>
        </w:rPr>
        <w:t> </w:t>
      </w:r>
      <w:r>
        <w:rPr/>
        <w:t>Behaviour:</w:t>
      </w:r>
      <w:r>
        <w:rPr>
          <w:spacing w:val="-10"/>
        </w:rPr>
        <w:t> </w:t>
      </w:r>
      <w:r>
        <w:rPr/>
        <w:t>Evidence</w:t>
      </w:r>
      <w:r>
        <w:rPr>
          <w:spacing w:val="-11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2012</w:t>
      </w:r>
      <w:r>
        <w:rPr>
          <w:spacing w:val="-10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HIV/AIDs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Reproductive</w:t>
      </w:r>
      <w:r>
        <w:rPr>
          <w:spacing w:val="-58"/>
        </w:rPr>
        <w:t> </w:t>
      </w:r>
      <w:r>
        <w:rPr/>
        <w:t>Health</w:t>
      </w:r>
      <w:r>
        <w:rPr>
          <w:spacing w:val="-1"/>
        </w:rPr>
        <w:t> </w:t>
      </w:r>
      <w:r>
        <w:rPr/>
        <w:t>Survey, </w:t>
      </w:r>
      <w:r>
        <w:rPr>
          <w:i/>
        </w:rPr>
        <w:t>Health Economics Review</w:t>
      </w:r>
      <w:r>
        <w:rPr/>
        <w:t>, </w:t>
      </w:r>
      <w:r>
        <w:rPr>
          <w:i/>
        </w:rPr>
        <w:t>5</w:t>
      </w:r>
      <w:r>
        <w:rPr/>
        <w:t>(5),</w:t>
      </w:r>
      <w:r>
        <w:rPr>
          <w:spacing w:val="-1"/>
        </w:rPr>
        <w:t> </w:t>
      </w:r>
      <w:r>
        <w:rPr/>
        <w:t>1-10</w:t>
      </w:r>
    </w:p>
    <w:p>
      <w:pPr>
        <w:spacing w:after="0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spacing w:before="72"/>
        <w:ind w:left="840" w:right="117" w:hanging="720"/>
        <w:jc w:val="both"/>
        <w:rPr>
          <w:sz w:val="24"/>
        </w:rPr>
      </w:pPr>
      <w:r>
        <w:rPr>
          <w:sz w:val="24"/>
        </w:rPr>
        <w:t>Fatukasi A.A. &amp; Ayeomoni, I.O. (2015). Effects of Income Inequality on Health Indicators 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8"/>
          <w:sz w:val="24"/>
        </w:rPr>
        <w:t> </w:t>
      </w:r>
      <w:r>
        <w:rPr>
          <w:sz w:val="24"/>
        </w:rPr>
        <w:t>(1980-2014).</w:t>
      </w:r>
      <w:r>
        <w:rPr>
          <w:spacing w:val="-6"/>
          <w:sz w:val="24"/>
        </w:rPr>
        <w:t> </w:t>
      </w:r>
      <w:r>
        <w:rPr>
          <w:i/>
          <w:sz w:val="24"/>
        </w:rPr>
        <w:t>Int’l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(8),</w:t>
      </w:r>
      <w:r>
        <w:rPr>
          <w:spacing w:val="-1"/>
          <w:sz w:val="24"/>
        </w:rPr>
        <w:t> </w:t>
      </w:r>
      <w:r>
        <w:rPr>
          <w:sz w:val="24"/>
        </w:rPr>
        <w:t>274-285</w:t>
      </w:r>
    </w:p>
    <w:p>
      <w:pPr>
        <w:spacing w:line="376" w:lineRule="auto" w:before="161"/>
        <w:ind w:left="120" w:right="367" w:firstLine="0"/>
        <w:jc w:val="both"/>
        <w:rPr>
          <w:sz w:val="24"/>
        </w:rPr>
      </w:pPr>
      <w:r>
        <w:rPr>
          <w:sz w:val="24"/>
        </w:rPr>
        <w:t>Federal Ministry of Health (2010). </w:t>
      </w:r>
      <w:r>
        <w:rPr>
          <w:i/>
          <w:sz w:val="24"/>
        </w:rPr>
        <w:t>2010 National HIV Sero-prevalence Sentinel Survey. </w:t>
      </w:r>
      <w:r>
        <w:rPr>
          <w:sz w:val="24"/>
        </w:rPr>
        <w:t>Abuja</w:t>
      </w:r>
      <w:r>
        <w:rPr>
          <w:spacing w:val="-58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Ministry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 (2012). </w:t>
      </w:r>
      <w:r>
        <w:rPr>
          <w:i/>
          <w:sz w:val="24"/>
        </w:rPr>
        <w:t>National Malaria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Control Programme.</w:t>
      </w:r>
      <w:r>
        <w:rPr>
          <w:i/>
          <w:spacing w:val="1"/>
          <w:sz w:val="24"/>
        </w:rPr>
        <w:t> </w:t>
      </w:r>
      <w:r>
        <w:rPr>
          <w:sz w:val="24"/>
        </w:rPr>
        <w:t>Abuja, Nigeria</w:t>
      </w:r>
    </w:p>
    <w:p>
      <w:pPr>
        <w:spacing w:before="5"/>
        <w:ind w:left="840" w:right="118" w:hanging="720"/>
        <w:jc w:val="both"/>
        <w:rPr>
          <w:sz w:val="24"/>
        </w:rPr>
      </w:pPr>
      <w:r>
        <w:rPr>
          <w:sz w:val="24"/>
        </w:rPr>
        <w:t>Federal Ministry of Health (2015). </w:t>
      </w:r>
      <w:r>
        <w:rPr>
          <w:i/>
          <w:sz w:val="24"/>
        </w:rPr>
        <w:t>Mother, New born and Child Health. </w:t>
      </w:r>
      <w:r>
        <w:rPr>
          <w:sz w:val="24"/>
        </w:rPr>
        <w:t>Family Health Division,</w:t>
      </w:r>
      <w:r>
        <w:rPr>
          <w:spacing w:val="-57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spacing w:before="160"/>
        <w:ind w:left="840" w:right="112" w:hanging="720"/>
        <w:jc w:val="both"/>
      </w:pPr>
      <w:r>
        <w:rPr/>
        <w:t>Fritzell,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Generosity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Lancet</w:t>
      </w:r>
      <w:r>
        <w:rPr/>
        <w:t>.</w:t>
      </w:r>
      <w:r>
        <w:rPr>
          <w:spacing w:val="1"/>
        </w:rPr>
        <w:t> </w:t>
      </w:r>
      <w:r>
        <w:rPr>
          <w:i/>
        </w:rPr>
        <w:t>372</w:t>
      </w:r>
      <w:r>
        <w:rPr/>
        <w:t>(9650),</w:t>
      </w:r>
      <w:r>
        <w:rPr>
          <w:spacing w:val="-1"/>
        </w:rPr>
        <w:t> </w:t>
      </w:r>
      <w:r>
        <w:rPr/>
        <w:t>1633–1640.</w:t>
      </w:r>
    </w:p>
    <w:p>
      <w:pPr>
        <w:spacing w:before="159"/>
        <w:ind w:left="840" w:right="114" w:hanging="720"/>
        <w:jc w:val="both"/>
        <w:rPr>
          <w:sz w:val="24"/>
        </w:rPr>
      </w:pPr>
      <w:r>
        <w:rPr>
          <w:sz w:val="24"/>
        </w:rPr>
        <w:t>Fogarty,</w:t>
      </w:r>
      <w:r>
        <w:rPr>
          <w:spacing w:val="1"/>
          <w:sz w:val="24"/>
        </w:rPr>
        <w:t> </w:t>
      </w:r>
      <w:r>
        <w:rPr>
          <w:sz w:val="24"/>
        </w:rPr>
        <w:t>A.S.,</w:t>
      </w:r>
      <w:r>
        <w:rPr>
          <w:spacing w:val="1"/>
          <w:sz w:val="24"/>
        </w:rPr>
        <w:t> </w:t>
      </w:r>
      <w:r>
        <w:rPr>
          <w:sz w:val="24"/>
        </w:rPr>
        <w:t>Zablotska,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Rawstorne,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Prestage,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Kippax,</w:t>
      </w:r>
      <w:r>
        <w:rPr>
          <w:spacing w:val="1"/>
          <w:sz w:val="24"/>
        </w:rPr>
        <w:t> </w:t>
      </w:r>
      <w:r>
        <w:rPr>
          <w:sz w:val="24"/>
        </w:rPr>
        <w:t>S.C.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Factors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Distinguishing Employed from Unemployed. </w:t>
      </w:r>
      <w:r>
        <w:rPr>
          <w:sz w:val="24"/>
        </w:rPr>
        <w:t>People in the Positive Health Study. AIDS,</w:t>
      </w:r>
      <w:r>
        <w:rPr>
          <w:spacing w:val="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(1),</w:t>
      </w:r>
      <w:r>
        <w:rPr>
          <w:spacing w:val="-2"/>
          <w:sz w:val="24"/>
        </w:rPr>
        <w:t> </w:t>
      </w:r>
      <w:r>
        <w:rPr>
          <w:sz w:val="24"/>
        </w:rPr>
        <w:t>37-42</w:t>
      </w:r>
    </w:p>
    <w:p>
      <w:pPr>
        <w:spacing w:before="161"/>
        <w:ind w:left="840" w:right="122" w:hanging="720"/>
        <w:jc w:val="both"/>
        <w:rPr>
          <w:sz w:val="24"/>
        </w:rPr>
      </w:pPr>
      <w:r>
        <w:rPr>
          <w:sz w:val="24"/>
        </w:rPr>
        <w:t>Food Research and Action (2018). </w:t>
      </w:r>
      <w:r>
        <w:rPr>
          <w:i/>
          <w:sz w:val="24"/>
        </w:rPr>
        <w:t>Why Low-Income and Food insecure people are vulnerable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 and Obesity</w:t>
      </w:r>
      <w:r>
        <w:rPr>
          <w:sz w:val="24"/>
        </w:rPr>
        <w:t>. Food Research</w:t>
      </w:r>
      <w:r>
        <w:rPr>
          <w:spacing w:val="1"/>
          <w:sz w:val="24"/>
        </w:rPr>
        <w:t> </w:t>
      </w:r>
      <w:r>
        <w:rPr>
          <w:sz w:val="24"/>
        </w:rPr>
        <w:t>and Action Center</w:t>
      </w:r>
    </w:p>
    <w:p>
      <w:pPr>
        <w:spacing w:before="161"/>
        <w:ind w:left="840" w:right="120" w:hanging="720"/>
        <w:jc w:val="both"/>
        <w:rPr>
          <w:sz w:val="24"/>
        </w:rPr>
      </w:pPr>
      <w:r>
        <w:rPr>
          <w:sz w:val="24"/>
        </w:rPr>
        <w:t>Fuentes-Nieva, R. &amp; Galasso, N. (2014). </w:t>
      </w:r>
      <w:r>
        <w:rPr>
          <w:i/>
          <w:sz w:val="24"/>
        </w:rPr>
        <w:t>Working for the Few: Political Capture and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Inequality.</w:t>
      </w:r>
      <w:r>
        <w:rPr>
          <w:i/>
          <w:spacing w:val="-2"/>
          <w:sz w:val="24"/>
        </w:rPr>
        <w:t> </w:t>
      </w:r>
      <w:r>
        <w:rPr>
          <w:sz w:val="24"/>
        </w:rPr>
        <w:t>Oxfam</w:t>
      </w:r>
      <w:r>
        <w:rPr>
          <w:spacing w:val="2"/>
          <w:sz w:val="24"/>
        </w:rPr>
        <w:t> </w:t>
      </w:r>
      <w:r>
        <w:rPr>
          <w:sz w:val="24"/>
        </w:rPr>
        <w:t>International, Oxford, UK.</w:t>
      </w:r>
      <w:r>
        <w:rPr>
          <w:spacing w:val="1"/>
          <w:sz w:val="24"/>
        </w:rPr>
        <w:t> </w:t>
      </w:r>
      <w:hyperlink r:id="rId173">
        <w:r>
          <w:rPr>
            <w:sz w:val="24"/>
            <w:u w:val="single"/>
          </w:rPr>
          <w:t>www.oxfam.org</w:t>
        </w:r>
      </w:hyperlink>
    </w:p>
    <w:p>
      <w:pPr>
        <w:spacing w:before="228"/>
        <w:ind w:left="120" w:right="0" w:firstLine="0"/>
        <w:jc w:val="left"/>
        <w:rPr>
          <w:sz w:val="24"/>
        </w:rPr>
      </w:pPr>
      <w:r>
        <w:rPr>
          <w:sz w:val="24"/>
        </w:rPr>
        <w:t>Fukai,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Iwamoto,</w:t>
      </w:r>
      <w:r>
        <w:rPr>
          <w:spacing w:val="-1"/>
          <w:sz w:val="24"/>
        </w:rPr>
        <w:t> </w:t>
      </w:r>
      <w:r>
        <w:rPr>
          <w:sz w:val="24"/>
        </w:rPr>
        <w:t>Y. (2003),</w:t>
      </w:r>
      <w:r>
        <w:rPr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Estimate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losses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deterioration,</w:t>
      </w:r>
      <w:r>
        <w:rPr>
          <w:i/>
          <w:spacing w:val="-2"/>
          <w:sz w:val="24"/>
        </w:rPr>
        <w:t> </w:t>
      </w:r>
      <w:r>
        <w:rPr>
          <w:sz w:val="24"/>
        </w:rPr>
        <w:t>Japan</w:t>
      </w:r>
    </w:p>
    <w:p>
      <w:pPr>
        <w:spacing w:before="161"/>
        <w:ind w:left="840" w:right="115" w:hanging="720"/>
        <w:jc w:val="both"/>
        <w:rPr>
          <w:sz w:val="24"/>
        </w:rPr>
      </w:pPr>
      <w:r>
        <w:rPr>
          <w:sz w:val="24"/>
        </w:rPr>
        <w:t>Galama, T.J. &amp; van-Kippersluis, H. (2013). </w:t>
      </w:r>
      <w:r>
        <w:rPr>
          <w:i/>
          <w:sz w:val="24"/>
        </w:rPr>
        <w:t>Health Inequalities through the Lens of Health-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 Theory: Issues, Solutions and Further Directions. </w:t>
      </w:r>
      <w:r>
        <w:rPr>
          <w:sz w:val="24"/>
        </w:rPr>
        <w:t>Tinbergen Institute Discussion</w:t>
      </w:r>
      <w:r>
        <w:rPr>
          <w:spacing w:val="1"/>
          <w:sz w:val="24"/>
        </w:rPr>
        <w:t> </w:t>
      </w:r>
      <w:r>
        <w:rPr>
          <w:sz w:val="24"/>
        </w:rPr>
        <w:t>Papers,</w:t>
      </w:r>
      <w:r>
        <w:rPr>
          <w:spacing w:val="-1"/>
          <w:sz w:val="24"/>
        </w:rPr>
        <w:t> </w:t>
      </w:r>
      <w:r>
        <w:rPr>
          <w:sz w:val="24"/>
        </w:rPr>
        <w:t>13-076/V, Tinbergen</w:t>
      </w:r>
      <w:r>
        <w:rPr>
          <w:spacing w:val="4"/>
          <w:sz w:val="24"/>
        </w:rPr>
        <w:t> </w:t>
      </w:r>
      <w:r>
        <w:rPr>
          <w:sz w:val="24"/>
        </w:rPr>
        <w:t>Institute</w:t>
      </w:r>
    </w:p>
    <w:p>
      <w:pPr>
        <w:spacing w:before="161"/>
        <w:ind w:left="840" w:right="117" w:hanging="720"/>
        <w:jc w:val="both"/>
        <w:rPr>
          <w:sz w:val="24"/>
        </w:rPr>
      </w:pPr>
      <w:r>
        <w:rPr>
          <w:sz w:val="24"/>
        </w:rPr>
        <w:t>Galama, T.J. &amp; van-Kippersluis, H. (2018). </w:t>
      </w:r>
      <w:r>
        <w:rPr>
          <w:i/>
          <w:sz w:val="24"/>
        </w:rPr>
        <w:t>The Effect of Education on Health and Mortality: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 of Experimental and Quasi-Experimental Evidence. </w:t>
      </w:r>
      <w:r>
        <w:rPr>
          <w:sz w:val="24"/>
        </w:rPr>
        <w:t>NBER Working Paper No</w:t>
      </w:r>
      <w:r>
        <w:rPr>
          <w:spacing w:val="1"/>
          <w:sz w:val="24"/>
        </w:rPr>
        <w:t> </w:t>
      </w:r>
      <w:r>
        <w:rPr>
          <w:sz w:val="24"/>
        </w:rPr>
        <w:t>24225</w:t>
      </w:r>
    </w:p>
    <w:p>
      <w:pPr>
        <w:pStyle w:val="BodyText"/>
        <w:spacing w:before="159"/>
        <w:ind w:left="840" w:right="123" w:hanging="720"/>
        <w:jc w:val="both"/>
      </w:pPr>
      <w:r>
        <w:rPr/>
        <w:t>Galor, O. &amp; Moav O. (2004). From Physical to Human Capital Accumulation: Inequality and the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 Development,</w:t>
      </w:r>
      <w:r>
        <w:rPr>
          <w:spacing w:val="4"/>
        </w:rPr>
        <w:t> </w:t>
      </w:r>
      <w:r>
        <w:rPr>
          <w:i/>
        </w:rPr>
        <w:t>Review</w:t>
      </w:r>
      <w:r>
        <w:rPr>
          <w:i/>
          <w:spacing w:val="-1"/>
        </w:rPr>
        <w:t> </w:t>
      </w:r>
      <w:r>
        <w:rPr>
          <w:i/>
        </w:rPr>
        <w:t>of Economic</w:t>
      </w:r>
      <w:r>
        <w:rPr>
          <w:i/>
          <w:spacing w:val="-1"/>
        </w:rPr>
        <w:t> </w:t>
      </w:r>
      <w:r>
        <w:rPr>
          <w:i/>
        </w:rPr>
        <w:t>Studies, 71</w:t>
      </w:r>
      <w:r>
        <w:rPr/>
        <w:t>(4),</w:t>
      </w:r>
      <w:r>
        <w:rPr>
          <w:spacing w:val="-1"/>
        </w:rPr>
        <w:t> </w:t>
      </w:r>
      <w:r>
        <w:rPr/>
        <w:t>1001-1026</w:t>
      </w:r>
    </w:p>
    <w:p>
      <w:pPr>
        <w:spacing w:before="161"/>
        <w:ind w:left="840" w:right="113" w:hanging="720"/>
        <w:jc w:val="both"/>
        <w:rPr>
          <w:sz w:val="24"/>
        </w:rPr>
      </w:pPr>
      <w:r>
        <w:rPr>
          <w:sz w:val="24"/>
        </w:rPr>
        <w:t>Gambin, L. (2004), </w:t>
      </w:r>
      <w:r>
        <w:rPr>
          <w:i/>
          <w:sz w:val="24"/>
        </w:rPr>
        <w:t>Gender differences in the effect of health on wages in Britain</w:t>
      </w:r>
      <w:r>
        <w:rPr>
          <w:sz w:val="24"/>
        </w:rPr>
        <w:t>, Department 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and Related</w:t>
      </w:r>
      <w:r>
        <w:rPr>
          <w:spacing w:val="2"/>
          <w:sz w:val="24"/>
        </w:rPr>
        <w:t> </w:t>
      </w:r>
      <w:r>
        <w:rPr>
          <w:sz w:val="24"/>
        </w:rPr>
        <w:t>Studies, University</w:t>
      </w:r>
      <w:r>
        <w:rPr>
          <w:spacing w:val="-5"/>
          <w:sz w:val="24"/>
        </w:rPr>
        <w:t> </w:t>
      </w:r>
      <w:r>
        <w:rPr>
          <w:sz w:val="24"/>
        </w:rPr>
        <w:t>of York</w:t>
      </w:r>
      <w:r>
        <w:rPr>
          <w:spacing w:val="-1"/>
          <w:sz w:val="24"/>
        </w:rPr>
        <w:t> </w:t>
      </w:r>
      <w:r>
        <w:rPr>
          <w:sz w:val="24"/>
        </w:rPr>
        <w:t>Finance</w:t>
      </w:r>
    </w:p>
    <w:p>
      <w:pPr>
        <w:spacing w:before="160"/>
        <w:ind w:left="840" w:right="118" w:hanging="720"/>
        <w:jc w:val="both"/>
        <w:rPr>
          <w:sz w:val="24"/>
        </w:rPr>
      </w:pPr>
      <w:r>
        <w:rPr>
          <w:sz w:val="24"/>
        </w:rPr>
        <w:t>Gamper-Rabindran, S. Khan. S, &amp; C. Timmins (2010). The Impact of Piped Water Provision on</w:t>
      </w:r>
      <w:r>
        <w:rPr>
          <w:spacing w:val="1"/>
          <w:sz w:val="24"/>
        </w:rPr>
        <w:t> </w:t>
      </w:r>
      <w:r>
        <w:rPr>
          <w:sz w:val="24"/>
        </w:rPr>
        <w:t>Infant</w:t>
      </w:r>
      <w:r>
        <w:rPr>
          <w:spacing w:val="-1"/>
          <w:sz w:val="24"/>
        </w:rPr>
        <w:t> </w:t>
      </w:r>
      <w:r>
        <w:rPr>
          <w:sz w:val="24"/>
        </w:rPr>
        <w:t>Mortality</w:t>
      </w:r>
      <w:r>
        <w:rPr>
          <w:spacing w:val="-5"/>
          <w:sz w:val="24"/>
        </w:rPr>
        <w:t> </w:t>
      </w:r>
      <w:r>
        <w:rPr>
          <w:sz w:val="24"/>
        </w:rPr>
        <w:t>in Brazil.</w:t>
      </w:r>
      <w:r>
        <w:rPr>
          <w:spacing w:val="2"/>
          <w:sz w:val="24"/>
        </w:rPr>
        <w:t> </w:t>
      </w:r>
      <w:r>
        <w:rPr>
          <w:i/>
          <w:sz w:val="24"/>
        </w:rPr>
        <w:t>Journal of Development Economics</w:t>
      </w:r>
      <w:r>
        <w:rPr>
          <w:sz w:val="24"/>
        </w:rPr>
        <w:t>, </w:t>
      </w:r>
      <w:r>
        <w:rPr>
          <w:i/>
          <w:sz w:val="24"/>
        </w:rPr>
        <w:t>92</w:t>
      </w:r>
      <w:r>
        <w:rPr>
          <w:sz w:val="24"/>
        </w:rPr>
        <w:t>(2), 188-200</w:t>
      </w:r>
    </w:p>
    <w:p>
      <w:pPr>
        <w:pStyle w:val="BodyText"/>
        <w:spacing w:before="160"/>
        <w:ind w:left="840" w:right="118" w:hanging="720"/>
        <w:jc w:val="both"/>
      </w:pPr>
      <w:r>
        <w:rPr/>
        <w:t>Ganju, A. (2020). Systemic Solutions for Addressing Non-Communicable Diseases in Low- and</w:t>
      </w:r>
      <w:r>
        <w:rPr>
          <w:spacing w:val="1"/>
        </w:rPr>
        <w:t> </w:t>
      </w:r>
      <w:r>
        <w:rPr/>
        <w:t>Middle-Income</w:t>
      </w:r>
      <w:r>
        <w:rPr>
          <w:spacing w:val="-1"/>
        </w:rPr>
        <w:t> </w:t>
      </w:r>
      <w:r>
        <w:rPr/>
        <w:t>Countries.</w:t>
      </w:r>
      <w:r>
        <w:rPr>
          <w:spacing w:val="1"/>
        </w:rPr>
        <w:t> </w:t>
      </w:r>
      <w:r>
        <w:rPr>
          <w:i/>
        </w:rPr>
        <w:t>Health Economics,</w:t>
      </w:r>
      <w:r>
        <w:rPr>
          <w:i/>
          <w:spacing w:val="1"/>
        </w:rPr>
        <w:t> </w:t>
      </w:r>
      <w:r>
        <w:rPr>
          <w:i/>
        </w:rPr>
        <w:t>13</w:t>
      </w:r>
      <w:r>
        <w:rPr/>
        <w:t>(1),</w:t>
      </w:r>
      <w:r>
        <w:rPr>
          <w:spacing w:val="-2"/>
        </w:rPr>
        <w:t> </w:t>
      </w:r>
      <w:r>
        <w:rPr/>
        <w:t>693-707</w:t>
      </w:r>
    </w:p>
    <w:p>
      <w:pPr>
        <w:spacing w:before="160"/>
        <w:ind w:left="120" w:right="0" w:firstLine="0"/>
        <w:jc w:val="left"/>
        <w:rPr>
          <w:i/>
          <w:sz w:val="24"/>
        </w:rPr>
      </w:pPr>
      <w:r>
        <w:rPr>
          <w:sz w:val="24"/>
        </w:rPr>
        <w:t>Garcia-Penalosa,</w:t>
      </w:r>
      <w:r>
        <w:rPr>
          <w:spacing w:val="40"/>
          <w:sz w:val="24"/>
        </w:rPr>
        <w:t> </w:t>
      </w:r>
      <w:r>
        <w:rPr>
          <w:sz w:val="24"/>
        </w:rPr>
        <w:t>C.</w:t>
      </w:r>
      <w:r>
        <w:rPr>
          <w:spacing w:val="40"/>
          <w:sz w:val="24"/>
        </w:rPr>
        <w:t> </w:t>
      </w:r>
      <w:r>
        <w:rPr>
          <w:sz w:val="24"/>
        </w:rPr>
        <w:t>(2008).</w:t>
      </w:r>
      <w:r>
        <w:rPr>
          <w:spacing w:val="42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Growth: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Goal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conflict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necessary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prerequisite?</w:t>
      </w:r>
    </w:p>
    <w:p>
      <w:pPr>
        <w:pStyle w:val="BodyText"/>
        <w:ind w:left="840"/>
      </w:pPr>
      <w:r>
        <w:rPr/>
        <w:t>Oesterreichische</w:t>
      </w:r>
      <w:r>
        <w:rPr>
          <w:spacing w:val="-1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Bank,</w:t>
      </w:r>
      <w:r>
        <w:rPr>
          <w:spacing w:val="-2"/>
        </w:rPr>
        <w:t> </w:t>
      </w:r>
      <w:r>
        <w:rPr/>
        <w:t>Workıng</w:t>
      </w:r>
      <w:r>
        <w:rPr>
          <w:spacing w:val="-4"/>
        </w:rPr>
        <w:t> </w:t>
      </w:r>
      <w:r>
        <w:rPr/>
        <w:t>Paper</w:t>
      </w:r>
      <w:r>
        <w:rPr>
          <w:spacing w:val="-2"/>
        </w:rPr>
        <w:t> </w:t>
      </w:r>
      <w:r>
        <w:rPr/>
        <w:t>147</w:t>
      </w:r>
    </w:p>
    <w:p>
      <w:pPr>
        <w:spacing w:before="159"/>
        <w:ind w:left="120" w:right="0" w:firstLine="0"/>
        <w:jc w:val="left"/>
        <w:rPr>
          <w:sz w:val="24"/>
        </w:rPr>
      </w:pPr>
      <w:r>
        <w:rPr>
          <w:sz w:val="24"/>
        </w:rPr>
        <w:t>Gilens,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(2012).</w:t>
      </w:r>
      <w:r>
        <w:rPr>
          <w:spacing w:val="-1"/>
          <w:sz w:val="24"/>
        </w:rPr>
        <w:t> </w:t>
      </w:r>
      <w:r>
        <w:rPr>
          <w:i/>
          <w:sz w:val="24"/>
        </w:rPr>
        <w:t>Affluence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Influence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Princeton,</w:t>
      </w:r>
      <w:r>
        <w:rPr>
          <w:spacing w:val="-1"/>
          <w:sz w:val="24"/>
        </w:rPr>
        <w:t> </w:t>
      </w:r>
      <w:r>
        <w:rPr>
          <w:sz w:val="24"/>
        </w:rPr>
        <w:t>NJ:</w:t>
      </w:r>
      <w:r>
        <w:rPr>
          <w:spacing w:val="-2"/>
          <w:sz w:val="24"/>
        </w:rPr>
        <w:t> </w:t>
      </w:r>
      <w:r>
        <w:rPr>
          <w:sz w:val="24"/>
        </w:rPr>
        <w:t>Princeton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Press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1320" w:right="1320"/>
        </w:sectPr>
      </w:pPr>
    </w:p>
    <w:p>
      <w:pPr>
        <w:spacing w:before="72"/>
        <w:ind w:left="840" w:right="121" w:hanging="720"/>
        <w:jc w:val="both"/>
        <w:rPr>
          <w:sz w:val="24"/>
        </w:rPr>
      </w:pPr>
      <w:r>
        <w:rPr>
          <w:sz w:val="24"/>
        </w:rPr>
        <w:t>Goodman, N. (2015). </w:t>
      </w:r>
      <w:r>
        <w:rPr>
          <w:i/>
          <w:sz w:val="24"/>
        </w:rPr>
        <w:t>The Impact of Employment on the Health Status and Healthcare Costs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Working-age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Disabilities. </w:t>
      </w:r>
      <w:r>
        <w:rPr>
          <w:sz w:val="24"/>
        </w:rPr>
        <w:t>Lead</w:t>
      </w:r>
      <w:r>
        <w:rPr>
          <w:spacing w:val="-1"/>
          <w:sz w:val="24"/>
        </w:rPr>
        <w:t> </w:t>
      </w:r>
      <w:r>
        <w:rPr>
          <w:sz w:val="24"/>
        </w:rPr>
        <w:t>Center Policy</w:t>
      </w:r>
      <w:r>
        <w:rPr>
          <w:spacing w:val="-4"/>
          <w:sz w:val="24"/>
        </w:rPr>
        <w:t> </w:t>
      </w:r>
      <w:r>
        <w:rPr>
          <w:sz w:val="24"/>
        </w:rPr>
        <w:t>Brief,</w:t>
      </w:r>
      <w:r>
        <w:rPr>
          <w:spacing w:val="2"/>
          <w:sz w:val="24"/>
        </w:rPr>
        <w:t> </w:t>
      </w:r>
      <w:r>
        <w:rPr>
          <w:sz w:val="24"/>
        </w:rPr>
        <w:t>November, 2015</w:t>
      </w:r>
    </w:p>
    <w:p>
      <w:pPr>
        <w:spacing w:before="161"/>
        <w:ind w:left="840" w:right="119" w:hanging="720"/>
        <w:jc w:val="both"/>
        <w:rPr>
          <w:sz w:val="24"/>
        </w:rPr>
      </w:pPr>
      <w:r>
        <w:rPr>
          <w:sz w:val="24"/>
        </w:rPr>
        <w:t>Gravelle, H., Wildman, J., &amp; Sutton, M. (2000). </w:t>
      </w:r>
      <w:r>
        <w:rPr>
          <w:i/>
          <w:sz w:val="24"/>
        </w:rPr>
        <w:t>Income, Income Inequality and Health: 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Aggregate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Data?</w:t>
      </w:r>
      <w:r>
        <w:rPr>
          <w:i/>
          <w:spacing w:val="1"/>
          <w:sz w:val="24"/>
        </w:rPr>
        <w:t> </w:t>
      </w:r>
      <w:r>
        <w:rPr>
          <w:sz w:val="24"/>
        </w:rPr>
        <w:t>Dept.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Econ.,</w:t>
      </w:r>
      <w:r>
        <w:rPr>
          <w:spacing w:val="1"/>
          <w:sz w:val="24"/>
        </w:rPr>
        <w:t> </w:t>
      </w:r>
      <w:r>
        <w:rPr>
          <w:sz w:val="24"/>
        </w:rPr>
        <w:t>York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Canada,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manuscript</w:t>
      </w:r>
    </w:p>
    <w:p>
      <w:pPr>
        <w:pStyle w:val="BodyText"/>
        <w:spacing w:before="158"/>
        <w:ind w:left="840" w:right="120" w:hanging="720"/>
        <w:jc w:val="both"/>
      </w:pPr>
      <w:r>
        <w:rPr/>
        <w:t>Gravelle, H., Wildman, J., &amp; Sutton, M. (2002). Income, Income Inequality and Health: What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We</w:t>
      </w:r>
      <w:r>
        <w:rPr>
          <w:spacing w:val="1"/>
        </w:rPr>
        <w:t> </w:t>
      </w:r>
      <w:r>
        <w:rPr/>
        <w:t>Learn</w:t>
      </w:r>
      <w:r>
        <w:rPr>
          <w:spacing w:val="-1"/>
        </w:rPr>
        <w:t> </w:t>
      </w:r>
      <w:r>
        <w:rPr/>
        <w:t>from Aggregate</w:t>
      </w:r>
      <w:r>
        <w:rPr>
          <w:spacing w:val="-1"/>
        </w:rPr>
        <w:t> </w:t>
      </w:r>
      <w:r>
        <w:rPr/>
        <w:t>Data?</w:t>
      </w:r>
      <w:r>
        <w:rPr>
          <w:spacing w:val="6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Medicine,</w:t>
      </w:r>
      <w:r>
        <w:rPr>
          <w:i/>
          <w:spacing w:val="-1"/>
        </w:rPr>
        <w:t> </w:t>
      </w:r>
      <w:r>
        <w:rPr>
          <w:i/>
        </w:rPr>
        <w:t>54</w:t>
      </w:r>
      <w:r>
        <w:rPr/>
        <w:t>,</w:t>
      </w:r>
      <w:r>
        <w:rPr>
          <w:spacing w:val="-1"/>
        </w:rPr>
        <w:t> </w:t>
      </w:r>
      <w:r>
        <w:rPr/>
        <w:t>577–589</w:t>
      </w:r>
    </w:p>
    <w:p>
      <w:pPr>
        <w:pStyle w:val="BodyText"/>
        <w:spacing w:before="161"/>
        <w:ind w:left="120"/>
      </w:pPr>
      <w:r>
        <w:rPr/>
        <w:t>Grepin,</w:t>
      </w:r>
      <w:r>
        <w:rPr>
          <w:spacing w:val="24"/>
        </w:rPr>
        <w:t> </w:t>
      </w:r>
      <w:r>
        <w:rPr/>
        <w:t>K.A.,</w:t>
      </w:r>
      <w:r>
        <w:rPr>
          <w:spacing w:val="24"/>
        </w:rPr>
        <w:t> </w:t>
      </w:r>
      <w:r>
        <w:rPr/>
        <w:t>&amp;</w:t>
      </w:r>
      <w:r>
        <w:rPr>
          <w:spacing w:val="24"/>
        </w:rPr>
        <w:t> </w:t>
      </w:r>
      <w:r>
        <w:rPr/>
        <w:t>Bharadwaj,</w:t>
      </w:r>
      <w:r>
        <w:rPr>
          <w:spacing w:val="25"/>
        </w:rPr>
        <w:t> </w:t>
      </w:r>
      <w:r>
        <w:rPr/>
        <w:t>P.</w:t>
      </w:r>
      <w:r>
        <w:rPr>
          <w:spacing w:val="24"/>
        </w:rPr>
        <w:t> </w:t>
      </w:r>
      <w:r>
        <w:rPr/>
        <w:t>(2015).</w:t>
      </w:r>
      <w:r>
        <w:rPr>
          <w:spacing w:val="23"/>
        </w:rPr>
        <w:t> </w:t>
      </w:r>
      <w:r>
        <w:rPr/>
        <w:t>Maternal</w:t>
      </w:r>
      <w:r>
        <w:rPr>
          <w:spacing w:val="26"/>
        </w:rPr>
        <w:t> </w:t>
      </w:r>
      <w:r>
        <w:rPr/>
        <w:t>Education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Child</w:t>
      </w:r>
      <w:r>
        <w:rPr>
          <w:spacing w:val="24"/>
        </w:rPr>
        <w:t> </w:t>
      </w:r>
      <w:r>
        <w:rPr/>
        <w:t>Mortality</w:t>
      </w:r>
      <w:r>
        <w:rPr>
          <w:spacing w:val="20"/>
        </w:rPr>
        <w:t> </w:t>
      </w:r>
      <w:r>
        <w:rPr/>
        <w:t>in</w:t>
      </w:r>
      <w:r>
        <w:rPr>
          <w:spacing w:val="24"/>
        </w:rPr>
        <w:t> </w:t>
      </w:r>
      <w:r>
        <w:rPr/>
        <w:t>Zimbabwe.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, </w:t>
      </w:r>
      <w:r>
        <w:rPr>
          <w:i/>
          <w:sz w:val="24"/>
        </w:rPr>
        <w:t>44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97-117</w:t>
      </w:r>
    </w:p>
    <w:p>
      <w:pPr>
        <w:pStyle w:val="BodyText"/>
        <w:spacing w:line="430" w:lineRule="atLeast" w:before="7"/>
        <w:ind w:left="120" w:right="111"/>
        <w:rPr>
          <w:i/>
        </w:rPr>
      </w:pPr>
      <w:r>
        <w:rPr/>
        <w:t>Green,</w:t>
      </w:r>
      <w:r>
        <w:rPr>
          <w:spacing w:val="-2"/>
        </w:rPr>
        <w:t> </w:t>
      </w:r>
      <w:r>
        <w:rPr/>
        <w:t>W.H.</w:t>
      </w:r>
      <w:r>
        <w:rPr>
          <w:spacing w:val="-4"/>
        </w:rPr>
        <w:t> </w:t>
      </w:r>
      <w:r>
        <w:rPr/>
        <w:t>(2000).</w:t>
      </w:r>
      <w:r>
        <w:rPr>
          <w:spacing w:val="-4"/>
        </w:rPr>
        <w:t> </w:t>
      </w:r>
      <w:r>
        <w:rPr>
          <w:i/>
        </w:rPr>
        <w:t>Econometric</w:t>
      </w:r>
      <w:r>
        <w:rPr>
          <w:i/>
          <w:spacing w:val="-5"/>
        </w:rPr>
        <w:t> </w:t>
      </w:r>
      <w:r>
        <w:rPr>
          <w:i/>
        </w:rPr>
        <w:t>Analysis</w:t>
      </w:r>
      <w:r>
        <w:rPr/>
        <w:t>,</w:t>
      </w:r>
      <w:r>
        <w:rPr>
          <w:spacing w:val="-3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-3"/>
          <w:vertAlign w:val="baseline"/>
        </w:rPr>
        <w:t> </w:t>
      </w:r>
      <w:r>
        <w:rPr>
          <w:vertAlign w:val="baseline"/>
        </w:rPr>
        <w:t>Ed.</w:t>
      </w:r>
      <w:r>
        <w:rPr>
          <w:spacing w:val="-4"/>
          <w:vertAlign w:val="baseline"/>
        </w:rPr>
        <w:t> </w:t>
      </w:r>
      <w:r>
        <w:rPr>
          <w:vertAlign w:val="baseline"/>
        </w:rPr>
        <w:t>Prentice</w:t>
      </w:r>
      <w:r>
        <w:rPr>
          <w:spacing w:val="-4"/>
          <w:vertAlign w:val="baseline"/>
        </w:rPr>
        <w:t> </w:t>
      </w:r>
      <w:r>
        <w:rPr>
          <w:vertAlign w:val="baseline"/>
        </w:rPr>
        <w:t>Hall,</w:t>
      </w:r>
      <w:r>
        <w:rPr>
          <w:spacing w:val="-4"/>
          <w:vertAlign w:val="baseline"/>
        </w:rPr>
        <w:t> </w:t>
      </w:r>
      <w:r>
        <w:rPr>
          <w:vertAlign w:val="baseline"/>
        </w:rPr>
        <w:t>Englewood,</w:t>
      </w:r>
      <w:r>
        <w:rPr>
          <w:spacing w:val="-4"/>
          <w:vertAlign w:val="baseline"/>
        </w:rPr>
        <w:t> </w:t>
      </w:r>
      <w:r>
        <w:rPr>
          <w:vertAlign w:val="baseline"/>
        </w:rPr>
        <w:t>New</w:t>
      </w:r>
      <w:r>
        <w:rPr>
          <w:spacing w:val="-4"/>
          <w:vertAlign w:val="baseline"/>
        </w:rPr>
        <w:t> </w:t>
      </w:r>
      <w:r>
        <w:rPr>
          <w:vertAlign w:val="baseline"/>
        </w:rPr>
        <w:t>Jersey,</w:t>
      </w:r>
      <w:r>
        <w:rPr>
          <w:spacing w:val="-1"/>
          <w:vertAlign w:val="baseline"/>
        </w:rPr>
        <w:t> </w:t>
      </w:r>
      <w:r>
        <w:rPr>
          <w:vertAlign w:val="baseline"/>
        </w:rPr>
        <w:t>U.S.A</w:t>
      </w:r>
      <w:r>
        <w:rPr>
          <w:spacing w:val="-57"/>
          <w:vertAlign w:val="baseline"/>
        </w:rPr>
        <w:t> </w:t>
      </w:r>
      <w:r>
        <w:rPr>
          <w:vertAlign w:val="baseline"/>
        </w:rPr>
        <w:t>Grossman,</w:t>
      </w:r>
      <w:r>
        <w:rPr>
          <w:spacing w:val="-2"/>
          <w:vertAlign w:val="baseline"/>
        </w:rPr>
        <w:t> </w:t>
      </w:r>
      <w:r>
        <w:rPr>
          <w:vertAlign w:val="baseline"/>
        </w:rPr>
        <w:t>M.</w:t>
      </w:r>
      <w:r>
        <w:rPr>
          <w:spacing w:val="-1"/>
          <w:vertAlign w:val="baseline"/>
        </w:rPr>
        <w:t> </w:t>
      </w:r>
      <w:r>
        <w:rPr>
          <w:vertAlign w:val="baseline"/>
        </w:rPr>
        <w:t>(1972).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Health Capital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Demand for</w:t>
      </w:r>
      <w:r>
        <w:rPr>
          <w:spacing w:val="-3"/>
          <w:vertAlign w:val="baseline"/>
        </w:rPr>
        <w:t> </w:t>
      </w:r>
      <w:r>
        <w:rPr>
          <w:vertAlign w:val="baseline"/>
        </w:rPr>
        <w:t>Health,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The</w:t>
      </w:r>
      <w:r>
        <w:rPr>
          <w:i/>
          <w:spacing w:val="-3"/>
          <w:vertAlign w:val="baseline"/>
        </w:rPr>
        <w:t> </w:t>
      </w:r>
      <w:r>
        <w:rPr>
          <w:i/>
          <w:vertAlign w:val="baseline"/>
        </w:rPr>
        <w:t>Journal</w:t>
      </w:r>
    </w:p>
    <w:p>
      <w:pPr>
        <w:spacing w:before="5"/>
        <w:ind w:left="840" w:right="0" w:firstLine="0"/>
        <w:jc w:val="left"/>
        <w:rPr>
          <w:sz w:val="24"/>
        </w:rPr>
      </w:pP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Economy, 80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223–255.</w:t>
      </w:r>
    </w:p>
    <w:p>
      <w:pPr>
        <w:spacing w:before="163"/>
        <w:ind w:left="120" w:right="0" w:firstLine="0"/>
        <w:jc w:val="left"/>
        <w:rPr>
          <w:i/>
          <w:sz w:val="24"/>
        </w:rPr>
      </w:pPr>
      <w:r>
        <w:rPr>
          <w:sz w:val="24"/>
        </w:rPr>
        <w:t>Grossman,</w:t>
      </w:r>
      <w:r>
        <w:rPr>
          <w:spacing w:val="55"/>
          <w:sz w:val="24"/>
        </w:rPr>
        <w:t> </w:t>
      </w:r>
      <w:r>
        <w:rPr>
          <w:sz w:val="24"/>
        </w:rPr>
        <w:t>M.</w:t>
      </w:r>
      <w:r>
        <w:rPr>
          <w:spacing w:val="55"/>
          <w:sz w:val="24"/>
        </w:rPr>
        <w:t> </w:t>
      </w:r>
      <w:r>
        <w:rPr>
          <w:sz w:val="24"/>
        </w:rPr>
        <w:t>(2017).</w:t>
      </w:r>
      <w:r>
        <w:rPr>
          <w:spacing w:val="5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Demand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Health: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Theoretical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Empirical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Investigation.</w:t>
      </w:r>
    </w:p>
    <w:p>
      <w:pPr>
        <w:pStyle w:val="BodyText"/>
        <w:spacing w:before="41"/>
        <w:ind w:left="840"/>
      </w:pPr>
      <w:r>
        <w:rPr/>
        <w:t>Columbia</w:t>
      </w:r>
      <w:r>
        <w:rPr>
          <w:spacing w:val="-1"/>
        </w:rPr>
        <w:t> </w:t>
      </w:r>
      <w:r>
        <w:rPr/>
        <w:t>University</w:t>
      </w:r>
      <w:r>
        <w:rPr>
          <w:spacing w:val="17"/>
        </w:rPr>
        <w:t> </w:t>
      </w:r>
      <w:r>
        <w:rPr/>
        <w:t>Press.</w:t>
      </w:r>
      <w:r>
        <w:rPr>
          <w:spacing w:val="1"/>
        </w:rPr>
        <w:t> </w:t>
      </w:r>
      <w:r>
        <w:rPr/>
        <w:t>ISBN</w:t>
      </w:r>
      <w:r>
        <w:rPr>
          <w:spacing w:val="-1"/>
        </w:rPr>
        <w:t> </w:t>
      </w:r>
      <w:r>
        <w:rPr/>
        <w:t>9780231179010</w:t>
      </w:r>
    </w:p>
    <w:p>
      <w:pPr>
        <w:spacing w:before="178"/>
        <w:ind w:left="840" w:right="0" w:hanging="720"/>
        <w:jc w:val="left"/>
        <w:rPr>
          <w:sz w:val="24"/>
        </w:rPr>
      </w:pPr>
      <w:r>
        <w:rPr>
          <w:sz w:val="24"/>
        </w:rPr>
        <w:t>Grundy,</w:t>
      </w:r>
      <w:r>
        <w:rPr>
          <w:spacing w:val="-12"/>
          <w:sz w:val="24"/>
        </w:rPr>
        <w:t> </w:t>
      </w:r>
      <w:r>
        <w:rPr>
          <w:sz w:val="24"/>
        </w:rPr>
        <w:t>J.,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Annear,</w:t>
      </w:r>
      <w:r>
        <w:rPr>
          <w:spacing w:val="-11"/>
          <w:sz w:val="24"/>
        </w:rPr>
        <w:t> </w:t>
      </w:r>
      <w:r>
        <w:rPr>
          <w:sz w:val="24"/>
        </w:rPr>
        <w:t>M.</w:t>
      </w:r>
      <w:r>
        <w:rPr>
          <w:spacing w:val="-11"/>
          <w:sz w:val="24"/>
        </w:rPr>
        <w:t> </w:t>
      </w:r>
      <w:r>
        <w:rPr>
          <w:sz w:val="24"/>
        </w:rPr>
        <w:t>(2010).</w:t>
      </w:r>
      <w:r>
        <w:rPr>
          <w:spacing w:val="-13"/>
          <w:sz w:val="24"/>
        </w:rPr>
        <w:t> </w:t>
      </w:r>
      <w:r>
        <w:rPr>
          <w:i/>
          <w:sz w:val="24"/>
        </w:rPr>
        <w:t>Health-Seeking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Studies: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 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focus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Cambodia.</w:t>
      </w:r>
      <w:r>
        <w:rPr>
          <w:i/>
          <w:spacing w:val="1"/>
          <w:sz w:val="24"/>
        </w:rPr>
        <w:t> </w:t>
      </w:r>
      <w:r>
        <w:rPr>
          <w:sz w:val="24"/>
        </w:rPr>
        <w:t>Health Policy</w:t>
      </w:r>
      <w:r>
        <w:rPr>
          <w:spacing w:val="-4"/>
          <w:sz w:val="24"/>
        </w:rPr>
        <w:t> </w:t>
      </w:r>
      <w:r>
        <w:rPr>
          <w:sz w:val="24"/>
        </w:rPr>
        <w:t>and Health</w:t>
      </w:r>
      <w:r>
        <w:rPr>
          <w:spacing w:val="-1"/>
          <w:sz w:val="24"/>
        </w:rPr>
        <w:t> </w:t>
      </w:r>
      <w:r>
        <w:rPr>
          <w:sz w:val="24"/>
        </w:rPr>
        <w:t>Finance, 7</w:t>
      </w:r>
    </w:p>
    <w:p>
      <w:pPr>
        <w:pStyle w:val="BodyText"/>
        <w:spacing w:line="430" w:lineRule="atLeast" w:before="7"/>
        <w:ind w:left="120" w:right="116"/>
        <w:rPr>
          <w:i/>
        </w:rPr>
      </w:pPr>
      <w:r>
        <w:rPr/>
        <w:t>Gujarati, D.N. &amp; Porter, D.C. (2009). </w:t>
      </w:r>
      <w:r>
        <w:rPr>
          <w:i/>
        </w:rPr>
        <w:t>Basic Econometrics</w:t>
      </w:r>
      <w:r>
        <w:rPr/>
        <w:t>. McGraw.Hill International Edition</w:t>
      </w:r>
      <w:r>
        <w:rPr>
          <w:spacing w:val="1"/>
        </w:rPr>
        <w:t> </w:t>
      </w:r>
      <w:r>
        <w:rPr/>
        <w:t>Habimana,</w:t>
      </w:r>
      <w:r>
        <w:rPr>
          <w:spacing w:val="38"/>
        </w:rPr>
        <w:t> </w:t>
      </w:r>
      <w:r>
        <w:rPr/>
        <w:t>O.</w:t>
      </w:r>
      <w:r>
        <w:rPr>
          <w:spacing w:val="38"/>
        </w:rPr>
        <w:t> </w:t>
      </w:r>
      <w:r>
        <w:rPr/>
        <w:t>(2014).</w:t>
      </w:r>
      <w:r>
        <w:rPr>
          <w:spacing w:val="40"/>
        </w:rPr>
        <w:t> </w:t>
      </w:r>
      <w:r>
        <w:rPr/>
        <w:t>Inequality</w:t>
      </w:r>
      <w:r>
        <w:rPr>
          <w:spacing w:val="34"/>
        </w:rPr>
        <w:t> </w:t>
      </w:r>
      <w:r>
        <w:rPr/>
        <w:t>and</w:t>
      </w:r>
      <w:r>
        <w:rPr>
          <w:spacing w:val="38"/>
        </w:rPr>
        <w:t> </w:t>
      </w:r>
      <w:r>
        <w:rPr/>
        <w:t>Economic</w:t>
      </w:r>
      <w:r>
        <w:rPr>
          <w:spacing w:val="39"/>
        </w:rPr>
        <w:t> </w:t>
      </w:r>
      <w:r>
        <w:rPr/>
        <w:t>Growth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Sub-Saharan</w:t>
      </w:r>
      <w:r>
        <w:rPr>
          <w:spacing w:val="40"/>
        </w:rPr>
        <w:t> </w:t>
      </w:r>
      <w:r>
        <w:rPr/>
        <w:t>Africa.</w:t>
      </w:r>
      <w:r>
        <w:rPr>
          <w:spacing w:val="41"/>
        </w:rPr>
        <w:t> </w:t>
      </w:r>
      <w:r>
        <w:rPr>
          <w:i/>
        </w:rPr>
        <w:t>International</w:t>
      </w:r>
    </w:p>
    <w:p>
      <w:pPr>
        <w:spacing w:before="4"/>
        <w:ind w:left="8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 Research,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(6),</w:t>
      </w:r>
      <w:r>
        <w:rPr>
          <w:spacing w:val="-2"/>
          <w:sz w:val="24"/>
        </w:rPr>
        <w:t> </w:t>
      </w:r>
      <w:r>
        <w:rPr>
          <w:sz w:val="24"/>
        </w:rPr>
        <w:t>100-103</w:t>
      </w:r>
    </w:p>
    <w:p>
      <w:pPr>
        <w:spacing w:before="161"/>
        <w:ind w:left="840" w:right="111" w:hanging="720"/>
        <w:jc w:val="left"/>
        <w:rPr>
          <w:sz w:val="24"/>
        </w:rPr>
      </w:pPr>
      <w:r>
        <w:rPr>
          <w:sz w:val="24"/>
        </w:rPr>
        <w:t>Halicioglu,</w:t>
      </w:r>
      <w:r>
        <w:rPr>
          <w:spacing w:val="12"/>
          <w:sz w:val="24"/>
        </w:rPr>
        <w:t> </w:t>
      </w:r>
      <w:r>
        <w:rPr>
          <w:sz w:val="24"/>
        </w:rPr>
        <w:t>F.</w:t>
      </w:r>
      <w:r>
        <w:rPr>
          <w:spacing w:val="10"/>
          <w:sz w:val="24"/>
        </w:rPr>
        <w:t> </w:t>
      </w:r>
      <w:r>
        <w:rPr>
          <w:sz w:val="24"/>
        </w:rPr>
        <w:t>(2011).</w:t>
      </w:r>
      <w:r>
        <w:rPr>
          <w:spacing w:val="10"/>
          <w:sz w:val="24"/>
        </w:rPr>
        <w:t> </w:t>
      </w:r>
      <w:r>
        <w:rPr>
          <w:sz w:val="24"/>
        </w:rPr>
        <w:t>Modelling</w:t>
      </w:r>
      <w:r>
        <w:rPr>
          <w:spacing w:val="10"/>
          <w:sz w:val="24"/>
        </w:rPr>
        <w:t> </w:t>
      </w:r>
      <w:r>
        <w:rPr>
          <w:sz w:val="24"/>
        </w:rPr>
        <w:t>Life</w:t>
      </w:r>
      <w:r>
        <w:rPr>
          <w:spacing w:val="9"/>
          <w:sz w:val="24"/>
        </w:rPr>
        <w:t> </w:t>
      </w:r>
      <w:r>
        <w:rPr>
          <w:sz w:val="24"/>
        </w:rPr>
        <w:t>Expectancy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Turkey.</w:t>
      </w:r>
      <w:r>
        <w:rPr>
          <w:spacing w:val="14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Modelling,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28</w:t>
      </w:r>
      <w:r>
        <w:rPr>
          <w:sz w:val="24"/>
        </w:rPr>
        <w:t>(5),</w:t>
      </w:r>
      <w:r>
        <w:rPr>
          <w:spacing w:val="11"/>
          <w:sz w:val="24"/>
        </w:rPr>
        <w:t> </w:t>
      </w:r>
      <w:r>
        <w:rPr>
          <w:sz w:val="24"/>
        </w:rPr>
        <w:t>2075-</w:t>
      </w:r>
      <w:r>
        <w:rPr>
          <w:spacing w:val="-57"/>
          <w:sz w:val="24"/>
        </w:rPr>
        <w:t> </w:t>
      </w:r>
      <w:r>
        <w:rPr>
          <w:sz w:val="24"/>
        </w:rPr>
        <w:t>2082</w:t>
      </w:r>
    </w:p>
    <w:p>
      <w:pPr>
        <w:spacing w:before="159"/>
        <w:ind w:left="840" w:right="118" w:hanging="720"/>
        <w:jc w:val="left"/>
        <w:rPr>
          <w:sz w:val="24"/>
        </w:rPr>
      </w:pPr>
      <w:r>
        <w:rPr>
          <w:sz w:val="24"/>
        </w:rPr>
        <w:t>Hakura,</w:t>
      </w:r>
      <w:r>
        <w:rPr>
          <w:spacing w:val="8"/>
          <w:sz w:val="24"/>
        </w:rPr>
        <w:t> </w:t>
      </w:r>
      <w:r>
        <w:rPr>
          <w:sz w:val="24"/>
        </w:rPr>
        <w:t>D.,</w:t>
      </w:r>
      <w:r>
        <w:rPr>
          <w:spacing w:val="5"/>
          <w:sz w:val="24"/>
        </w:rPr>
        <w:t> </w:t>
      </w:r>
      <w:r>
        <w:rPr>
          <w:sz w:val="24"/>
        </w:rPr>
        <w:t>Hussain,</w:t>
      </w:r>
      <w:r>
        <w:rPr>
          <w:spacing w:val="6"/>
          <w:sz w:val="24"/>
        </w:rPr>
        <w:t> </w:t>
      </w:r>
      <w:r>
        <w:rPr>
          <w:sz w:val="24"/>
        </w:rPr>
        <w:t>M.,</w:t>
      </w:r>
      <w:r>
        <w:rPr>
          <w:spacing w:val="8"/>
          <w:sz w:val="24"/>
        </w:rPr>
        <w:t> </w:t>
      </w:r>
      <w:r>
        <w:rPr>
          <w:sz w:val="24"/>
        </w:rPr>
        <w:t>Newiak,</w:t>
      </w:r>
      <w:r>
        <w:rPr>
          <w:spacing w:val="8"/>
          <w:sz w:val="24"/>
        </w:rPr>
        <w:t> </w:t>
      </w:r>
      <w:r>
        <w:rPr>
          <w:sz w:val="24"/>
        </w:rPr>
        <w:t>V.,</w:t>
      </w:r>
      <w:r>
        <w:rPr>
          <w:spacing w:val="6"/>
          <w:sz w:val="24"/>
        </w:rPr>
        <w:t> </w:t>
      </w:r>
      <w:r>
        <w:rPr>
          <w:sz w:val="24"/>
        </w:rPr>
        <w:t>Thakoor,</w:t>
      </w:r>
      <w:r>
        <w:rPr>
          <w:spacing w:val="5"/>
          <w:sz w:val="24"/>
        </w:rPr>
        <w:t> </w:t>
      </w:r>
      <w:r>
        <w:rPr>
          <w:sz w:val="24"/>
        </w:rPr>
        <w:t>V.,</w:t>
      </w:r>
      <w:r>
        <w:rPr>
          <w:spacing w:val="9"/>
          <w:sz w:val="24"/>
        </w:rPr>
        <w:t> </w:t>
      </w:r>
      <w:r>
        <w:rPr>
          <w:sz w:val="24"/>
        </w:rPr>
        <w:t>&amp;</w:t>
      </w:r>
      <w:r>
        <w:rPr>
          <w:spacing w:val="4"/>
          <w:sz w:val="24"/>
        </w:rPr>
        <w:t> </w:t>
      </w:r>
      <w:r>
        <w:rPr>
          <w:sz w:val="24"/>
        </w:rPr>
        <w:t>Yang,</w:t>
      </w:r>
      <w:r>
        <w:rPr>
          <w:spacing w:val="8"/>
          <w:sz w:val="24"/>
        </w:rPr>
        <w:t> </w:t>
      </w:r>
      <w:r>
        <w:rPr>
          <w:sz w:val="24"/>
        </w:rPr>
        <w:t>F.</w:t>
      </w:r>
      <w:r>
        <w:rPr>
          <w:spacing w:val="6"/>
          <w:sz w:val="24"/>
        </w:rPr>
        <w:t> </w:t>
      </w:r>
      <w:r>
        <w:rPr>
          <w:sz w:val="24"/>
        </w:rPr>
        <w:t>(2016).</w:t>
      </w:r>
      <w:r>
        <w:rPr>
          <w:spacing w:val="6"/>
          <w:sz w:val="24"/>
        </w:rPr>
        <w:t> </w:t>
      </w:r>
      <w:r>
        <w:rPr>
          <w:i/>
          <w:sz w:val="24"/>
        </w:rPr>
        <w:t>Inequality,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Gaps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Growth: Evidence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Sub-Saharan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Africa.</w:t>
      </w:r>
      <w:r>
        <w:rPr>
          <w:i/>
          <w:spacing w:val="3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Monetary</w:t>
      </w:r>
      <w:r>
        <w:rPr>
          <w:spacing w:val="-6"/>
          <w:sz w:val="24"/>
        </w:rPr>
        <w:t> </w:t>
      </w:r>
      <w:r>
        <w:rPr>
          <w:sz w:val="24"/>
        </w:rPr>
        <w:t>Fund</w:t>
      </w:r>
    </w:p>
    <w:p>
      <w:pPr>
        <w:pStyle w:val="BodyText"/>
        <w:spacing w:before="160"/>
        <w:ind w:left="120"/>
      </w:pPr>
      <w:r>
        <w:rPr/>
        <w:t>Hanushek,</w:t>
      </w:r>
      <w:r>
        <w:rPr>
          <w:spacing w:val="15"/>
        </w:rPr>
        <w:t> </w:t>
      </w:r>
      <w:r>
        <w:rPr/>
        <w:t>E.</w:t>
      </w:r>
      <w:r>
        <w:rPr>
          <w:spacing w:val="18"/>
        </w:rPr>
        <w:t> </w:t>
      </w:r>
      <w:r>
        <w:rPr/>
        <w:t>(2013).</w:t>
      </w:r>
      <w:r>
        <w:rPr>
          <w:spacing w:val="15"/>
        </w:rPr>
        <w:t> </w:t>
      </w:r>
      <w:r>
        <w:rPr/>
        <w:t>Economic</w:t>
      </w:r>
      <w:r>
        <w:rPr>
          <w:spacing w:val="14"/>
        </w:rPr>
        <w:t> </w:t>
      </w:r>
      <w:r>
        <w:rPr/>
        <w:t>Growth</w:t>
      </w:r>
      <w:r>
        <w:rPr>
          <w:spacing w:val="16"/>
        </w:rPr>
        <w:t> </w:t>
      </w:r>
      <w:r>
        <w:rPr/>
        <w:t>in</w:t>
      </w:r>
      <w:r>
        <w:rPr>
          <w:spacing w:val="19"/>
        </w:rPr>
        <w:t> </w:t>
      </w:r>
      <w:r>
        <w:rPr/>
        <w:t>Developing</w:t>
      </w:r>
      <w:r>
        <w:rPr>
          <w:spacing w:val="14"/>
        </w:rPr>
        <w:t> </w:t>
      </w:r>
      <w:r>
        <w:rPr/>
        <w:t>Countries: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Role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Human</w:t>
      </w:r>
      <w:r>
        <w:rPr>
          <w:spacing w:val="15"/>
        </w:rPr>
        <w:t> </w:t>
      </w:r>
      <w:r>
        <w:rPr/>
        <w:t>Capital.</w:t>
      </w:r>
    </w:p>
    <w:p>
      <w:pPr>
        <w:spacing w:before="1"/>
        <w:ind w:left="8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Growth,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17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267-321</w:t>
      </w:r>
    </w:p>
    <w:p>
      <w:pPr>
        <w:spacing w:before="160"/>
        <w:ind w:left="840" w:right="117" w:hanging="720"/>
        <w:jc w:val="left"/>
        <w:rPr>
          <w:sz w:val="24"/>
        </w:rPr>
      </w:pPr>
      <w:r>
        <w:rPr>
          <w:sz w:val="24"/>
        </w:rPr>
        <w:t>Hansen,</w:t>
      </w:r>
      <w:r>
        <w:rPr>
          <w:spacing w:val="-4"/>
          <w:sz w:val="24"/>
        </w:rPr>
        <w:t> </w:t>
      </w:r>
      <w:r>
        <w:rPr>
          <w:sz w:val="24"/>
        </w:rPr>
        <w:t>J</w:t>
      </w:r>
      <w:r>
        <w:rPr>
          <w:spacing w:val="-1"/>
          <w:sz w:val="24"/>
        </w:rPr>
        <w:t> </w:t>
      </w:r>
      <w:r>
        <w:rPr>
          <w:sz w:val="24"/>
        </w:rPr>
        <w:t>(2000).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Effect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5"/>
          <w:sz w:val="24"/>
        </w:rPr>
        <w:t> </w:t>
      </w:r>
      <w:r>
        <w:rPr>
          <w:sz w:val="24"/>
        </w:rPr>
        <w:t>Absence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Wages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Wages Gaps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Sweden</w:t>
      </w:r>
      <w:r>
        <w:rPr>
          <w:i/>
          <w:sz w:val="24"/>
        </w:rPr>
        <w:t>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, </w:t>
      </w:r>
      <w:r>
        <w:rPr>
          <w:i/>
          <w:sz w:val="24"/>
        </w:rPr>
        <w:t>13</w:t>
      </w:r>
      <w:r>
        <w:rPr>
          <w:sz w:val="24"/>
        </w:rPr>
        <w:t>(1), 45-55</w:t>
      </w:r>
    </w:p>
    <w:p>
      <w:pPr>
        <w:spacing w:before="159"/>
        <w:ind w:left="840" w:right="109" w:hanging="720"/>
        <w:jc w:val="left"/>
        <w:rPr>
          <w:sz w:val="24"/>
        </w:rPr>
      </w:pPr>
      <w:r>
        <w:rPr>
          <w:sz w:val="24"/>
        </w:rPr>
        <w:t>Hansen</w:t>
      </w:r>
      <w:r>
        <w:rPr>
          <w:spacing w:val="19"/>
          <w:sz w:val="24"/>
        </w:rPr>
        <w:t> </w:t>
      </w:r>
      <w:r>
        <w:rPr>
          <w:sz w:val="24"/>
        </w:rPr>
        <w:t>A.H.</w:t>
      </w:r>
      <w:r>
        <w:rPr>
          <w:spacing w:val="22"/>
          <w:sz w:val="24"/>
        </w:rPr>
        <w:t> </w:t>
      </w:r>
      <w:r>
        <w:rPr>
          <w:sz w:val="24"/>
        </w:rPr>
        <w:t>(1939).</w:t>
      </w:r>
      <w:r>
        <w:rPr>
          <w:spacing w:val="20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Progress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Declining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Growth.</w:t>
      </w:r>
      <w:r>
        <w:rPr>
          <w:i/>
          <w:spacing w:val="23"/>
          <w:sz w:val="24"/>
        </w:rPr>
        <w:t> </w:t>
      </w:r>
      <w:r>
        <w:rPr>
          <w:sz w:val="24"/>
        </w:rPr>
        <w:t>Kessinger</w:t>
      </w:r>
      <w:r>
        <w:rPr>
          <w:spacing w:val="22"/>
          <w:sz w:val="24"/>
        </w:rPr>
        <w:t> </w:t>
      </w:r>
      <w:r>
        <w:rPr>
          <w:sz w:val="24"/>
        </w:rPr>
        <w:t>Legacy</w:t>
      </w:r>
      <w:r>
        <w:rPr>
          <w:spacing w:val="-57"/>
          <w:sz w:val="24"/>
        </w:rPr>
        <w:t> </w:t>
      </w:r>
      <w:r>
        <w:rPr>
          <w:sz w:val="24"/>
        </w:rPr>
        <w:t>Reprints</w:t>
      </w:r>
    </w:p>
    <w:p>
      <w:pPr>
        <w:spacing w:line="276" w:lineRule="auto" w:before="164"/>
        <w:ind w:left="840" w:right="116" w:hanging="720"/>
        <w:jc w:val="both"/>
        <w:rPr>
          <w:sz w:val="24"/>
        </w:rPr>
      </w:pPr>
      <w:r>
        <w:rPr>
          <w:sz w:val="24"/>
        </w:rPr>
        <w:t>Hardoon,</w:t>
      </w:r>
      <w:r>
        <w:rPr>
          <w:spacing w:val="-1"/>
          <w:sz w:val="24"/>
        </w:rPr>
        <w:t> </w:t>
      </w:r>
      <w:r>
        <w:rPr>
          <w:sz w:val="24"/>
        </w:rPr>
        <w:t>D.,</w:t>
      </w:r>
      <w:r>
        <w:rPr>
          <w:spacing w:val="-1"/>
          <w:sz w:val="24"/>
        </w:rPr>
        <w:t> </w:t>
      </w:r>
      <w:r>
        <w:rPr>
          <w:sz w:val="24"/>
        </w:rPr>
        <w:t>Fuentes-Nieva,</w:t>
      </w:r>
      <w:r>
        <w:rPr>
          <w:spacing w:val="-1"/>
          <w:sz w:val="24"/>
        </w:rPr>
        <w:t> </w:t>
      </w:r>
      <w:r>
        <w:rPr>
          <w:sz w:val="24"/>
        </w:rPr>
        <w:t>R.,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Ayele,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(2016).</w:t>
      </w:r>
      <w:r>
        <w:rPr>
          <w:spacing w:val="-2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1%: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Privilege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Power in the Economy drive Extreme Inequality and how this can be stopped. </w:t>
      </w:r>
      <w:r>
        <w:rPr>
          <w:sz w:val="24"/>
        </w:rPr>
        <w:t>Oxfam</w:t>
      </w:r>
      <w:r>
        <w:rPr>
          <w:spacing w:val="1"/>
          <w:sz w:val="24"/>
        </w:rPr>
        <w:t> </w:t>
      </w:r>
      <w:r>
        <w:rPr>
          <w:sz w:val="24"/>
        </w:rPr>
        <w:t>International. </w:t>
      </w:r>
      <w:r>
        <w:rPr>
          <w:sz w:val="24"/>
          <w:u w:val="single"/>
        </w:rPr>
        <w:t>http://doi:10.21201/2016.592643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ISBN:</w:t>
      </w:r>
      <w:r>
        <w:rPr>
          <w:spacing w:val="-1"/>
          <w:sz w:val="24"/>
        </w:rPr>
        <w:t> </w:t>
      </w:r>
      <w:r>
        <w:rPr>
          <w:sz w:val="24"/>
        </w:rPr>
        <w:t>978-1-78077-993-5</w:t>
      </w:r>
    </w:p>
    <w:p>
      <w:pPr>
        <w:pStyle w:val="BodyText"/>
        <w:spacing w:before="113"/>
        <w:ind w:left="840" w:right="115" w:hanging="720"/>
        <w:jc w:val="both"/>
      </w:pPr>
      <w:r>
        <w:rPr/>
        <w:t>Hartwing, A. (2010). Is health capital formation good for long-term Economic Growth? Panel</w:t>
      </w:r>
      <w:r>
        <w:rPr>
          <w:spacing w:val="1"/>
        </w:rPr>
        <w:t> </w:t>
      </w:r>
      <w:r>
        <w:rPr/>
        <w:t>Granger-Causality Evidence for OECD Countries, </w:t>
      </w:r>
      <w:r>
        <w:rPr>
          <w:i/>
        </w:rPr>
        <w:t>Journal of Macroeconomics, 32</w:t>
      </w:r>
      <w:r>
        <w:rPr/>
        <w:t>, 314-</w:t>
      </w:r>
      <w:r>
        <w:rPr>
          <w:spacing w:val="1"/>
        </w:rPr>
        <w:t> </w:t>
      </w:r>
      <w:r>
        <w:rPr/>
        <w:t>325</w:t>
      </w:r>
    </w:p>
    <w:p>
      <w:pPr>
        <w:pStyle w:val="BodyText"/>
        <w:spacing w:before="158"/>
        <w:ind w:left="120"/>
      </w:pPr>
      <w:r>
        <w:rPr/>
        <w:t>Hausman</w:t>
      </w:r>
      <w:r>
        <w:rPr>
          <w:spacing w:val="-2"/>
        </w:rPr>
        <w:t> </w:t>
      </w:r>
      <w:r>
        <w:rPr/>
        <w:t>J.A.</w:t>
      </w:r>
      <w:r>
        <w:rPr>
          <w:spacing w:val="-1"/>
        </w:rPr>
        <w:t> </w:t>
      </w:r>
      <w:r>
        <w:rPr/>
        <w:t>(1978).</w:t>
      </w:r>
      <w:r>
        <w:rPr>
          <w:spacing w:val="-2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Tests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Econometrics, </w:t>
      </w:r>
      <w:r>
        <w:rPr>
          <w:i/>
        </w:rPr>
        <w:t>Econometrica,</w:t>
      </w:r>
      <w:r>
        <w:rPr>
          <w:i/>
          <w:spacing w:val="1"/>
        </w:rPr>
        <w:t> </w:t>
      </w:r>
      <w:r>
        <w:rPr>
          <w:i/>
        </w:rPr>
        <w:t>46</w:t>
      </w:r>
      <w:r>
        <w:rPr/>
        <w:t>,</w:t>
      </w:r>
      <w:r>
        <w:rPr>
          <w:spacing w:val="-2"/>
        </w:rPr>
        <w:t> </w:t>
      </w:r>
      <w:r>
        <w:rPr/>
        <w:t>1251-1271</w:t>
      </w:r>
    </w:p>
    <w:p>
      <w:pPr>
        <w:spacing w:after="0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before="72"/>
        <w:ind w:left="840" w:right="119" w:hanging="720"/>
        <w:jc w:val="both"/>
      </w:pPr>
      <w:r>
        <w:rPr/>
        <w:t>Herzer, D., &amp; Nunnenkam, P. (2011). Income Inequality and Health: New Evidence from Panel</w:t>
      </w:r>
      <w:r>
        <w:rPr>
          <w:spacing w:val="1"/>
        </w:rPr>
        <w:t> </w:t>
      </w:r>
      <w:r>
        <w:rPr/>
        <w:t>Data,</w:t>
      </w:r>
      <w:r>
        <w:rPr>
          <w:spacing w:val="-2"/>
        </w:rPr>
        <w:t> </w:t>
      </w:r>
      <w:r>
        <w:rPr>
          <w:i/>
        </w:rPr>
        <w:t>Kiel</w:t>
      </w:r>
      <w:r>
        <w:rPr>
          <w:i/>
          <w:spacing w:val="2"/>
        </w:rPr>
        <w:t> </w:t>
      </w:r>
      <w:r>
        <w:rPr>
          <w:i/>
        </w:rPr>
        <w:t>Working Papers </w:t>
      </w:r>
      <w:r>
        <w:rPr/>
        <w:t>1736, Kiel</w:t>
      </w:r>
      <w:r>
        <w:rPr>
          <w:spacing w:val="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for the World</w:t>
      </w:r>
      <w:r>
        <w:rPr>
          <w:spacing w:val="-1"/>
        </w:rPr>
        <w:t> </w:t>
      </w:r>
      <w:r>
        <w:rPr/>
        <w:t>Economy</w:t>
      </w:r>
    </w:p>
    <w:p>
      <w:pPr>
        <w:spacing w:before="161"/>
        <w:ind w:left="840" w:right="119" w:hanging="720"/>
        <w:jc w:val="both"/>
        <w:rPr>
          <w:sz w:val="24"/>
        </w:rPr>
      </w:pPr>
      <w:r>
        <w:rPr>
          <w:sz w:val="24"/>
        </w:rPr>
        <w:t>Herzer, D., &amp; Nunnenkam, P. (2015). </w:t>
      </w:r>
      <w:r>
        <w:rPr>
          <w:i/>
          <w:sz w:val="24"/>
        </w:rPr>
        <w:t>“Income Inequality and Health: Evidence from Developed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Countries.</w:t>
      </w:r>
      <w:r>
        <w:rPr>
          <w:i/>
          <w:spacing w:val="1"/>
          <w:sz w:val="24"/>
        </w:rPr>
        <w:t> </w:t>
      </w:r>
      <w:hyperlink r:id="rId174">
        <w:r>
          <w:rPr>
            <w:sz w:val="24"/>
            <w:u w:val="single"/>
          </w:rPr>
          <w:t>http://dx.doi.org/10.5018/economics-ejournal.ja.2015-4</w:t>
        </w:r>
      </w:hyperlink>
    </w:p>
    <w:p>
      <w:pPr>
        <w:pStyle w:val="BodyText"/>
        <w:spacing w:before="158"/>
        <w:ind w:left="840" w:right="117" w:hanging="720"/>
        <w:jc w:val="both"/>
      </w:pPr>
      <w:r>
        <w:rPr/>
        <w:t>Hill, T.D., A.K. Jorgenson, K.S. Ballistite, &amp; Clark, B. (2019). Air Quality and Life Expectancy</w:t>
      </w:r>
      <w:r>
        <w:rPr>
          <w:spacing w:val="1"/>
        </w:rPr>
        <w:t> </w:t>
      </w:r>
      <w:r>
        <w:rPr/>
        <w:t>in United States: An Analysis of the Moderating Effect of Income Inequality.</w:t>
      </w:r>
      <w:r>
        <w:rPr>
          <w:spacing w:val="1"/>
        </w:rPr>
        <w:t> </w:t>
      </w:r>
      <w:r>
        <w:rPr>
          <w:i/>
        </w:rPr>
        <w:t>SSM-</w:t>
      </w:r>
      <w:r>
        <w:rPr>
          <w:i/>
          <w:spacing w:val="1"/>
        </w:rPr>
        <w:t> </w:t>
      </w:r>
      <w:r>
        <w:rPr>
          <w:i/>
        </w:rPr>
        <w:t>Population</w:t>
      </w:r>
      <w:r>
        <w:rPr>
          <w:i/>
          <w:spacing w:val="-1"/>
        </w:rPr>
        <w:t> </w:t>
      </w:r>
      <w:r>
        <w:rPr>
          <w:i/>
        </w:rPr>
        <w:t>Health, 19</w:t>
      </w:r>
      <w:r>
        <w:rPr/>
        <w:t>(4), 267-321</w:t>
      </w:r>
    </w:p>
    <w:p>
      <w:pPr>
        <w:spacing w:line="276" w:lineRule="auto" w:before="164"/>
        <w:ind w:left="840" w:right="116" w:hanging="720"/>
        <w:jc w:val="both"/>
        <w:rPr>
          <w:sz w:val="24"/>
        </w:rPr>
      </w:pPr>
      <w:r>
        <w:rPr>
          <w:sz w:val="24"/>
        </w:rPr>
        <w:t>Hombres, B., A. Weber, &amp; Elia, L. (2012). </w:t>
      </w:r>
      <w:r>
        <w:rPr>
          <w:i/>
          <w:sz w:val="24"/>
        </w:rPr>
        <w:t>Literature Review on Income Inequality and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Social Outcomes.</w:t>
      </w:r>
      <w:r>
        <w:rPr>
          <w:i/>
          <w:spacing w:val="1"/>
          <w:sz w:val="24"/>
        </w:rPr>
        <w:t> </w:t>
      </w:r>
      <w:r>
        <w:rPr>
          <w:sz w:val="24"/>
        </w:rPr>
        <w:t>JRC</w:t>
      </w:r>
      <w:r>
        <w:rPr>
          <w:spacing w:val="-3"/>
          <w:sz w:val="24"/>
        </w:rPr>
        <w:t> </w:t>
      </w:r>
      <w:r>
        <w:rPr>
          <w:sz w:val="24"/>
        </w:rPr>
        <w:t>Scientific</w:t>
      </w:r>
      <w:r>
        <w:rPr>
          <w:spacing w:val="-1"/>
          <w:sz w:val="24"/>
        </w:rPr>
        <w:t> </w:t>
      </w:r>
      <w:r>
        <w:rPr>
          <w:sz w:val="24"/>
        </w:rPr>
        <w:t>and Policy</w:t>
      </w:r>
      <w:r>
        <w:rPr>
          <w:spacing w:val="-5"/>
          <w:sz w:val="24"/>
        </w:rPr>
        <w:t> </w:t>
      </w:r>
      <w:r>
        <w:rPr>
          <w:sz w:val="24"/>
        </w:rPr>
        <w:t>Reports. European</w:t>
      </w:r>
      <w:r>
        <w:rPr>
          <w:spacing w:val="-1"/>
          <w:sz w:val="24"/>
        </w:rPr>
        <w:t> </w:t>
      </w:r>
      <w:r>
        <w:rPr>
          <w:sz w:val="24"/>
        </w:rPr>
        <w:t>Commission</w:t>
      </w:r>
    </w:p>
    <w:p>
      <w:pPr>
        <w:spacing w:before="202"/>
        <w:ind w:left="840" w:right="117" w:hanging="720"/>
        <w:jc w:val="both"/>
        <w:rPr>
          <w:sz w:val="24"/>
        </w:rPr>
      </w:pPr>
      <w:r>
        <w:rPr>
          <w:sz w:val="24"/>
        </w:rPr>
        <w:t>Hopkins, E., (2017) Inequality and Risk taking behaviour </w:t>
      </w:r>
      <w:r>
        <w:rPr>
          <w:i/>
          <w:sz w:val="24"/>
        </w:rPr>
        <w:t>Games and Economic Behaviour, 1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316-328</w:t>
      </w:r>
    </w:p>
    <w:p>
      <w:pPr>
        <w:pStyle w:val="BodyText"/>
        <w:spacing w:before="162"/>
        <w:ind w:left="840" w:right="115" w:hanging="720"/>
        <w:jc w:val="both"/>
      </w:pPr>
      <w:r>
        <w:rPr/>
        <w:t>Huang, C. (2017). Investments in children’s Health and the Kenyan Cash Transfer for Orphans</w:t>
      </w:r>
      <w:r>
        <w:rPr>
          <w:spacing w:val="1"/>
        </w:rPr>
        <w:t> </w:t>
      </w:r>
      <w:r>
        <w:rPr/>
        <w:t>and Vulnerable Children: Evidence from an Unconditional Cash Transfer. </w:t>
      </w:r>
      <w:r>
        <w:rPr>
          <w:i/>
        </w:rPr>
        <w:t>Health Policy</w:t>
      </w:r>
      <w:r>
        <w:rPr>
          <w:i/>
          <w:spacing w:val="1"/>
        </w:rPr>
        <w:t> </w:t>
      </w:r>
      <w:r>
        <w:rPr>
          <w:i/>
        </w:rPr>
        <w:t>and Planning,</w:t>
      </w:r>
      <w:r>
        <w:rPr>
          <w:i/>
          <w:spacing w:val="-1"/>
        </w:rPr>
        <w:t> </w:t>
      </w:r>
      <w:r>
        <w:rPr>
          <w:i/>
        </w:rPr>
        <w:t>14</w:t>
      </w:r>
      <w:r>
        <w:rPr/>
        <w:t>, 32-73</w:t>
      </w:r>
    </w:p>
    <w:p>
      <w:pPr>
        <w:pStyle w:val="BodyText"/>
        <w:spacing w:line="276" w:lineRule="auto" w:before="163"/>
        <w:ind w:left="840" w:right="117" w:hanging="720"/>
        <w:jc w:val="both"/>
      </w:pPr>
      <w:r>
        <w:rPr/>
        <w:t>Idris,</w:t>
      </w:r>
      <w:r>
        <w:rPr>
          <w:spacing w:val="1"/>
        </w:rPr>
        <w:t> </w:t>
      </w:r>
      <w:r>
        <w:rPr/>
        <w:t>I.O.,</w:t>
      </w:r>
      <w:r>
        <w:rPr>
          <w:spacing w:val="1"/>
        </w:rPr>
        <w:t> </w:t>
      </w:r>
      <w:r>
        <w:rPr/>
        <w:t>Oguntade,</w:t>
      </w:r>
      <w:r>
        <w:rPr>
          <w:spacing w:val="1"/>
        </w:rPr>
        <w:t> </w:t>
      </w:r>
      <w:r>
        <w:rPr/>
        <w:t>A.S.,</w:t>
      </w:r>
      <w:r>
        <w:rPr>
          <w:spacing w:val="1"/>
        </w:rPr>
        <w:t> </w:t>
      </w:r>
      <w:r>
        <w:rPr/>
        <w:t>Mensah,</w:t>
      </w:r>
      <w:r>
        <w:rPr>
          <w:spacing w:val="1"/>
        </w:rPr>
        <w:t> </w:t>
      </w:r>
      <w:r>
        <w:rPr/>
        <w:t>E.A.,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Kitamusa,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Communicable</w:t>
      </w:r>
      <w:r>
        <w:rPr>
          <w:spacing w:val="-15"/>
        </w:rPr>
        <w:t> </w:t>
      </w:r>
      <w:r>
        <w:rPr/>
        <w:t>Diseases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its</w:t>
      </w:r>
      <w:r>
        <w:rPr>
          <w:spacing w:val="-14"/>
        </w:rPr>
        <w:t> </w:t>
      </w:r>
      <w:r>
        <w:rPr/>
        <w:t>Risk</w:t>
      </w:r>
      <w:r>
        <w:rPr>
          <w:spacing w:val="-14"/>
        </w:rPr>
        <w:t> </w:t>
      </w:r>
      <w:r>
        <w:rPr/>
        <w:t>Factors</w:t>
      </w:r>
      <w:r>
        <w:rPr>
          <w:spacing w:val="-14"/>
        </w:rPr>
        <w:t> </w:t>
      </w:r>
      <w:r>
        <w:rPr/>
        <w:t>among</w:t>
      </w:r>
      <w:r>
        <w:rPr>
          <w:spacing w:val="-14"/>
        </w:rPr>
        <w:t> </w:t>
      </w:r>
      <w:r>
        <w:rPr/>
        <w:t>Ijegun-Isheri,</w:t>
      </w:r>
      <w:r>
        <w:rPr>
          <w:spacing w:val="-14"/>
        </w:rPr>
        <w:t> </w:t>
      </w:r>
      <w:r>
        <w:rPr/>
        <w:t>Osun</w:t>
      </w:r>
      <w:r>
        <w:rPr>
          <w:spacing w:val="-15"/>
        </w:rPr>
        <w:t> </w:t>
      </w:r>
      <w:r>
        <w:rPr/>
        <w:t>residents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Lagos</w:t>
      </w:r>
      <w:r>
        <w:rPr>
          <w:spacing w:val="-58"/>
        </w:rPr>
        <w:t> </w:t>
      </w:r>
      <w:r>
        <w:rPr/>
        <w:t>State,</w:t>
      </w:r>
      <w:r>
        <w:rPr>
          <w:spacing w:val="-11"/>
        </w:rPr>
        <w:t> </w:t>
      </w:r>
      <w:r>
        <w:rPr/>
        <w:t>Nigeria: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Community-based</w:t>
      </w:r>
      <w:r>
        <w:rPr>
          <w:spacing w:val="-10"/>
        </w:rPr>
        <w:t> </w:t>
      </w:r>
      <w:r>
        <w:rPr/>
        <w:t>Cross-Sectional</w:t>
      </w:r>
      <w:r>
        <w:rPr>
          <w:spacing w:val="-9"/>
        </w:rPr>
        <w:t> </w:t>
      </w:r>
      <w:r>
        <w:rPr/>
        <w:t>Study.</w:t>
      </w:r>
      <w:r>
        <w:rPr>
          <w:spacing w:val="-8"/>
        </w:rPr>
        <w:t> </w:t>
      </w:r>
      <w:r>
        <w:rPr>
          <w:i/>
        </w:rPr>
        <w:t>BMC</w:t>
      </w:r>
      <w:r>
        <w:rPr>
          <w:i/>
          <w:spacing w:val="-9"/>
        </w:rPr>
        <w:t> </w:t>
      </w:r>
      <w:r>
        <w:rPr>
          <w:i/>
        </w:rPr>
        <w:t>Public</w:t>
      </w:r>
      <w:r>
        <w:rPr>
          <w:i/>
          <w:spacing w:val="-11"/>
        </w:rPr>
        <w:t> </w:t>
      </w:r>
      <w:r>
        <w:rPr>
          <w:i/>
        </w:rPr>
        <w:t>Health.</w:t>
      </w:r>
      <w:r>
        <w:rPr>
          <w:i/>
          <w:spacing w:val="-10"/>
        </w:rPr>
        <w:t> </w:t>
      </w:r>
      <w:r>
        <w:rPr>
          <w:i/>
        </w:rPr>
        <w:t>20,</w:t>
      </w:r>
      <w:r>
        <w:rPr>
          <w:i/>
          <w:spacing w:val="-8"/>
        </w:rPr>
        <w:t> </w:t>
      </w:r>
      <w:r>
        <w:rPr/>
        <w:t>12-58</w:t>
      </w:r>
    </w:p>
    <w:p>
      <w:pPr>
        <w:pStyle w:val="BodyText"/>
        <w:spacing w:before="5"/>
        <w:rPr>
          <w:sz w:val="27"/>
        </w:rPr>
      </w:pPr>
    </w:p>
    <w:p>
      <w:pPr>
        <w:spacing w:line="278" w:lineRule="auto" w:before="0"/>
        <w:ind w:left="840" w:right="115" w:hanging="720"/>
        <w:jc w:val="both"/>
        <w:rPr>
          <w:sz w:val="24"/>
        </w:rPr>
      </w:pPr>
      <w:r>
        <w:rPr>
          <w:sz w:val="24"/>
        </w:rPr>
        <w:t>IMF (2018). </w:t>
      </w:r>
      <w:r>
        <w:rPr>
          <w:i/>
          <w:sz w:val="24"/>
        </w:rPr>
        <w:t>How to Operationalize Inequality Issues in Country work. </w:t>
      </w:r>
      <w:r>
        <w:rPr>
          <w:sz w:val="24"/>
        </w:rPr>
        <w:t>International Monetary</w:t>
      </w:r>
      <w:r>
        <w:rPr>
          <w:spacing w:val="1"/>
          <w:sz w:val="24"/>
        </w:rPr>
        <w:t> </w:t>
      </w:r>
      <w:r>
        <w:rPr>
          <w:sz w:val="24"/>
        </w:rPr>
        <w:t>Fund,</w:t>
      </w:r>
      <w:r>
        <w:rPr>
          <w:spacing w:val="-1"/>
          <w:sz w:val="24"/>
        </w:rPr>
        <w:t> </w:t>
      </w:r>
      <w:r>
        <w:rPr>
          <w:sz w:val="24"/>
        </w:rPr>
        <w:t>Washington DC</w:t>
      </w:r>
    </w:p>
    <w:p>
      <w:pPr>
        <w:spacing w:line="379" w:lineRule="auto" w:before="176"/>
        <w:ind w:left="120" w:right="1011" w:firstLine="0"/>
        <w:jc w:val="both"/>
        <w:rPr>
          <w:sz w:val="24"/>
        </w:rPr>
      </w:pPr>
      <w:r>
        <w:rPr>
          <w:sz w:val="24"/>
        </w:rPr>
        <w:t>IMF (2012). </w:t>
      </w:r>
      <w:r>
        <w:rPr>
          <w:i/>
          <w:sz w:val="24"/>
        </w:rPr>
        <w:t>Regional Economic Outlook – Sub-Saharan Africa</w:t>
      </w:r>
      <w:r>
        <w:rPr>
          <w:sz w:val="24"/>
        </w:rPr>
        <w:t>. Washington, D.C: IMF</w:t>
      </w:r>
      <w:r>
        <w:rPr>
          <w:spacing w:val="-57"/>
          <w:sz w:val="24"/>
        </w:rPr>
        <w:t> </w:t>
      </w:r>
      <w:r>
        <w:rPr>
          <w:sz w:val="24"/>
        </w:rPr>
        <w:t>Institute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Studies (2018).</w:t>
      </w:r>
      <w:r>
        <w:rPr>
          <w:spacing w:val="1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Inequality</w:t>
      </w:r>
      <w:r>
        <w:rPr>
          <w:spacing w:val="-7"/>
          <w:sz w:val="24"/>
        </w:rPr>
        <w:t> </w:t>
      </w:r>
      <w:r>
        <w:rPr>
          <w:sz w:val="24"/>
        </w:rPr>
        <w:t>Defined.</w:t>
      </w:r>
      <w:r>
        <w:rPr>
          <w:spacing w:val="7"/>
          <w:sz w:val="24"/>
        </w:rPr>
        <w:t> </w:t>
      </w:r>
      <w:hyperlink r:id="rId175">
        <w:r>
          <w:rPr>
            <w:sz w:val="24"/>
            <w:u w:val="single"/>
          </w:rPr>
          <w:t>www.ips-dc.org</w:t>
        </w:r>
      </w:hyperlink>
    </w:p>
    <w:p>
      <w:pPr>
        <w:spacing w:before="1"/>
        <w:ind w:left="840" w:right="115" w:hanging="720"/>
        <w:jc w:val="both"/>
        <w:rPr>
          <w:sz w:val="24"/>
        </w:rPr>
      </w:pPr>
      <w:r>
        <w:rPr>
          <w:sz w:val="24"/>
        </w:rPr>
        <w:t>Isah, S.I. (2011). </w:t>
      </w:r>
      <w:r>
        <w:rPr>
          <w:i/>
          <w:sz w:val="24"/>
        </w:rPr>
        <w:t>An Empirical Analysis of Vertical and Horizontal Income and Non-Income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Kaduna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State.</w:t>
      </w:r>
      <w:r>
        <w:rPr>
          <w:i/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PhD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 Economics, Ahmadu Bello University,</w:t>
      </w:r>
      <w:r>
        <w:rPr>
          <w:spacing w:val="2"/>
          <w:sz w:val="24"/>
        </w:rPr>
        <w:t> </w:t>
      </w:r>
      <w:r>
        <w:rPr>
          <w:sz w:val="24"/>
        </w:rPr>
        <w:t>Zaria,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spacing w:before="159"/>
        <w:ind w:left="840" w:right="122" w:hanging="720"/>
        <w:jc w:val="both"/>
        <w:rPr>
          <w:sz w:val="24"/>
        </w:rPr>
      </w:pPr>
      <w:r>
        <w:rPr>
          <w:sz w:val="24"/>
        </w:rPr>
        <w:t>Isah, S.I. (2008). Inequality, Poverty and Living Standards in Kaduna State: An Implication for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-1"/>
          <w:sz w:val="24"/>
        </w:rPr>
        <w:t> </w:t>
      </w:r>
      <w:r>
        <w:rPr>
          <w:i/>
          <w:sz w:val="24"/>
        </w:rPr>
        <w:t>Nigerian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Contemporary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(1), 81-111</w:t>
      </w:r>
    </w:p>
    <w:p>
      <w:pPr>
        <w:pStyle w:val="BodyText"/>
        <w:spacing w:before="163"/>
        <w:ind w:left="120"/>
        <w:jc w:val="both"/>
      </w:pPr>
      <w:r>
        <w:rPr/>
        <w:t>Jabeen,</w:t>
      </w:r>
      <w:r>
        <w:rPr>
          <w:spacing w:val="19"/>
        </w:rPr>
        <w:t> </w:t>
      </w:r>
      <w:r>
        <w:rPr/>
        <w:t>F.</w:t>
      </w:r>
      <w:r>
        <w:rPr>
          <w:spacing w:val="23"/>
        </w:rPr>
        <w:t> </w:t>
      </w:r>
      <w:r>
        <w:rPr/>
        <w:t>&amp;</w:t>
      </w:r>
      <w:r>
        <w:rPr>
          <w:spacing w:val="18"/>
        </w:rPr>
        <w:t> </w:t>
      </w:r>
      <w:r>
        <w:rPr/>
        <w:t>Khan,</w:t>
      </w:r>
      <w:r>
        <w:rPr>
          <w:spacing w:val="22"/>
        </w:rPr>
        <w:t> </w:t>
      </w:r>
      <w:r>
        <w:rPr/>
        <w:t>F.A.</w:t>
      </w:r>
      <w:r>
        <w:rPr>
          <w:spacing w:val="22"/>
        </w:rPr>
        <w:t> </w:t>
      </w:r>
      <w:r>
        <w:rPr/>
        <w:t>(2016).</w:t>
      </w:r>
      <w:r>
        <w:rPr>
          <w:spacing w:val="19"/>
        </w:rPr>
        <w:t> </w:t>
      </w:r>
      <w:r>
        <w:rPr/>
        <w:t>An</w:t>
      </w:r>
      <w:r>
        <w:rPr>
          <w:spacing w:val="19"/>
        </w:rPr>
        <w:t> </w:t>
      </w:r>
      <w:r>
        <w:rPr/>
        <w:t>Empirical</w:t>
      </w:r>
      <w:r>
        <w:rPr>
          <w:spacing w:val="20"/>
        </w:rPr>
        <w:t> </w:t>
      </w:r>
      <w:r>
        <w:rPr/>
        <w:t>Analysis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Individual’s</w:t>
      </w:r>
      <w:r>
        <w:rPr>
          <w:spacing w:val="19"/>
        </w:rPr>
        <w:t> </w:t>
      </w:r>
      <w:r>
        <w:rPr/>
        <w:t>Happiness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Pakistan.</w:t>
      </w:r>
    </w:p>
    <w:p>
      <w:pPr>
        <w:spacing w:before="39"/>
        <w:ind w:left="840" w:right="0" w:firstLine="0"/>
        <w:jc w:val="both"/>
        <w:rPr>
          <w:sz w:val="24"/>
        </w:rPr>
      </w:pPr>
      <w:r>
        <w:rPr>
          <w:i/>
          <w:sz w:val="24"/>
        </w:rPr>
        <w:t>Humanities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23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181-199</w:t>
      </w:r>
    </w:p>
    <w:p>
      <w:pPr>
        <w:spacing w:before="202"/>
        <w:ind w:left="840" w:right="119" w:hanging="720"/>
        <w:jc w:val="both"/>
        <w:rPr>
          <w:sz w:val="24"/>
        </w:rPr>
      </w:pPr>
      <w:r>
        <w:rPr>
          <w:sz w:val="24"/>
        </w:rPr>
        <w:t>Jaikishan, G., &amp; Kefale, Y. (2016). The Impact of Poverty and Health-Seeking Behavior of the</w:t>
      </w:r>
      <w:r>
        <w:rPr>
          <w:spacing w:val="1"/>
          <w:sz w:val="24"/>
        </w:rPr>
        <w:t> </w:t>
      </w:r>
      <w:r>
        <w:rPr>
          <w:sz w:val="24"/>
        </w:rPr>
        <w:t>Poor: The Case of Debre Markos City of Ethiopia.</w:t>
      </w:r>
      <w:r>
        <w:rPr>
          <w:spacing w:val="1"/>
          <w:sz w:val="24"/>
        </w:rPr>
        <w:t> </w:t>
      </w:r>
      <w:r>
        <w:rPr>
          <w:i/>
          <w:sz w:val="24"/>
        </w:rPr>
        <w:t>Journal of Culture, Society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Development, 8</w:t>
      </w:r>
      <w:r>
        <w:rPr>
          <w:i/>
          <w:spacing w:val="-1"/>
          <w:sz w:val="24"/>
        </w:rPr>
        <w:t> </w:t>
      </w:r>
      <w:r>
        <w:rPr>
          <w:sz w:val="24"/>
        </w:rPr>
        <w:t>(1), 37-42</w:t>
      </w:r>
    </w:p>
    <w:p>
      <w:pPr>
        <w:spacing w:line="430" w:lineRule="atLeast" w:before="76"/>
        <w:ind w:left="120" w:right="120" w:firstLine="0"/>
        <w:jc w:val="both"/>
        <w:rPr>
          <w:sz w:val="24"/>
        </w:rPr>
      </w:pPr>
      <w:r>
        <w:rPr>
          <w:sz w:val="24"/>
        </w:rPr>
        <w:t>Jain-Chandra, S. (2015). </w:t>
      </w:r>
      <w:r>
        <w:rPr>
          <w:i/>
          <w:sz w:val="24"/>
        </w:rPr>
        <w:t>Why Gender and Income Inequality are linked</w:t>
      </w:r>
      <w:r>
        <w:rPr>
          <w:sz w:val="24"/>
        </w:rPr>
        <w:t>. World Economic Forum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Jarvandi,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S.,</w:t>
      </w:r>
      <w:r>
        <w:rPr>
          <w:spacing w:val="-12"/>
          <w:sz w:val="24"/>
        </w:rPr>
        <w:t> </w:t>
      </w:r>
      <w:r>
        <w:rPr>
          <w:sz w:val="24"/>
        </w:rPr>
        <w:t>Yan,</w:t>
      </w:r>
      <w:r>
        <w:rPr>
          <w:spacing w:val="-12"/>
          <w:sz w:val="24"/>
        </w:rPr>
        <w:t> </w:t>
      </w:r>
      <w:r>
        <w:rPr>
          <w:sz w:val="24"/>
        </w:rPr>
        <w:t>Y.,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Schootman,</w:t>
      </w:r>
      <w:r>
        <w:rPr>
          <w:spacing w:val="-12"/>
          <w:sz w:val="24"/>
        </w:rPr>
        <w:t> </w:t>
      </w:r>
      <w:r>
        <w:rPr>
          <w:sz w:val="24"/>
        </w:rPr>
        <w:t>M.</w:t>
      </w:r>
      <w:r>
        <w:rPr>
          <w:spacing w:val="-12"/>
          <w:sz w:val="24"/>
        </w:rPr>
        <w:t> </w:t>
      </w:r>
      <w:r>
        <w:rPr>
          <w:sz w:val="24"/>
        </w:rPr>
        <w:t>(2012).</w:t>
      </w:r>
      <w:r>
        <w:rPr>
          <w:spacing w:val="-9"/>
          <w:sz w:val="24"/>
        </w:rPr>
        <w:t> </w:t>
      </w:r>
      <w:r>
        <w:rPr>
          <w:sz w:val="24"/>
        </w:rPr>
        <w:t>Income</w:t>
      </w:r>
      <w:r>
        <w:rPr>
          <w:spacing w:val="-12"/>
          <w:sz w:val="24"/>
        </w:rPr>
        <w:t> </w:t>
      </w:r>
      <w:r>
        <w:rPr>
          <w:sz w:val="24"/>
        </w:rPr>
        <w:t>display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Risk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death: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Importance</w:t>
      </w:r>
    </w:p>
    <w:p>
      <w:pPr>
        <w:pStyle w:val="BodyText"/>
        <w:spacing w:before="5"/>
        <w:ind w:left="840"/>
        <w:jc w:val="both"/>
      </w:pPr>
      <w:r>
        <w:rPr/>
        <w:t>of</w:t>
      </w:r>
      <w:r>
        <w:rPr>
          <w:spacing w:val="-2"/>
        </w:rPr>
        <w:t> </w:t>
      </w:r>
      <w:r>
        <w:rPr/>
        <w:t>Health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4"/>
        </w:rPr>
        <w:t> </w:t>
      </w:r>
      <w:r>
        <w:rPr/>
        <w:t>mediating</w:t>
      </w:r>
      <w:r>
        <w:rPr>
          <w:spacing w:val="-2"/>
        </w:rPr>
        <w:t> </w:t>
      </w:r>
      <w:r>
        <w:rPr/>
        <w:t>factors.</w:t>
      </w:r>
      <w:r>
        <w:rPr>
          <w:spacing w:val="1"/>
        </w:rPr>
        <w:t> </w:t>
      </w:r>
      <w:r>
        <w:rPr>
          <w:i/>
        </w:rPr>
        <w:t>PLoS</w:t>
      </w:r>
      <w:r>
        <w:rPr>
          <w:i/>
          <w:spacing w:val="-1"/>
        </w:rPr>
        <w:t> </w:t>
      </w:r>
      <w:r>
        <w:rPr>
          <w:i/>
        </w:rPr>
        <w:t>One,</w:t>
      </w:r>
      <w:r>
        <w:rPr>
          <w:i/>
          <w:spacing w:val="-1"/>
        </w:rPr>
        <w:t> </w:t>
      </w:r>
      <w:r>
        <w:rPr>
          <w:i/>
        </w:rPr>
        <w:t>7</w:t>
      </w:r>
      <w:r>
        <w:rPr/>
        <w:t>(11),</w:t>
      </w:r>
      <w:r>
        <w:rPr>
          <w:spacing w:val="-2"/>
        </w:rPr>
        <w:t> </w:t>
      </w:r>
      <w:r>
        <w:rPr/>
        <w:t>49-92</w:t>
      </w:r>
    </w:p>
    <w:p>
      <w:pPr>
        <w:spacing w:after="0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spacing w:before="72"/>
        <w:ind w:left="840" w:right="116" w:hanging="720"/>
        <w:jc w:val="both"/>
        <w:rPr>
          <w:sz w:val="24"/>
        </w:rPr>
      </w:pPr>
      <w:r>
        <w:rPr>
          <w:sz w:val="24"/>
        </w:rPr>
        <w:t>Jones, M., Rice, N, &amp; Zucchelli, E. (2014). </w:t>
      </w:r>
      <w:r>
        <w:rPr>
          <w:i/>
          <w:sz w:val="24"/>
        </w:rPr>
        <w:t>A Synthesis of the Grossman and Becker-Murphy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addiction: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Theoretical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Empirical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Implication.</w:t>
      </w:r>
      <w:r>
        <w:rPr>
          <w:i/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Econometrics</w:t>
      </w:r>
      <w:r>
        <w:rPr>
          <w:spacing w:val="-1"/>
          <w:sz w:val="24"/>
        </w:rPr>
        <w:t> </w:t>
      </w:r>
      <w:r>
        <w:rPr>
          <w:sz w:val="24"/>
        </w:rPr>
        <w:t>and Data</w:t>
      </w:r>
      <w:r>
        <w:rPr>
          <w:spacing w:val="1"/>
          <w:sz w:val="24"/>
        </w:rPr>
        <w:t> </w:t>
      </w:r>
      <w:r>
        <w:rPr>
          <w:sz w:val="24"/>
        </w:rPr>
        <w:t>Group</w:t>
      </w:r>
    </w:p>
    <w:p>
      <w:pPr>
        <w:spacing w:before="161"/>
        <w:ind w:left="840" w:right="122" w:hanging="720"/>
        <w:jc w:val="both"/>
        <w:rPr>
          <w:sz w:val="24"/>
        </w:rPr>
      </w:pPr>
      <w:r>
        <w:rPr>
          <w:sz w:val="24"/>
        </w:rPr>
        <w:t>Joshi, T.K.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Diseases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Developing Countries:</w:t>
      </w:r>
      <w:r>
        <w:rPr>
          <w:spacing w:val="1"/>
          <w:sz w:val="24"/>
        </w:rPr>
        <w:t> </w:t>
      </w:r>
      <w:r>
        <w:rPr>
          <w:sz w:val="24"/>
        </w:rPr>
        <w:t>Magnitude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Implications.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17</w:t>
      </w:r>
      <w:r>
        <w:rPr>
          <w:sz w:val="24"/>
        </w:rPr>
        <w:t>(1):179-185</w:t>
      </w:r>
    </w:p>
    <w:p>
      <w:pPr>
        <w:pStyle w:val="BodyText"/>
        <w:spacing w:before="158"/>
        <w:ind w:left="840" w:right="120" w:hanging="720"/>
        <w:jc w:val="both"/>
      </w:pPr>
      <w:r>
        <w:rPr/>
        <w:t>Jowett, M., A. Deolalikar,</w:t>
      </w:r>
      <w:r>
        <w:rPr>
          <w:spacing w:val="1"/>
        </w:rPr>
        <w:t> </w:t>
      </w:r>
      <w:r>
        <w:rPr/>
        <w:t>&amp; P. Martinson (2004). Health</w:t>
      </w:r>
      <w:r>
        <w:rPr>
          <w:spacing w:val="1"/>
        </w:rPr>
        <w:t> </w:t>
      </w:r>
      <w:r>
        <w:rPr/>
        <w:t>Insurance</w:t>
      </w:r>
      <w:r>
        <w:rPr>
          <w:spacing w:val="1"/>
        </w:rPr>
        <w:t> </w:t>
      </w:r>
      <w:r>
        <w:rPr/>
        <w:t>and treatment seeking</w:t>
      </w:r>
      <w:r>
        <w:rPr>
          <w:spacing w:val="1"/>
        </w:rPr>
        <w:t> </w:t>
      </w:r>
      <w:r>
        <w:rPr/>
        <w:t>behaviour:</w:t>
      </w:r>
      <w:r>
        <w:rPr>
          <w:spacing w:val="-1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a Low-Income</w:t>
      </w:r>
      <w:r>
        <w:rPr>
          <w:spacing w:val="-1"/>
        </w:rPr>
        <w:t> </w:t>
      </w:r>
      <w:r>
        <w:rPr/>
        <w:t>Country.</w:t>
      </w:r>
      <w:r>
        <w:rPr>
          <w:spacing w:val="2"/>
        </w:rPr>
        <w:t> </w:t>
      </w:r>
      <w:r>
        <w:rPr>
          <w:i/>
        </w:rPr>
        <w:t>Health</w:t>
      </w:r>
      <w:r>
        <w:rPr>
          <w:i/>
          <w:spacing w:val="-1"/>
        </w:rPr>
        <w:t> </w:t>
      </w:r>
      <w:r>
        <w:rPr>
          <w:i/>
        </w:rPr>
        <w:t>Economics</w:t>
      </w:r>
      <w:r>
        <w:rPr/>
        <w:t>,</w:t>
      </w:r>
      <w:r>
        <w:rPr>
          <w:spacing w:val="-1"/>
        </w:rPr>
        <w:t> </w:t>
      </w:r>
      <w:r>
        <w:rPr/>
        <w:t>13:845-857</w:t>
      </w:r>
    </w:p>
    <w:p>
      <w:pPr>
        <w:spacing w:before="161"/>
        <w:ind w:left="840" w:right="117" w:hanging="720"/>
        <w:jc w:val="both"/>
        <w:rPr>
          <w:sz w:val="24"/>
        </w:rPr>
      </w:pPr>
      <w:r>
        <w:rPr>
          <w:sz w:val="24"/>
        </w:rPr>
        <w:t>Juan, P.B.A. (2013). </w:t>
      </w:r>
      <w:r>
        <w:rPr>
          <w:i/>
          <w:sz w:val="24"/>
        </w:rPr>
        <w:t>Beyond income inequality in Ecuador: on decomposing Socio-economic-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related Child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inequalities.</w:t>
      </w:r>
      <w:r>
        <w:rPr>
          <w:i/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MSc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and Management,</w:t>
      </w:r>
      <w:r>
        <w:rPr>
          <w:spacing w:val="2"/>
          <w:sz w:val="24"/>
        </w:rPr>
        <w:t> </w:t>
      </w:r>
      <w:r>
        <w:rPr>
          <w:sz w:val="24"/>
        </w:rPr>
        <w:t>Lund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United Kingdom</w:t>
      </w:r>
    </w:p>
    <w:p>
      <w:pPr>
        <w:spacing w:before="162"/>
        <w:ind w:left="840" w:right="114" w:hanging="720"/>
        <w:jc w:val="both"/>
        <w:rPr>
          <w:sz w:val="24"/>
        </w:rPr>
      </w:pPr>
      <w:r>
        <w:rPr>
          <w:sz w:val="24"/>
        </w:rPr>
        <w:t>Kabir,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Determinants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Life</w:t>
      </w:r>
      <w:r>
        <w:rPr>
          <w:spacing w:val="1"/>
          <w:sz w:val="24"/>
        </w:rPr>
        <w:t> </w:t>
      </w:r>
      <w:r>
        <w:rPr>
          <w:sz w:val="24"/>
        </w:rPr>
        <w:t>Expectancy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Areas</w:t>
      </w:r>
      <w:r>
        <w:rPr>
          <w:sz w:val="24"/>
        </w:rPr>
        <w:t>, </w:t>
      </w:r>
      <w:r>
        <w:rPr>
          <w:i/>
          <w:sz w:val="24"/>
        </w:rPr>
        <w:t>41</w:t>
      </w:r>
      <w:r>
        <w:rPr>
          <w:sz w:val="24"/>
        </w:rPr>
        <w:t>(2),</w:t>
      </w:r>
      <w:r>
        <w:rPr>
          <w:spacing w:val="2"/>
          <w:sz w:val="24"/>
        </w:rPr>
        <w:t> </w:t>
      </w:r>
      <w:r>
        <w:rPr>
          <w:sz w:val="24"/>
        </w:rPr>
        <w:t>185-204</w:t>
      </w:r>
    </w:p>
    <w:p>
      <w:pPr>
        <w:pStyle w:val="BodyText"/>
        <w:spacing w:before="158"/>
        <w:ind w:left="840" w:right="116" w:hanging="720"/>
        <w:jc w:val="both"/>
      </w:pPr>
      <w:r>
        <w:rPr/>
        <w:t>Kahn, H.S., Wise, P., Kennedy, B.P. &amp; Kawachi, I. (2000). State Income Inequality, Household</w:t>
      </w:r>
      <w:r>
        <w:rPr>
          <w:spacing w:val="1"/>
        </w:rPr>
        <w:t> </w:t>
      </w:r>
      <w:r>
        <w:rPr/>
        <w:t>Income, and Maternal Mental and Physical Health</w:t>
      </w:r>
      <w:r>
        <w:rPr>
          <w:i/>
        </w:rPr>
        <w:t>. British Medical Journal, 321</w:t>
      </w:r>
      <w:r>
        <w:rPr/>
        <w:t>(13), 11-</w:t>
      </w:r>
      <w:r>
        <w:rPr>
          <w:spacing w:val="1"/>
        </w:rPr>
        <w:t> </w:t>
      </w:r>
      <w:r>
        <w:rPr/>
        <w:t>35</w:t>
      </w:r>
    </w:p>
    <w:p>
      <w:pPr>
        <w:spacing w:before="161"/>
        <w:ind w:left="840" w:right="119" w:hanging="720"/>
        <w:jc w:val="both"/>
        <w:rPr>
          <w:sz w:val="24"/>
        </w:rPr>
      </w:pPr>
      <w:r>
        <w:rPr>
          <w:sz w:val="24"/>
        </w:rPr>
        <w:t>Kakwani, N. &amp; Hyun, H.S. (2015). </w:t>
      </w:r>
      <w:r>
        <w:rPr>
          <w:i/>
          <w:sz w:val="24"/>
        </w:rPr>
        <w:t>Income Inequality and Social Well-Being. </w:t>
      </w:r>
      <w:r>
        <w:rPr>
          <w:sz w:val="24"/>
        </w:rPr>
        <w:t>A Paper presented</w:t>
      </w:r>
      <w:r>
        <w:rPr>
          <w:spacing w:val="1"/>
          <w:sz w:val="24"/>
        </w:rPr>
        <w:t> </w:t>
      </w:r>
      <w:r>
        <w:rPr>
          <w:sz w:val="24"/>
        </w:rPr>
        <w:t>at the</w:t>
      </w:r>
      <w:r>
        <w:rPr>
          <w:spacing w:val="61"/>
          <w:sz w:val="24"/>
        </w:rPr>
        <w:t> </w:t>
      </w:r>
      <w:r>
        <w:rPr>
          <w:sz w:val="24"/>
        </w:rPr>
        <w:t>Expert Group Meeting on Sustainable Development and Agenda for 2030 by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-1"/>
          <w:sz w:val="24"/>
        </w:rPr>
        <w:t> </w:t>
      </w:r>
      <w:r>
        <w:rPr>
          <w:sz w:val="24"/>
        </w:rPr>
        <w:t>Nations</w:t>
      </w:r>
    </w:p>
    <w:p>
      <w:pPr>
        <w:spacing w:before="158"/>
        <w:ind w:left="840" w:right="112" w:hanging="720"/>
        <w:jc w:val="both"/>
        <w:rPr>
          <w:sz w:val="24"/>
        </w:rPr>
      </w:pPr>
      <w:r>
        <w:rPr>
          <w:sz w:val="24"/>
        </w:rPr>
        <w:t>Karimo, T.M., W.S. Krokeyi, &amp; S.Z. Ekainsai (2017). Financial Burden Associated with ill-</w:t>
      </w:r>
      <w:r>
        <w:rPr>
          <w:spacing w:val="1"/>
          <w:sz w:val="24"/>
        </w:rPr>
        <w:t> </w:t>
      </w:r>
      <w:r>
        <w:rPr>
          <w:sz w:val="24"/>
        </w:rPr>
        <w:t>health: Evidence from the Elderly Population in Nigeria. </w:t>
      </w:r>
      <w:r>
        <w:rPr>
          <w:i/>
          <w:sz w:val="24"/>
        </w:rPr>
        <w:t>Equatorial Journal of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Human Behaviour,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(1), 25-43</w:t>
      </w:r>
    </w:p>
    <w:p>
      <w:pPr>
        <w:pStyle w:val="BodyText"/>
        <w:spacing w:before="162"/>
        <w:ind w:left="840" w:right="124" w:hanging="720"/>
        <w:jc w:val="both"/>
      </w:pPr>
      <w:r>
        <w:rPr/>
        <w:t>Kindig D., Asada, Y., &amp; Booske, B. (2008). A Population Health framework for setting National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Health Goals,</w:t>
      </w:r>
      <w:r>
        <w:rPr>
          <w:spacing w:val="2"/>
        </w:rPr>
        <w:t> </w:t>
      </w:r>
      <w:r>
        <w:rPr>
          <w:i/>
        </w:rPr>
        <w:t>JAMA, </w:t>
      </w:r>
      <w:r>
        <w:rPr/>
        <w:t>299:2081-2083</w:t>
      </w:r>
    </w:p>
    <w:p>
      <w:pPr>
        <w:spacing w:before="161"/>
        <w:ind w:left="840" w:right="113" w:hanging="720"/>
        <w:jc w:val="both"/>
        <w:rPr>
          <w:sz w:val="24"/>
        </w:rPr>
      </w:pPr>
      <w:r>
        <w:rPr>
          <w:sz w:val="24"/>
        </w:rPr>
        <w:t>Kindig D., &amp; Studdart, G. (2003). What is Population Health? </w:t>
      </w:r>
      <w:r>
        <w:rPr>
          <w:i/>
          <w:sz w:val="24"/>
        </w:rPr>
        <w:t>Journal of Public Health</w:t>
      </w:r>
      <w:r>
        <w:rPr>
          <w:sz w:val="24"/>
        </w:rPr>
        <w:t>, </w:t>
      </w:r>
      <w:r>
        <w:rPr>
          <w:i/>
          <w:sz w:val="24"/>
        </w:rPr>
        <w:t>93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366-369</w:t>
      </w:r>
    </w:p>
    <w:p>
      <w:pPr>
        <w:spacing w:line="278" w:lineRule="auto" w:before="160"/>
        <w:ind w:left="840" w:right="122" w:hanging="720"/>
        <w:jc w:val="both"/>
        <w:rPr>
          <w:sz w:val="24"/>
        </w:rPr>
      </w:pPr>
      <w:r>
        <w:rPr>
          <w:sz w:val="24"/>
        </w:rPr>
        <w:t>Khan,</w:t>
      </w:r>
      <w:r>
        <w:rPr>
          <w:spacing w:val="1"/>
          <w:sz w:val="24"/>
        </w:rPr>
        <w:t> </w:t>
      </w:r>
      <w:r>
        <w:rPr>
          <w:sz w:val="24"/>
        </w:rPr>
        <w:t>S.I.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Health-Seeking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Infectious</w:t>
      </w:r>
      <w:r>
        <w:rPr>
          <w:spacing w:val="1"/>
          <w:sz w:val="24"/>
        </w:rPr>
        <w:t> </w:t>
      </w:r>
      <w:r>
        <w:rPr>
          <w:sz w:val="24"/>
        </w:rPr>
        <w:t>Diseases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Bangladesh.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52-56</w:t>
      </w:r>
    </w:p>
    <w:p>
      <w:pPr>
        <w:spacing w:line="276" w:lineRule="auto" w:before="181"/>
        <w:ind w:left="840" w:right="123" w:hanging="720"/>
        <w:jc w:val="both"/>
        <w:rPr>
          <w:sz w:val="22"/>
        </w:rPr>
      </w:pPr>
      <w:r>
        <w:rPr>
          <w:sz w:val="24"/>
        </w:rPr>
        <w:t>Kim, K. (2019). Revisiting the Income Inequality Health Hypothesis with 292 OECD Regional</w:t>
      </w:r>
      <w:r>
        <w:rPr>
          <w:spacing w:val="1"/>
          <w:sz w:val="24"/>
        </w:rPr>
        <w:t> </w:t>
      </w:r>
      <w:r>
        <w:rPr>
          <w:sz w:val="24"/>
        </w:rPr>
        <w:t>Units.</w:t>
      </w:r>
      <w:r>
        <w:rPr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Services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hyperlink r:id="rId176">
        <w:r>
          <w:rPr>
            <w:sz w:val="22"/>
            <w:u w:val="single"/>
          </w:rPr>
          <w:t>https://doi.org/10.1177/0020731418814105</w:t>
        </w:r>
      </w:hyperlink>
    </w:p>
    <w:p>
      <w:pPr>
        <w:pStyle w:val="BodyText"/>
        <w:spacing w:line="276" w:lineRule="auto"/>
        <w:ind w:left="840" w:right="117" w:hanging="720"/>
        <w:jc w:val="both"/>
      </w:pPr>
      <w:r>
        <w:rPr/>
        <w:t>Klabbers G., H. Bosma, F.J. Van Lenthe, &amp; J.P. Mackenbach (2009). The Relative Contributions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hostility</w:t>
      </w:r>
      <w:r>
        <w:rPr>
          <w:spacing w:val="-8"/>
        </w:rPr>
        <w:t> </w:t>
      </w:r>
      <w:r>
        <w:rPr/>
        <w:t>and</w:t>
      </w:r>
      <w:r>
        <w:rPr>
          <w:spacing w:val="-1"/>
        </w:rPr>
        <w:t> </w:t>
      </w:r>
      <w:r>
        <w:rPr/>
        <w:t>Depressive</w:t>
      </w:r>
      <w:r>
        <w:rPr>
          <w:spacing w:val="-4"/>
        </w:rPr>
        <w:t> </w:t>
      </w:r>
      <w:r>
        <w:rPr/>
        <w:t>symptoms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income</w:t>
      </w:r>
      <w:r>
        <w:rPr>
          <w:spacing w:val="-3"/>
        </w:rPr>
        <w:t> </w:t>
      </w:r>
      <w:r>
        <w:rPr/>
        <w:t>gradients</w:t>
      </w:r>
      <w:r>
        <w:rPr>
          <w:spacing w:val="-3"/>
        </w:rPr>
        <w:t> </w:t>
      </w:r>
      <w:r>
        <w:rPr/>
        <w:t>in Hospital-based</w:t>
      </w:r>
      <w:r>
        <w:rPr>
          <w:spacing w:val="-3"/>
        </w:rPr>
        <w:t> </w:t>
      </w:r>
      <w:r>
        <w:rPr/>
        <w:t>incidence</w:t>
      </w:r>
      <w:r>
        <w:rPr>
          <w:spacing w:val="-57"/>
        </w:rPr>
        <w:t> </w:t>
      </w:r>
      <w:r>
        <w:rPr/>
        <w:t>of Ischaemic</w:t>
      </w:r>
      <w:r>
        <w:rPr>
          <w:spacing w:val="-1"/>
        </w:rPr>
        <w:t> </w:t>
      </w:r>
      <w:r>
        <w:rPr/>
        <w:t>heart</w:t>
      </w:r>
      <w:r>
        <w:rPr>
          <w:spacing w:val="-1"/>
        </w:rPr>
        <w:t> </w:t>
      </w:r>
      <w:r>
        <w:rPr/>
        <w:t>disease:</w:t>
      </w:r>
      <w:r>
        <w:rPr>
          <w:spacing w:val="2"/>
        </w:rPr>
        <w:t> </w:t>
      </w:r>
      <w:r>
        <w:rPr>
          <w:i/>
        </w:rPr>
        <w:t>Social Science and Medicines</w:t>
      </w:r>
      <w:r>
        <w:rPr/>
        <w:t>, </w:t>
      </w:r>
      <w:r>
        <w:rPr>
          <w:i/>
        </w:rPr>
        <w:t>69</w:t>
      </w:r>
      <w:r>
        <w:rPr>
          <w:i/>
          <w:spacing w:val="-1"/>
        </w:rPr>
        <w:t> </w:t>
      </w:r>
      <w:r>
        <w:rPr/>
        <w:t>(8), 1272-1280</w:t>
      </w:r>
    </w:p>
    <w:p>
      <w:pPr>
        <w:pStyle w:val="BodyText"/>
        <w:spacing w:line="278" w:lineRule="auto" w:before="185"/>
        <w:ind w:left="840" w:right="122" w:hanging="720"/>
        <w:jc w:val="both"/>
      </w:pPr>
      <w:r>
        <w:rPr/>
        <w:t>Kosta, J., &amp; Novica, S. (2018). Institutionalist versus Neoclassical view on Income Distribution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Economic Progress: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OECD</w:t>
      </w:r>
      <w:r>
        <w:rPr>
          <w:spacing w:val="-1"/>
        </w:rPr>
        <w:t> </w:t>
      </w:r>
      <w:r>
        <w:rPr/>
        <w:t>Panel</w:t>
      </w:r>
      <w:r>
        <w:rPr>
          <w:spacing w:val="-1"/>
        </w:rPr>
        <w:t> </w:t>
      </w:r>
      <w:r>
        <w:rPr/>
        <w:t>Evidence.</w:t>
      </w:r>
      <w:r>
        <w:rPr>
          <w:spacing w:val="1"/>
        </w:rPr>
        <w:t> </w:t>
      </w:r>
      <w:r>
        <w:rPr>
          <w:i/>
        </w:rPr>
        <w:t>Panoeconomicus, 65</w:t>
      </w:r>
      <w:r>
        <w:rPr/>
        <w:t>(3),</w:t>
      </w:r>
      <w:r>
        <w:rPr>
          <w:spacing w:val="-1"/>
        </w:rPr>
        <w:t> </w:t>
      </w:r>
      <w:r>
        <w:rPr/>
        <w:t>319-337</w:t>
      </w:r>
    </w:p>
    <w:p>
      <w:pPr>
        <w:spacing w:line="276" w:lineRule="auto" w:before="0"/>
        <w:ind w:left="840" w:right="119" w:hanging="720"/>
        <w:jc w:val="both"/>
        <w:rPr>
          <w:sz w:val="24"/>
        </w:rPr>
      </w:pPr>
      <w:r>
        <w:rPr>
          <w:sz w:val="24"/>
        </w:rPr>
        <w:t>Kragten, N. &amp; Rozer, J. (2017). The Income Inequality Revisited. </w:t>
      </w:r>
      <w:r>
        <w:rPr>
          <w:i/>
          <w:sz w:val="24"/>
        </w:rPr>
        <w:t>Social Indicators Research,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131</w:t>
      </w:r>
      <w:r>
        <w:rPr>
          <w:i/>
          <w:spacing w:val="-1"/>
          <w:sz w:val="24"/>
        </w:rPr>
        <w:t> </w:t>
      </w:r>
      <w:r>
        <w:rPr>
          <w:sz w:val="24"/>
        </w:rPr>
        <w:t>(3), 1015-1033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line="276" w:lineRule="auto" w:before="74"/>
        <w:ind w:left="840" w:right="118" w:hanging="720"/>
        <w:jc w:val="both"/>
      </w:pPr>
      <w:r>
        <w:rPr/>
        <w:t>Kuuire, V.Z., E. Bisung, &amp; Luginaah, I. (2015). Health-Seeking Behavior during times of illness: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Study</w:t>
      </w:r>
      <w:r>
        <w:rPr>
          <w:spacing w:val="-17"/>
        </w:rPr>
        <w:t> </w:t>
      </w:r>
      <w:r>
        <w:rPr/>
        <w:t>among</w:t>
      </w:r>
      <w:r>
        <w:rPr>
          <w:spacing w:val="-15"/>
        </w:rPr>
        <w:t> </w:t>
      </w:r>
      <w:r>
        <w:rPr/>
        <w:t>Adults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resource</w:t>
      </w:r>
      <w:r>
        <w:rPr>
          <w:spacing w:val="-16"/>
        </w:rPr>
        <w:t> </w:t>
      </w:r>
      <w:r>
        <w:rPr/>
        <w:t>poor</w:t>
      </w:r>
      <w:r>
        <w:rPr>
          <w:spacing w:val="-13"/>
        </w:rPr>
        <w:t> </w:t>
      </w:r>
      <w:r>
        <w:rPr/>
        <w:t>setting</w:t>
      </w:r>
      <w:r>
        <w:rPr>
          <w:spacing w:val="-16"/>
        </w:rPr>
        <w:t> </w:t>
      </w:r>
      <w:r>
        <w:rPr/>
        <w:t>in</w:t>
      </w:r>
      <w:r>
        <w:rPr>
          <w:spacing w:val="-12"/>
        </w:rPr>
        <w:t> </w:t>
      </w:r>
      <w:r>
        <w:rPr/>
        <w:t>Ghana.</w:t>
      </w:r>
      <w:r>
        <w:rPr>
          <w:spacing w:val="-9"/>
        </w:rPr>
        <w:t> </w:t>
      </w:r>
      <w:r>
        <w:rPr>
          <w:i/>
        </w:rPr>
        <w:t>Journal</w:t>
      </w:r>
      <w:r>
        <w:rPr>
          <w:i/>
          <w:spacing w:val="-14"/>
        </w:rPr>
        <w:t> </w:t>
      </w:r>
      <w:r>
        <w:rPr>
          <w:i/>
        </w:rPr>
        <w:t>of</w:t>
      </w:r>
      <w:r>
        <w:rPr>
          <w:i/>
          <w:spacing w:val="-14"/>
        </w:rPr>
        <w:t> </w:t>
      </w:r>
      <w:r>
        <w:rPr>
          <w:i/>
        </w:rPr>
        <w:t>Public</w:t>
      </w:r>
      <w:r>
        <w:rPr>
          <w:i/>
          <w:spacing w:val="-11"/>
        </w:rPr>
        <w:t> </w:t>
      </w:r>
      <w:r>
        <w:rPr>
          <w:i/>
        </w:rPr>
        <w:t>Health,</w:t>
      </w:r>
      <w:r>
        <w:rPr>
          <w:i/>
          <w:spacing w:val="-13"/>
        </w:rPr>
        <w:t> </w:t>
      </w:r>
      <w:r>
        <w:rPr>
          <w:i/>
        </w:rPr>
        <w:t>38</w:t>
      </w:r>
      <w:r>
        <w:rPr/>
        <w:t>(4),</w:t>
      </w:r>
      <w:r>
        <w:rPr>
          <w:spacing w:val="-57"/>
        </w:rPr>
        <w:t> </w:t>
      </w:r>
      <w:r>
        <w:rPr/>
        <w:t>545-553</w:t>
      </w:r>
    </w:p>
    <w:p>
      <w:pPr>
        <w:spacing w:line="276" w:lineRule="auto" w:before="47"/>
        <w:ind w:left="840" w:right="117" w:hanging="720"/>
        <w:jc w:val="both"/>
        <w:rPr>
          <w:sz w:val="24"/>
        </w:rPr>
      </w:pPr>
      <w:r>
        <w:rPr>
          <w:sz w:val="24"/>
        </w:rPr>
        <w:t>Latunji, O.O. &amp; O.O. Akinyemi (2018). Factors Influencing Health-Seeking Behavior among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-7"/>
          <w:sz w:val="24"/>
        </w:rPr>
        <w:t> </w:t>
      </w:r>
      <w:r>
        <w:rPr>
          <w:sz w:val="24"/>
        </w:rPr>
        <w:t>Servants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Ibadan,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  <w:r>
        <w:rPr>
          <w:spacing w:val="-5"/>
          <w:sz w:val="24"/>
        </w:rPr>
        <w:t> </w:t>
      </w:r>
      <w:r>
        <w:rPr>
          <w:i/>
          <w:sz w:val="24"/>
        </w:rPr>
        <w:t>Annuals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Ibadan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Postgraduate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(1),</w:t>
      </w:r>
      <w:r>
        <w:rPr>
          <w:spacing w:val="-4"/>
          <w:sz w:val="24"/>
        </w:rPr>
        <w:t> </w:t>
      </w:r>
      <w:r>
        <w:rPr>
          <w:sz w:val="24"/>
        </w:rPr>
        <w:t>52-60</w:t>
      </w:r>
    </w:p>
    <w:p>
      <w:pPr>
        <w:pStyle w:val="BodyText"/>
        <w:spacing w:before="227"/>
        <w:ind w:left="840" w:right="123" w:hanging="720"/>
        <w:jc w:val="both"/>
      </w:pPr>
      <w:r>
        <w:rPr/>
        <w:t>Lawanson, A.O., &amp; Olaniyan, O. (2014). Health Expenditure and Health Status in Northern and</w:t>
      </w:r>
      <w:r>
        <w:rPr>
          <w:spacing w:val="1"/>
        </w:rPr>
        <w:t> </w:t>
      </w:r>
      <w:r>
        <w:rPr/>
        <w:t>Southern Nigeria: A Comparative Analysis using National Health Account Framework.</w:t>
      </w:r>
      <w:r>
        <w:rPr>
          <w:spacing w:val="1"/>
        </w:rPr>
        <w:t> </w:t>
      </w:r>
      <w:r>
        <w:rPr>
          <w:i/>
        </w:rPr>
        <w:t>African</w:t>
      </w:r>
      <w:r>
        <w:rPr>
          <w:i/>
          <w:spacing w:val="-1"/>
        </w:rPr>
        <w:t> </w:t>
      </w:r>
      <w:r>
        <w:rPr>
          <w:i/>
        </w:rPr>
        <w:t>Journal of Health Economics, AJHE</w:t>
      </w:r>
      <w:r>
        <w:rPr/>
        <w:t>-2014-0007</w:t>
      </w:r>
    </w:p>
    <w:p>
      <w:pPr>
        <w:spacing w:before="160"/>
        <w:ind w:left="840" w:right="123" w:hanging="720"/>
        <w:jc w:val="both"/>
        <w:rPr>
          <w:sz w:val="24"/>
        </w:rPr>
      </w:pPr>
      <w:r>
        <w:rPr>
          <w:sz w:val="24"/>
        </w:rPr>
        <w:t>Lawanson, A.O. &amp; Opeloyeru, S. (2016). Inequality in Healthcare Utilization: Analysis of the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Situation.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(5),</w:t>
      </w:r>
      <w:r>
        <w:rPr>
          <w:spacing w:val="-2"/>
          <w:sz w:val="24"/>
        </w:rPr>
        <w:t> </w:t>
      </w:r>
      <w:r>
        <w:rPr>
          <w:sz w:val="24"/>
        </w:rPr>
        <w:t>223-232</w:t>
      </w:r>
    </w:p>
    <w:p>
      <w:pPr>
        <w:spacing w:before="159"/>
        <w:ind w:left="840" w:right="114" w:hanging="720"/>
        <w:jc w:val="both"/>
        <w:rPr>
          <w:sz w:val="24"/>
        </w:rPr>
      </w:pPr>
      <w:r>
        <w:rPr>
          <w:sz w:val="24"/>
        </w:rPr>
        <w:t>Lawson, D. (2004). </w:t>
      </w:r>
      <w:r>
        <w:rPr>
          <w:i/>
          <w:sz w:val="24"/>
        </w:rPr>
        <w:t>Determinants of Health-Seeking Behaviour in Uganda – Is it just Income 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User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Fees that 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Important?</w:t>
      </w:r>
      <w:r>
        <w:rPr>
          <w:i/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Manchester, Manchester</w:t>
      </w:r>
    </w:p>
    <w:p>
      <w:pPr>
        <w:pStyle w:val="BodyText"/>
        <w:spacing w:before="161"/>
        <w:ind w:left="840" w:right="117" w:hanging="720"/>
        <w:jc w:val="both"/>
      </w:pPr>
      <w:r>
        <w:rPr/>
        <w:t>Lawson N. &amp; Spear, D. (2016). What doesn’t kill you makes you poorer: Adult wages and Early-</w:t>
      </w:r>
      <w:r>
        <w:rPr>
          <w:spacing w:val="-57"/>
        </w:rPr>
        <w:t> </w:t>
      </w:r>
      <w:r>
        <w:rPr/>
        <w:t>life</w:t>
      </w:r>
      <w:r>
        <w:rPr>
          <w:spacing w:val="-3"/>
        </w:rPr>
        <w:t> </w:t>
      </w:r>
      <w:r>
        <w:rPr/>
        <w:t>Mortality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India.</w:t>
      </w:r>
      <w:r>
        <w:rPr>
          <w:spacing w:val="1"/>
        </w:rPr>
        <w:t> </w:t>
      </w:r>
      <w:r>
        <w:rPr>
          <w:i/>
        </w:rPr>
        <w:t>Economics and Human Biology</w:t>
      </w:r>
      <w:r>
        <w:rPr/>
        <w:t>, </w:t>
      </w:r>
      <w:r>
        <w:rPr>
          <w:i/>
        </w:rPr>
        <w:t>21</w:t>
      </w:r>
      <w:r>
        <w:rPr/>
        <w:t>, 1-16</w:t>
      </w:r>
    </w:p>
    <w:p>
      <w:pPr>
        <w:spacing w:before="161"/>
        <w:ind w:left="840" w:right="117" w:hanging="720"/>
        <w:jc w:val="both"/>
        <w:rPr>
          <w:sz w:val="24"/>
        </w:rPr>
      </w:pPr>
      <w:r>
        <w:rPr>
          <w:sz w:val="24"/>
        </w:rPr>
        <w:t>Leigh, A., &amp; Jencks, C. (2007). Inequality and Mortality: Long–run Evidence from a Panel of</w:t>
      </w:r>
      <w:r>
        <w:rPr>
          <w:spacing w:val="1"/>
          <w:sz w:val="24"/>
        </w:rPr>
        <w:t> </w:t>
      </w:r>
      <w:r>
        <w:rPr>
          <w:sz w:val="24"/>
        </w:rPr>
        <w:t>Countries,</w:t>
      </w:r>
      <w:r>
        <w:rPr>
          <w:spacing w:val="-1"/>
          <w:sz w:val="24"/>
        </w:rPr>
        <w:t> </w:t>
      </w:r>
      <w:r>
        <w:rPr>
          <w:i/>
          <w:sz w:val="24"/>
        </w:rPr>
        <w:t>Journal of 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Economics, 26</w:t>
      </w:r>
      <w:r>
        <w:rPr>
          <w:sz w:val="24"/>
        </w:rPr>
        <w:t>, 1–24</w:t>
      </w:r>
    </w:p>
    <w:p>
      <w:pPr>
        <w:pStyle w:val="BodyText"/>
        <w:spacing w:before="159"/>
        <w:ind w:left="840" w:right="117" w:hanging="720"/>
        <w:jc w:val="both"/>
      </w:pPr>
      <w:r>
        <w:rPr/>
        <w:t>Li, Y. &amp; Mora, R. (2016). Impact of the Grandparents’ Income on the Infant Mortality Rate: An</w:t>
      </w:r>
      <w:r>
        <w:rPr>
          <w:spacing w:val="1"/>
        </w:rPr>
        <w:t> </w:t>
      </w:r>
      <w:r>
        <w:rPr/>
        <w:t>Evaluation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Old</w:t>
      </w:r>
      <w:r>
        <w:rPr>
          <w:spacing w:val="-9"/>
        </w:rPr>
        <w:t> </w:t>
      </w:r>
      <w:r>
        <w:rPr/>
        <w:t>Age</w:t>
      </w:r>
      <w:r>
        <w:rPr>
          <w:spacing w:val="-10"/>
        </w:rPr>
        <w:t> </w:t>
      </w:r>
      <w:r>
        <w:rPr/>
        <w:t>Allowance</w:t>
      </w:r>
      <w:r>
        <w:rPr>
          <w:spacing w:val="-10"/>
        </w:rPr>
        <w:t> </w:t>
      </w:r>
      <w:r>
        <w:rPr/>
        <w:t>Program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Nepal.</w:t>
      </w:r>
      <w:r>
        <w:rPr>
          <w:spacing w:val="-4"/>
        </w:rPr>
        <w:t> </w:t>
      </w:r>
      <w:r>
        <w:rPr>
          <w:i/>
        </w:rPr>
        <w:t>World</w:t>
      </w:r>
      <w:r>
        <w:rPr>
          <w:i/>
          <w:spacing w:val="-8"/>
        </w:rPr>
        <w:t> </w:t>
      </w:r>
      <w:r>
        <w:rPr>
          <w:i/>
        </w:rPr>
        <w:t>Development</w:t>
      </w:r>
      <w:r>
        <w:rPr/>
        <w:t>,</w:t>
      </w:r>
      <w:r>
        <w:rPr>
          <w:spacing w:val="-9"/>
        </w:rPr>
        <w:t> </w:t>
      </w:r>
      <w:r>
        <w:rPr>
          <w:i/>
        </w:rPr>
        <w:t>87,</w:t>
      </w:r>
      <w:r>
        <w:rPr>
          <w:i/>
          <w:spacing w:val="-8"/>
        </w:rPr>
        <w:t> </w:t>
      </w:r>
      <w:r>
        <w:rPr/>
        <w:t>333-348</w:t>
      </w:r>
    </w:p>
    <w:p>
      <w:pPr>
        <w:pStyle w:val="BodyText"/>
        <w:spacing w:before="160"/>
        <w:ind w:left="840" w:right="117" w:hanging="720"/>
        <w:jc w:val="both"/>
      </w:pPr>
      <w:r>
        <w:rPr/>
        <w:t>Linden, M.</w:t>
      </w:r>
      <w:r>
        <w:rPr>
          <w:spacing w:val="1"/>
        </w:rPr>
        <w:t> </w:t>
      </w:r>
      <w:r>
        <w:rPr/>
        <w:t>&amp; Ray, D.</w:t>
      </w:r>
      <w:r>
        <w:rPr>
          <w:spacing w:val="1"/>
        </w:rPr>
        <w:t> </w:t>
      </w:r>
      <w:r>
        <w:rPr/>
        <w:t>(2017). Aggregative bias-correcting Approach</w:t>
      </w:r>
      <w:r>
        <w:rPr>
          <w:spacing w:val="1"/>
        </w:rPr>
        <w:t> </w:t>
      </w:r>
      <w:r>
        <w:rPr/>
        <w:t>to the Health-Income</w:t>
      </w:r>
      <w:r>
        <w:rPr>
          <w:spacing w:val="1"/>
        </w:rPr>
        <w:t> </w:t>
      </w:r>
      <w:r>
        <w:rPr/>
        <w:t>relationship: Life-Expectancy and GDP per capita in 148 nations (1970-2010). </w:t>
      </w:r>
      <w:r>
        <w:rPr>
          <w:i/>
        </w:rPr>
        <w:t>Economic</w:t>
      </w:r>
      <w:r>
        <w:rPr>
          <w:i/>
          <w:spacing w:val="1"/>
        </w:rPr>
        <w:t> </w:t>
      </w:r>
      <w:r>
        <w:rPr>
          <w:i/>
        </w:rPr>
        <w:t>Modelling,</w:t>
      </w:r>
      <w:r>
        <w:rPr>
          <w:i/>
          <w:spacing w:val="-1"/>
        </w:rPr>
        <w:t> </w:t>
      </w:r>
      <w:r>
        <w:rPr>
          <w:i/>
        </w:rPr>
        <w:t>61</w:t>
      </w:r>
      <w:r>
        <w:rPr/>
        <w:t>,126-136</w:t>
      </w:r>
    </w:p>
    <w:p>
      <w:pPr>
        <w:spacing w:before="162"/>
        <w:ind w:left="840" w:right="119" w:hanging="720"/>
        <w:jc w:val="both"/>
        <w:rPr>
          <w:sz w:val="24"/>
        </w:rPr>
      </w:pPr>
      <w:r>
        <w:rPr>
          <w:sz w:val="24"/>
        </w:rPr>
        <w:t>Liu, W. (2017). </w:t>
      </w:r>
      <w:r>
        <w:rPr>
          <w:i/>
          <w:sz w:val="24"/>
        </w:rPr>
        <w:t>Income Inequality and Health in Canada</w:t>
      </w:r>
      <w:r>
        <w:rPr>
          <w:sz w:val="24"/>
        </w:rPr>
        <w:t>. Unpublished MSc Thesis, 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Economics, 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Ottawa, Canada</w:t>
      </w:r>
    </w:p>
    <w:p>
      <w:pPr>
        <w:pStyle w:val="BodyText"/>
        <w:spacing w:before="158"/>
        <w:ind w:left="120"/>
      </w:pPr>
      <w:r>
        <w:rPr/>
        <w:t>Lopez,</w:t>
      </w:r>
      <w:r>
        <w:rPr>
          <w:spacing w:val="19"/>
        </w:rPr>
        <w:t> </w:t>
      </w:r>
      <w:r>
        <w:rPr/>
        <w:t>B.D.,</w:t>
      </w:r>
      <w:r>
        <w:rPr>
          <w:spacing w:val="19"/>
        </w:rPr>
        <w:t> </w:t>
      </w:r>
      <w:r>
        <w:rPr/>
        <w:t>A.P.</w:t>
      </w:r>
      <w:r>
        <w:rPr>
          <w:spacing w:val="20"/>
        </w:rPr>
        <w:t> </w:t>
      </w:r>
      <w:r>
        <w:rPr/>
        <w:t>Loehrer,</w:t>
      </w:r>
      <w:r>
        <w:rPr>
          <w:spacing w:val="21"/>
        </w:rPr>
        <w:t> </w:t>
      </w:r>
      <w:r>
        <w:rPr/>
        <w:t>&amp;</w:t>
      </w:r>
      <w:r>
        <w:rPr>
          <w:spacing w:val="16"/>
        </w:rPr>
        <w:t> </w:t>
      </w:r>
      <w:r>
        <w:rPr/>
        <w:t>Chang,</w:t>
      </w:r>
      <w:r>
        <w:rPr>
          <w:spacing w:val="20"/>
        </w:rPr>
        <w:t> </w:t>
      </w:r>
      <w:r>
        <w:rPr/>
        <w:t>D.C.</w:t>
      </w:r>
      <w:r>
        <w:rPr>
          <w:spacing w:val="18"/>
        </w:rPr>
        <w:t> </w:t>
      </w:r>
      <w:r>
        <w:rPr/>
        <w:t>(2016).</w:t>
      </w:r>
      <w:r>
        <w:rPr>
          <w:spacing w:val="18"/>
        </w:rPr>
        <w:t> </w:t>
      </w:r>
      <w:r>
        <w:rPr/>
        <w:t>Impact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/>
        <w:t>Income</w:t>
      </w:r>
      <w:r>
        <w:rPr>
          <w:spacing w:val="21"/>
        </w:rPr>
        <w:t> </w:t>
      </w:r>
      <w:r>
        <w:rPr/>
        <w:t>Inequality</w:t>
      </w:r>
      <w:r>
        <w:rPr>
          <w:spacing w:val="13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Health.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 College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Surgeons,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223 </w:t>
      </w:r>
      <w:r>
        <w:rPr>
          <w:sz w:val="24"/>
        </w:rPr>
        <w:t>(4),</w:t>
      </w:r>
      <w:r>
        <w:rPr>
          <w:spacing w:val="-2"/>
          <w:sz w:val="24"/>
        </w:rPr>
        <w:t> </w:t>
      </w:r>
      <w:r>
        <w:rPr>
          <w:sz w:val="24"/>
        </w:rPr>
        <w:t>587-594</w:t>
      </w:r>
    </w:p>
    <w:p>
      <w:pPr>
        <w:pStyle w:val="BodyText"/>
        <w:spacing w:before="161"/>
        <w:ind w:left="840" w:right="117" w:hanging="720"/>
        <w:jc w:val="both"/>
      </w:pPr>
      <w:r>
        <w:rPr/>
        <w:t>Lynch,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Lundberg,</w:t>
      </w:r>
      <w:r>
        <w:rPr>
          <w:spacing w:val="1"/>
        </w:rPr>
        <w:t> </w:t>
      </w:r>
      <w:r>
        <w:rPr/>
        <w:t>O,</w:t>
      </w:r>
      <w:r>
        <w:rPr>
          <w:spacing w:val="1"/>
        </w:rPr>
        <w:t> </w:t>
      </w:r>
      <w:r>
        <w:rPr/>
        <w:t>Yngwe,</w:t>
      </w:r>
      <w:r>
        <w:rPr>
          <w:spacing w:val="1"/>
        </w:rPr>
        <w:t> </w:t>
      </w:r>
      <w:r>
        <w:rPr/>
        <w:t>M.A,</w:t>
      </w:r>
      <w:r>
        <w:rPr>
          <w:spacing w:val="1"/>
        </w:rPr>
        <w:t> </w:t>
      </w:r>
      <w:r>
        <w:rPr/>
        <w:t>Stjärne,</w:t>
      </w:r>
      <w:r>
        <w:rPr>
          <w:spacing w:val="1"/>
        </w:rPr>
        <w:t> </w:t>
      </w:r>
      <w:r>
        <w:rPr/>
        <w:t>M.K.,</w:t>
      </w:r>
      <w:r>
        <w:rPr>
          <w:spacing w:val="1"/>
        </w:rPr>
        <w:t> </w:t>
      </w:r>
      <w:r>
        <w:rPr/>
        <w:t>Elstad, J.I.,</w:t>
      </w:r>
      <w:r>
        <w:rPr>
          <w:spacing w:val="1"/>
        </w:rPr>
        <w:t> </w:t>
      </w:r>
      <w:r>
        <w:rPr/>
        <w:t>Ferrarini,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Kangas,</w:t>
      </w:r>
      <w:r>
        <w:rPr>
          <w:spacing w:val="1"/>
        </w:rPr>
        <w:t> </w:t>
      </w:r>
      <w:r>
        <w:rPr/>
        <w:t>O,</w:t>
      </w:r>
      <w:r>
        <w:rPr>
          <w:spacing w:val="-57"/>
        </w:rPr>
        <w:t> </w:t>
      </w:r>
      <w:r>
        <w:rPr/>
        <w:t>Norström, T.,</w:t>
      </w:r>
      <w:r>
        <w:rPr>
          <w:spacing w:val="1"/>
        </w:rPr>
        <w:t> </w:t>
      </w:r>
      <w:r>
        <w:rPr/>
        <w:t>Palme, J., Smith, G.D., Harper, S., Hillemeier, M., Ross, N., Kaplan, G.A.,</w:t>
      </w:r>
      <w:r>
        <w:rPr>
          <w:spacing w:val="-57"/>
        </w:rPr>
        <w:t> </w:t>
      </w:r>
      <w:r>
        <w:rPr/>
        <w:t>&amp; Wolfson, M. (2004). Is Income Inequality a Determinant of Population Health</w:t>
      </w:r>
      <w:r>
        <w:rPr>
          <w:i/>
        </w:rPr>
        <w:t>? The</w:t>
      </w:r>
      <w:r>
        <w:rPr>
          <w:i/>
          <w:spacing w:val="1"/>
        </w:rPr>
        <w:t> </w:t>
      </w:r>
      <w:r>
        <w:rPr>
          <w:i/>
        </w:rPr>
        <w:t>Milbank</w:t>
      </w:r>
      <w:r>
        <w:rPr>
          <w:i/>
          <w:spacing w:val="-2"/>
        </w:rPr>
        <w:t> </w:t>
      </w:r>
      <w:r>
        <w:rPr>
          <w:i/>
        </w:rPr>
        <w:t>Quarterly,</w:t>
      </w:r>
      <w:r>
        <w:rPr>
          <w:i/>
          <w:spacing w:val="60"/>
        </w:rPr>
        <w:t> </w:t>
      </w:r>
      <w:r>
        <w:rPr>
          <w:i/>
        </w:rPr>
        <w:t>82 </w:t>
      </w:r>
      <w:r>
        <w:rPr/>
        <w:t>(1),</w:t>
      </w:r>
      <w:r>
        <w:rPr>
          <w:spacing w:val="-1"/>
        </w:rPr>
        <w:t> </w:t>
      </w:r>
      <w:r>
        <w:rPr/>
        <w:t>5-99.</w:t>
      </w:r>
    </w:p>
    <w:p>
      <w:pPr>
        <w:pStyle w:val="BodyText"/>
        <w:spacing w:before="162"/>
        <w:ind w:left="840" w:right="121" w:hanging="720"/>
        <w:jc w:val="both"/>
      </w:pPr>
      <w:r>
        <w:rPr/>
        <w:t>Lynch, J., Smith, G.D., Kaplan, G.A., &amp; House, J.S. (2000). Income Inequality and Mortality: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Income,</w:t>
      </w:r>
      <w:r>
        <w:rPr>
          <w:spacing w:val="1"/>
        </w:rPr>
        <w:t> </w:t>
      </w:r>
      <w:r>
        <w:rPr/>
        <w:t>Psychosocial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Conditions, </w:t>
      </w:r>
      <w:r>
        <w:rPr>
          <w:i/>
        </w:rPr>
        <w:t>British Medical Journal,</w:t>
      </w:r>
      <w:r>
        <w:rPr>
          <w:i/>
          <w:spacing w:val="1"/>
        </w:rPr>
        <w:t> </w:t>
      </w:r>
      <w:r>
        <w:rPr>
          <w:i/>
        </w:rPr>
        <w:t>320 </w:t>
      </w:r>
      <w:r>
        <w:rPr/>
        <w:t>(7243),</w:t>
      </w:r>
      <w:r>
        <w:rPr>
          <w:spacing w:val="2"/>
        </w:rPr>
        <w:t> </w:t>
      </w:r>
      <w:r>
        <w:rPr/>
        <w:t>1200-1204</w:t>
      </w:r>
    </w:p>
    <w:p>
      <w:pPr>
        <w:spacing w:before="158"/>
        <w:ind w:left="840" w:right="121" w:hanging="720"/>
        <w:jc w:val="both"/>
        <w:rPr>
          <w:sz w:val="24"/>
        </w:rPr>
      </w:pPr>
      <w:r>
        <w:rPr>
          <w:sz w:val="24"/>
        </w:rPr>
        <w:t>Macinko</w:t>
      </w:r>
      <w:r>
        <w:rPr>
          <w:spacing w:val="-2"/>
          <w:sz w:val="24"/>
        </w:rPr>
        <w:t> </w:t>
      </w:r>
      <w:r>
        <w:rPr>
          <w:sz w:val="24"/>
        </w:rPr>
        <w:t>J.A.,</w:t>
      </w:r>
      <w:r>
        <w:rPr>
          <w:spacing w:val="-2"/>
          <w:sz w:val="24"/>
        </w:rPr>
        <w:t> </w:t>
      </w:r>
      <w:r>
        <w:rPr>
          <w:sz w:val="24"/>
        </w:rPr>
        <w:t>L.</w:t>
      </w:r>
      <w:r>
        <w:rPr>
          <w:spacing w:val="-2"/>
          <w:sz w:val="24"/>
        </w:rPr>
        <w:t> </w:t>
      </w:r>
      <w:r>
        <w:rPr>
          <w:sz w:val="24"/>
        </w:rPr>
        <w:t>Shi,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Starfield,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Wulu,</w:t>
      </w:r>
      <w:r>
        <w:rPr>
          <w:spacing w:val="-5"/>
          <w:sz w:val="24"/>
        </w:rPr>
        <w:t> </w:t>
      </w:r>
      <w:r>
        <w:rPr>
          <w:sz w:val="24"/>
        </w:rPr>
        <w:t>J.T.</w:t>
      </w:r>
      <w:r>
        <w:rPr>
          <w:spacing w:val="-1"/>
          <w:sz w:val="24"/>
        </w:rPr>
        <w:t> </w:t>
      </w:r>
      <w:r>
        <w:rPr>
          <w:sz w:val="24"/>
        </w:rPr>
        <w:t>(2003). Income</w:t>
      </w:r>
      <w:r>
        <w:rPr>
          <w:spacing w:val="-1"/>
          <w:sz w:val="24"/>
        </w:rPr>
        <w:t> </w:t>
      </w:r>
      <w:r>
        <w:rPr>
          <w:sz w:val="24"/>
        </w:rPr>
        <w:t>Inequality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Health: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Critical</w:t>
      </w:r>
      <w:r>
        <w:rPr>
          <w:spacing w:val="-58"/>
          <w:sz w:val="24"/>
        </w:rPr>
        <w:t> </w:t>
      </w: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Literature.</w:t>
      </w:r>
      <w:r>
        <w:rPr>
          <w:spacing w:val="4"/>
          <w:sz w:val="24"/>
        </w:rPr>
        <w:t> </w:t>
      </w:r>
      <w:r>
        <w:rPr>
          <w:i/>
          <w:sz w:val="24"/>
        </w:rPr>
        <w:t>Medical-Care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60</w:t>
      </w:r>
      <w:r>
        <w:rPr>
          <w:i/>
          <w:spacing w:val="-1"/>
          <w:sz w:val="24"/>
        </w:rPr>
        <w:t> </w:t>
      </w:r>
      <w:r>
        <w:rPr>
          <w:sz w:val="24"/>
        </w:rPr>
        <w:t>(4), 407-452.</w:t>
      </w:r>
    </w:p>
    <w:p>
      <w:pPr>
        <w:spacing w:before="161"/>
        <w:ind w:left="120" w:right="0" w:firstLine="0"/>
        <w:jc w:val="left"/>
        <w:rPr>
          <w:i/>
          <w:sz w:val="24"/>
        </w:rPr>
      </w:pPr>
      <w:r>
        <w:rPr>
          <w:sz w:val="24"/>
        </w:rPr>
        <w:t>Marmot,</w:t>
      </w:r>
      <w:r>
        <w:rPr>
          <w:spacing w:val="19"/>
          <w:sz w:val="24"/>
        </w:rPr>
        <w:t> </w:t>
      </w:r>
      <w:r>
        <w:rPr>
          <w:sz w:val="24"/>
        </w:rPr>
        <w:t>M.</w:t>
      </w:r>
      <w:r>
        <w:rPr>
          <w:spacing w:val="20"/>
          <w:sz w:val="24"/>
        </w:rPr>
        <w:t> </w:t>
      </w:r>
      <w:r>
        <w:rPr>
          <w:sz w:val="24"/>
        </w:rPr>
        <w:t>(2004).</w:t>
      </w:r>
      <w:r>
        <w:rPr>
          <w:spacing w:val="2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Status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Syndrome: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Standing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Affects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Longevity.</w:t>
      </w:r>
    </w:p>
    <w:p>
      <w:pPr>
        <w:pStyle w:val="BodyText"/>
        <w:ind w:left="840"/>
      </w:pPr>
      <w:r>
        <w:rPr/>
        <w:t>New</w:t>
      </w:r>
      <w:r>
        <w:rPr>
          <w:spacing w:val="-2"/>
        </w:rPr>
        <w:t> </w:t>
      </w:r>
      <w:r>
        <w:rPr/>
        <w:t>York.</w:t>
      </w:r>
    </w:p>
    <w:p>
      <w:pPr>
        <w:spacing w:before="161"/>
        <w:ind w:left="120" w:right="0" w:firstLine="0"/>
        <w:jc w:val="left"/>
        <w:rPr>
          <w:sz w:val="24"/>
        </w:rPr>
      </w:pPr>
      <w:r>
        <w:rPr>
          <w:sz w:val="24"/>
        </w:rPr>
        <w:t>Marshall,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(1890).</w:t>
      </w:r>
      <w:r>
        <w:rPr>
          <w:spacing w:val="-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Economics. </w:t>
      </w:r>
      <w:r>
        <w:rPr>
          <w:sz w:val="24"/>
        </w:rPr>
        <w:t>(8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Ed),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United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Kingdom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1320" w:right="1320"/>
        </w:sectPr>
      </w:pPr>
    </w:p>
    <w:p>
      <w:pPr>
        <w:spacing w:before="72"/>
        <w:ind w:left="840" w:right="115" w:hanging="720"/>
        <w:jc w:val="both"/>
        <w:rPr>
          <w:i/>
          <w:sz w:val="24"/>
        </w:rPr>
      </w:pPr>
      <w:r>
        <w:rPr>
          <w:sz w:val="24"/>
        </w:rPr>
        <w:t>Massa K.H.C., R. Pabayo, &amp; Filho, C. (2018). Income Inequality and Self-Reported Health in a</w:t>
      </w:r>
      <w:r>
        <w:rPr>
          <w:spacing w:val="1"/>
          <w:sz w:val="24"/>
        </w:rPr>
        <w:t> </w:t>
      </w:r>
      <w:r>
        <w:rPr>
          <w:sz w:val="24"/>
        </w:rPr>
        <w:t>representative sample of 27,017 residents of state-capitals of Brazil. </w:t>
      </w:r>
      <w:r>
        <w:rPr>
          <w:i/>
          <w:sz w:val="24"/>
        </w:rPr>
        <w:t>Journal of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Pp. 1-7, </w:t>
      </w:r>
      <w:r>
        <w:rPr>
          <w:i/>
          <w:sz w:val="24"/>
        </w:rPr>
        <w:t>doi:10.1093/pubmed/fdy022</w:t>
      </w:r>
    </w:p>
    <w:p>
      <w:pPr>
        <w:pStyle w:val="BodyText"/>
        <w:spacing w:line="276" w:lineRule="auto" w:before="163"/>
        <w:ind w:left="840" w:right="113" w:hanging="720"/>
        <w:jc w:val="both"/>
      </w:pPr>
      <w:r>
        <w:rPr/>
        <w:t>Mathew, P. &amp; Brodersen, D. (2019). Income Inequality and Health Outcomes in the United</w:t>
      </w:r>
      <w:r>
        <w:rPr>
          <w:spacing w:val="1"/>
        </w:rPr>
        <w:t> </w:t>
      </w:r>
      <w:r>
        <w:rPr/>
        <w:t>States:</w:t>
      </w:r>
      <w:r>
        <w:rPr>
          <w:spacing w:val="-1"/>
        </w:rPr>
        <w:t> </w:t>
      </w:r>
      <w:r>
        <w:rPr/>
        <w:t>An Empirical</w:t>
      </w:r>
      <w:r>
        <w:rPr>
          <w:spacing w:val="1"/>
        </w:rPr>
        <w:t> </w:t>
      </w:r>
      <w:r>
        <w:rPr/>
        <w:t>Analysis.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Social Science</w:t>
      </w:r>
      <w:r>
        <w:rPr>
          <w:i/>
          <w:spacing w:val="-2"/>
        </w:rPr>
        <w:t> </w:t>
      </w:r>
      <w:r>
        <w:rPr>
          <w:i/>
        </w:rPr>
        <w:t>Journal</w:t>
      </w:r>
      <w:r>
        <w:rPr/>
        <w:t>, </w:t>
      </w:r>
      <w:r>
        <w:rPr>
          <w:i/>
        </w:rPr>
        <w:t>55 </w:t>
      </w:r>
      <w:r>
        <w:rPr/>
        <w:t>(4),</w:t>
      </w:r>
      <w:r>
        <w:rPr>
          <w:spacing w:val="-1"/>
        </w:rPr>
        <w:t> </w:t>
      </w:r>
      <w:r>
        <w:rPr/>
        <w:t>11-23</w:t>
      </w:r>
    </w:p>
    <w:p>
      <w:pPr>
        <w:spacing w:before="182"/>
        <w:ind w:left="840" w:right="119" w:hanging="720"/>
        <w:jc w:val="both"/>
        <w:rPr>
          <w:sz w:val="24"/>
        </w:rPr>
      </w:pPr>
      <w:r>
        <w:rPr>
          <w:sz w:val="24"/>
        </w:rPr>
        <w:t>Matheson,</w:t>
      </w:r>
      <w:r>
        <w:rPr>
          <w:spacing w:val="-2"/>
          <w:sz w:val="24"/>
        </w:rPr>
        <w:t> </w:t>
      </w:r>
      <w:r>
        <w:rPr>
          <w:sz w:val="24"/>
        </w:rPr>
        <w:t>F.I.</w:t>
      </w:r>
      <w:r>
        <w:rPr>
          <w:spacing w:val="-1"/>
          <w:sz w:val="24"/>
        </w:rPr>
        <w:t> </w:t>
      </w:r>
      <w:r>
        <w:rPr>
          <w:sz w:val="24"/>
        </w:rPr>
        <w:t>(2014).</w:t>
      </w:r>
      <w:r>
        <w:rPr>
          <w:spacing w:val="-5"/>
          <w:sz w:val="24"/>
        </w:rPr>
        <w:t> </w:t>
      </w: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Gender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Risk</w:t>
      </w:r>
      <w:r>
        <w:rPr>
          <w:spacing w:val="-3"/>
          <w:sz w:val="24"/>
        </w:rPr>
        <w:t> </w:t>
      </w:r>
      <w:r>
        <w:rPr>
          <w:sz w:val="24"/>
        </w:rPr>
        <w:t>Factors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usage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Services.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Epidemiology Health,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68 </w:t>
      </w:r>
      <w:r>
        <w:rPr>
          <w:sz w:val="24"/>
        </w:rPr>
        <w:t>(10), 971-978</w:t>
      </w:r>
    </w:p>
    <w:p>
      <w:pPr>
        <w:pStyle w:val="BodyText"/>
        <w:spacing w:before="158"/>
        <w:ind w:left="120"/>
      </w:pPr>
      <w:r>
        <w:rPr/>
        <w:t>McCord</w:t>
      </w:r>
      <w:r>
        <w:rPr>
          <w:spacing w:val="10"/>
        </w:rPr>
        <w:t> </w:t>
      </w:r>
      <w:r>
        <w:rPr/>
        <w:t>G.C.,</w:t>
      </w:r>
      <w:r>
        <w:rPr>
          <w:spacing w:val="11"/>
        </w:rPr>
        <w:t> </w:t>
      </w:r>
      <w:r>
        <w:rPr/>
        <w:t>Conley,</w:t>
      </w:r>
      <w:r>
        <w:rPr>
          <w:spacing w:val="16"/>
        </w:rPr>
        <w:t> </w:t>
      </w:r>
      <w:r>
        <w:rPr/>
        <w:t>D.</w:t>
      </w:r>
      <w:r>
        <w:rPr>
          <w:spacing w:val="10"/>
        </w:rPr>
        <w:t> </w:t>
      </w:r>
      <w:r>
        <w:rPr/>
        <w:t>&amp;</w:t>
      </w:r>
      <w:r>
        <w:rPr>
          <w:spacing w:val="9"/>
        </w:rPr>
        <w:t> </w:t>
      </w:r>
      <w:r>
        <w:rPr/>
        <w:t>Sacks,</w:t>
      </w:r>
      <w:r>
        <w:rPr>
          <w:spacing w:val="10"/>
        </w:rPr>
        <w:t> </w:t>
      </w:r>
      <w:r>
        <w:rPr/>
        <w:t>J.D.</w:t>
      </w:r>
      <w:r>
        <w:rPr>
          <w:spacing w:val="11"/>
        </w:rPr>
        <w:t> </w:t>
      </w:r>
      <w:r>
        <w:rPr/>
        <w:t>(2017).</w:t>
      </w:r>
      <w:r>
        <w:rPr>
          <w:spacing w:val="12"/>
        </w:rPr>
        <w:t> </w:t>
      </w:r>
      <w:r>
        <w:rPr/>
        <w:t>Malaria</w:t>
      </w:r>
      <w:r>
        <w:rPr>
          <w:spacing w:val="11"/>
        </w:rPr>
        <w:t> </w:t>
      </w:r>
      <w:r>
        <w:rPr/>
        <w:t>Ecology,</w:t>
      </w:r>
      <w:r>
        <w:rPr>
          <w:spacing w:val="10"/>
        </w:rPr>
        <w:t> </w:t>
      </w:r>
      <w:r>
        <w:rPr/>
        <w:t>Child</w:t>
      </w:r>
      <w:r>
        <w:rPr>
          <w:spacing w:val="10"/>
        </w:rPr>
        <w:t> </w:t>
      </w:r>
      <w:r>
        <w:rPr/>
        <w:t>Mortality</w:t>
      </w:r>
      <w:r>
        <w:rPr>
          <w:spacing w:val="5"/>
        </w:rPr>
        <w:t> </w:t>
      </w:r>
      <w:r>
        <w:rPr/>
        <w:t>and</w:t>
      </w:r>
      <w:r>
        <w:rPr>
          <w:spacing w:val="13"/>
        </w:rPr>
        <w:t> </w:t>
      </w:r>
      <w:r>
        <w:rPr/>
        <w:t>Fertility.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Human 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24</w:t>
      </w:r>
      <w:r>
        <w:rPr>
          <w:sz w:val="24"/>
        </w:rPr>
        <w:t>, 1-17</w:t>
      </w:r>
    </w:p>
    <w:p>
      <w:pPr>
        <w:spacing w:before="161"/>
        <w:ind w:left="840" w:right="113" w:hanging="720"/>
        <w:jc w:val="both"/>
        <w:rPr>
          <w:sz w:val="24"/>
        </w:rPr>
      </w:pPr>
      <w:r>
        <w:rPr>
          <w:sz w:val="24"/>
        </w:rPr>
        <w:t>Mellor,</w:t>
      </w:r>
      <w:r>
        <w:rPr>
          <w:spacing w:val="1"/>
          <w:sz w:val="24"/>
        </w:rPr>
        <w:t> </w:t>
      </w:r>
      <w:r>
        <w:rPr>
          <w:sz w:val="24"/>
        </w:rPr>
        <w:t>J.M.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Milyo,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(2001),</w:t>
      </w:r>
      <w:r>
        <w:rPr>
          <w:spacing w:val="1"/>
          <w:sz w:val="24"/>
        </w:rPr>
        <w:t> </w:t>
      </w:r>
      <w:r>
        <w:rPr>
          <w:sz w:val="24"/>
        </w:rPr>
        <w:t>Reexamining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Ecological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Inequality and Health,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Health Politics Policy and Law,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26</w:t>
      </w:r>
      <w:r>
        <w:rPr>
          <w:i/>
          <w:spacing w:val="1"/>
          <w:sz w:val="24"/>
        </w:rPr>
        <w:t> 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487-522</w:t>
      </w:r>
    </w:p>
    <w:p>
      <w:pPr>
        <w:pStyle w:val="BodyText"/>
        <w:spacing w:before="161"/>
        <w:ind w:left="840" w:hanging="720"/>
      </w:pPr>
      <w:r>
        <w:rPr/>
        <w:t>Meng,</w:t>
      </w:r>
      <w:r>
        <w:rPr>
          <w:spacing w:val="39"/>
        </w:rPr>
        <w:t> </w:t>
      </w:r>
      <w:r>
        <w:rPr/>
        <w:t>Q.,</w:t>
      </w:r>
      <w:r>
        <w:rPr>
          <w:spacing w:val="36"/>
        </w:rPr>
        <w:t> </w:t>
      </w:r>
      <w:r>
        <w:rPr/>
        <w:t>Xu,</w:t>
      </w:r>
      <w:r>
        <w:rPr>
          <w:spacing w:val="39"/>
        </w:rPr>
        <w:t> </w:t>
      </w:r>
      <w:r>
        <w:rPr/>
        <w:t>L.</w:t>
      </w:r>
      <w:r>
        <w:rPr>
          <w:spacing w:val="39"/>
        </w:rPr>
        <w:t> </w:t>
      </w:r>
      <w:r>
        <w:rPr/>
        <w:t>&amp;</w:t>
      </w:r>
      <w:r>
        <w:rPr>
          <w:spacing w:val="35"/>
        </w:rPr>
        <w:t> </w:t>
      </w:r>
      <w:r>
        <w:rPr/>
        <w:t>Barber,</w:t>
      </w:r>
      <w:r>
        <w:rPr>
          <w:spacing w:val="36"/>
        </w:rPr>
        <w:t> </w:t>
      </w:r>
      <w:r>
        <w:rPr/>
        <w:t>S.L.</w:t>
      </w:r>
      <w:r>
        <w:rPr>
          <w:spacing w:val="37"/>
        </w:rPr>
        <w:t> </w:t>
      </w:r>
      <w:r>
        <w:rPr/>
        <w:t>(2012).</w:t>
      </w:r>
      <w:r>
        <w:rPr>
          <w:spacing w:val="36"/>
        </w:rPr>
        <w:t> </w:t>
      </w:r>
      <w:r>
        <w:rPr/>
        <w:t>Trends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Access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Health</w:t>
      </w:r>
      <w:r>
        <w:rPr>
          <w:spacing w:val="37"/>
        </w:rPr>
        <w:t> </w:t>
      </w:r>
      <w:r>
        <w:rPr/>
        <w:t>Services</w:t>
      </w:r>
      <w:r>
        <w:rPr>
          <w:spacing w:val="39"/>
        </w:rPr>
        <w:t> </w:t>
      </w:r>
      <w:r>
        <w:rPr/>
        <w:t>and</w:t>
      </w:r>
      <w:r>
        <w:rPr>
          <w:spacing w:val="37"/>
        </w:rPr>
        <w:t> </w:t>
      </w:r>
      <w:r>
        <w:rPr/>
        <w:t>Financial</w:t>
      </w:r>
      <w:r>
        <w:rPr>
          <w:spacing w:val="-57"/>
        </w:rPr>
        <w:t> </w:t>
      </w:r>
      <w:r>
        <w:rPr/>
        <w:t>Protection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China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2003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2011: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Cross-Sectional</w:t>
      </w:r>
      <w:r>
        <w:rPr>
          <w:spacing w:val="-8"/>
        </w:rPr>
        <w:t> </w:t>
      </w:r>
      <w:r>
        <w:rPr/>
        <w:t>Study.</w:t>
      </w:r>
      <w:r>
        <w:rPr>
          <w:spacing w:val="-8"/>
        </w:rPr>
        <w:t> </w:t>
      </w:r>
      <w:r>
        <w:rPr>
          <w:i/>
        </w:rPr>
        <w:t>Lancet,</w:t>
      </w:r>
      <w:r>
        <w:rPr>
          <w:i/>
          <w:spacing w:val="-9"/>
        </w:rPr>
        <w:t> </w:t>
      </w:r>
      <w:r>
        <w:rPr>
          <w:i/>
        </w:rPr>
        <w:t>379</w:t>
      </w:r>
      <w:r>
        <w:rPr>
          <w:i/>
          <w:spacing w:val="-9"/>
        </w:rPr>
        <w:t> </w:t>
      </w:r>
      <w:r>
        <w:rPr/>
        <w:t>(9818),</w:t>
      </w:r>
    </w:p>
    <w:p>
      <w:pPr>
        <w:pStyle w:val="BodyText"/>
        <w:ind w:left="840"/>
      </w:pPr>
      <w:r>
        <w:rPr/>
        <w:t>805-814</w:t>
      </w:r>
    </w:p>
    <w:p>
      <w:pPr>
        <w:spacing w:before="159"/>
        <w:ind w:left="120" w:right="0" w:firstLine="0"/>
        <w:jc w:val="left"/>
        <w:rPr>
          <w:i/>
          <w:sz w:val="24"/>
        </w:rPr>
      </w:pPr>
      <w:r>
        <w:rPr>
          <w:sz w:val="24"/>
        </w:rPr>
        <w:t>Mikkelson,</w:t>
      </w:r>
      <w:r>
        <w:rPr>
          <w:spacing w:val="37"/>
          <w:sz w:val="24"/>
        </w:rPr>
        <w:t> </w:t>
      </w:r>
      <w:r>
        <w:rPr>
          <w:sz w:val="24"/>
        </w:rPr>
        <w:t>B.</w:t>
      </w:r>
      <w:r>
        <w:rPr>
          <w:spacing w:val="37"/>
          <w:sz w:val="24"/>
        </w:rPr>
        <w:t> </w:t>
      </w:r>
      <w:r>
        <w:rPr>
          <w:sz w:val="24"/>
        </w:rPr>
        <w:t>(2019).</w:t>
      </w:r>
      <w:r>
        <w:rPr>
          <w:spacing w:val="39"/>
          <w:sz w:val="24"/>
        </w:rPr>
        <w:t> </w:t>
      </w:r>
      <w:r>
        <w:rPr>
          <w:i/>
          <w:sz w:val="24"/>
        </w:rPr>
        <w:t>Solutions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Non-Communicable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Diseases.</w:t>
      </w:r>
    </w:p>
    <w:p>
      <w:pPr>
        <w:pStyle w:val="BodyText"/>
        <w:ind w:left="840"/>
      </w:pPr>
      <w:r>
        <w:rPr/>
        <w:t>BMJ,</w:t>
      </w:r>
      <w:r>
        <w:rPr>
          <w:spacing w:val="-2"/>
        </w:rPr>
        <w:t> </w:t>
      </w:r>
      <w:r>
        <w:rPr/>
        <w:t>364,</w:t>
      </w:r>
      <w:r>
        <w:rPr>
          <w:spacing w:val="-2"/>
        </w:rPr>
        <w:t> </w:t>
      </w:r>
      <w:r>
        <w:rPr/>
        <w:t>1257</w:t>
      </w:r>
      <w:r>
        <w:rPr>
          <w:spacing w:val="-1"/>
        </w:rPr>
        <w:t> </w:t>
      </w:r>
      <w:r>
        <w:rPr/>
        <w:t>World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Organization,</w:t>
      </w:r>
      <w:r>
        <w:rPr>
          <w:spacing w:val="-2"/>
        </w:rPr>
        <w:t> </w:t>
      </w:r>
      <w:r>
        <w:rPr/>
        <w:t>Denmark.</w:t>
      </w:r>
    </w:p>
    <w:p>
      <w:pPr>
        <w:spacing w:before="161"/>
        <w:ind w:left="840" w:right="0" w:hanging="720"/>
        <w:jc w:val="left"/>
        <w:rPr>
          <w:sz w:val="24"/>
        </w:rPr>
      </w:pPr>
      <w:r>
        <w:rPr>
          <w:sz w:val="24"/>
        </w:rPr>
        <w:t>Milazzo</w:t>
      </w:r>
      <w:r>
        <w:rPr>
          <w:spacing w:val="55"/>
          <w:sz w:val="24"/>
        </w:rPr>
        <w:t> </w:t>
      </w:r>
      <w:r>
        <w:rPr>
          <w:sz w:val="24"/>
        </w:rPr>
        <w:t>A.</w:t>
      </w:r>
      <w:r>
        <w:rPr>
          <w:spacing w:val="55"/>
          <w:sz w:val="24"/>
        </w:rPr>
        <w:t> </w:t>
      </w:r>
      <w:r>
        <w:rPr>
          <w:sz w:val="24"/>
        </w:rPr>
        <w:t>(2015).</w:t>
      </w:r>
      <w:r>
        <w:rPr>
          <w:spacing w:val="59"/>
          <w:sz w:val="24"/>
        </w:rPr>
        <w:t> </w:t>
      </w:r>
      <w:r>
        <w:rPr>
          <w:i/>
          <w:sz w:val="24"/>
        </w:rPr>
        <w:t>Women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Left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behind?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Poverty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Headship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Africa.</w:t>
      </w:r>
      <w:r>
        <w:rPr>
          <w:i/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51"/>
          <w:sz w:val="24"/>
        </w:rPr>
        <w:t> </w:t>
      </w:r>
      <w:r>
        <w:rPr>
          <w:sz w:val="24"/>
        </w:rPr>
        <w:t>Research</w:t>
      </w:r>
      <w:r>
        <w:rPr>
          <w:spacing w:val="-57"/>
          <w:sz w:val="24"/>
        </w:rPr>
        <w:t> </w:t>
      </w:r>
      <w:r>
        <w:rPr>
          <w:sz w:val="24"/>
        </w:rPr>
        <w:t>Working</w:t>
      </w:r>
      <w:r>
        <w:rPr>
          <w:spacing w:val="-4"/>
          <w:sz w:val="24"/>
        </w:rPr>
        <w:t> </w:t>
      </w:r>
      <w:r>
        <w:rPr>
          <w:sz w:val="24"/>
        </w:rPr>
        <w:t>Paper, No 7331. World Bank Washington.</w:t>
      </w:r>
    </w:p>
    <w:p>
      <w:pPr>
        <w:spacing w:before="161"/>
        <w:ind w:left="840" w:right="120" w:hanging="720"/>
        <w:jc w:val="both"/>
        <w:rPr>
          <w:sz w:val="24"/>
        </w:rPr>
      </w:pPr>
      <w:r>
        <w:rPr>
          <w:sz w:val="24"/>
        </w:rPr>
        <w:t>Miller, A. &amp; Dishon, S. (2006), Health-related Quality of Life in multiple sclerosis: The Impact</w:t>
      </w:r>
      <w:r>
        <w:rPr>
          <w:spacing w:val="1"/>
          <w:sz w:val="24"/>
        </w:rPr>
        <w:t> </w:t>
      </w:r>
      <w:r>
        <w:rPr>
          <w:sz w:val="24"/>
        </w:rPr>
        <w:t>of Disability, Gender and Employment status. </w:t>
      </w:r>
      <w:r>
        <w:rPr>
          <w:i/>
          <w:sz w:val="24"/>
        </w:rPr>
        <w:t>Quality of Life Research: An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Life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Aspects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Treatment, Care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Rehabilitation,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 259-271</w:t>
      </w:r>
    </w:p>
    <w:p>
      <w:pPr>
        <w:pStyle w:val="BodyText"/>
        <w:spacing w:before="158"/>
        <w:ind w:left="840" w:right="113" w:hanging="720"/>
        <w:jc w:val="both"/>
      </w:pPr>
      <w:r>
        <w:rPr/>
        <w:t>Mishra, S., Kusuma, Y.S. &amp; Babu, B.V. (2013). Concepts of Health and Illness: Continuity and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among migrant</w:t>
      </w:r>
      <w:r>
        <w:rPr>
          <w:spacing w:val="1"/>
        </w:rPr>
        <w:t> </w:t>
      </w:r>
      <w:r>
        <w:rPr/>
        <w:t>tribal community in an Eastern</w:t>
      </w:r>
      <w:r>
        <w:rPr>
          <w:spacing w:val="1"/>
        </w:rPr>
        <w:t> </w:t>
      </w:r>
      <w:r>
        <w:rPr/>
        <w:t>Indian city.</w:t>
      </w:r>
      <w:r>
        <w:rPr>
          <w:spacing w:val="1"/>
        </w:rPr>
        <w:t> </w:t>
      </w:r>
      <w:r>
        <w:rPr>
          <w:i/>
        </w:rPr>
        <w:t>Anthropological</w:t>
      </w:r>
      <w:r>
        <w:rPr>
          <w:i/>
          <w:spacing w:val="1"/>
        </w:rPr>
        <w:t> </w:t>
      </w:r>
      <w:r>
        <w:rPr>
          <w:i/>
        </w:rPr>
        <w:t>Notebooks</w:t>
      </w:r>
      <w:r>
        <w:rPr/>
        <w:t>,</w:t>
      </w:r>
      <w:r>
        <w:rPr>
          <w:spacing w:val="-1"/>
        </w:rPr>
        <w:t> </w:t>
      </w:r>
      <w:r>
        <w:rPr>
          <w:i/>
        </w:rPr>
        <w:t>19 </w:t>
      </w:r>
      <w:r>
        <w:rPr/>
        <w:t>(3), 61-69</w:t>
      </w:r>
    </w:p>
    <w:p>
      <w:pPr>
        <w:pStyle w:val="BodyText"/>
        <w:spacing w:before="161"/>
        <w:ind w:left="840" w:right="114" w:hanging="720"/>
        <w:jc w:val="both"/>
      </w:pPr>
      <w:r>
        <w:rPr/>
        <w:t>Molla, A.A., Chi, C. &amp; Mondaca, A.L. (2017). Preditors of High Out-of-Pocket Healthcare</w:t>
      </w:r>
      <w:r>
        <w:rPr>
          <w:spacing w:val="1"/>
        </w:rPr>
        <w:t> </w:t>
      </w:r>
      <w:r>
        <w:rPr/>
        <w:t>Expenditure: An Analysis using Bangladesh Household Income and Expenditure survey</w:t>
      </w:r>
      <w:r>
        <w:rPr>
          <w:spacing w:val="1"/>
        </w:rPr>
        <w:t> </w:t>
      </w:r>
      <w:r>
        <w:rPr/>
        <w:t>2010.</w:t>
      </w:r>
      <w:r>
        <w:rPr>
          <w:spacing w:val="-1"/>
        </w:rPr>
        <w:t> </w:t>
      </w:r>
      <w:r>
        <w:rPr>
          <w:i/>
        </w:rPr>
        <w:t>BMC 17 </w:t>
      </w:r>
      <w:r>
        <w:rPr/>
        <w:t>(94), 1-23</w:t>
      </w:r>
    </w:p>
    <w:p>
      <w:pPr>
        <w:spacing w:before="161"/>
        <w:ind w:left="840" w:right="118" w:hanging="720"/>
        <w:jc w:val="both"/>
        <w:rPr>
          <w:sz w:val="24"/>
        </w:rPr>
      </w:pPr>
      <w:r>
        <w:rPr>
          <w:sz w:val="24"/>
        </w:rPr>
        <w:t>Morries,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Wilkinson, P.,</w:t>
      </w:r>
      <w:r>
        <w:rPr>
          <w:spacing w:val="1"/>
          <w:sz w:val="24"/>
        </w:rPr>
        <w:t> </w:t>
      </w:r>
      <w:r>
        <w:rPr>
          <w:sz w:val="24"/>
        </w:rPr>
        <w:t>Dangour,</w:t>
      </w:r>
      <w:r>
        <w:rPr>
          <w:spacing w:val="1"/>
          <w:sz w:val="24"/>
        </w:rPr>
        <w:t> </w:t>
      </w:r>
      <w:r>
        <w:rPr>
          <w:sz w:val="24"/>
        </w:rPr>
        <w:t>A.D.,</w:t>
      </w:r>
      <w:r>
        <w:rPr>
          <w:spacing w:val="1"/>
          <w:sz w:val="24"/>
        </w:rPr>
        <w:t> </w:t>
      </w:r>
      <w:r>
        <w:rPr>
          <w:sz w:val="24"/>
        </w:rPr>
        <w:t>Deeming,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Fletcher,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(2007). Defining a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Healthy</w:t>
      </w:r>
      <w:r>
        <w:rPr>
          <w:spacing w:val="1"/>
          <w:sz w:val="24"/>
        </w:rPr>
        <w:t> </w:t>
      </w:r>
      <w:r>
        <w:rPr>
          <w:sz w:val="24"/>
        </w:rPr>
        <w:t>living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Elders,</w:t>
      </w:r>
      <w:r>
        <w:rPr>
          <w:spacing w:val="1"/>
          <w:sz w:val="24"/>
        </w:rPr>
        <w:t> </w:t>
      </w:r>
      <w:r>
        <w:rPr>
          <w:sz w:val="24"/>
        </w:rPr>
        <w:t>England.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Epidemiology,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36 </w:t>
      </w:r>
      <w:r>
        <w:rPr>
          <w:sz w:val="24"/>
        </w:rPr>
        <w:t>(6), 1300-1307</w:t>
      </w:r>
    </w:p>
    <w:p>
      <w:pPr>
        <w:spacing w:before="159"/>
        <w:ind w:left="840" w:right="114" w:hanging="720"/>
        <w:jc w:val="left"/>
        <w:rPr>
          <w:sz w:val="24"/>
        </w:rPr>
      </w:pPr>
      <w:r>
        <w:rPr>
          <w:sz w:val="24"/>
        </w:rPr>
        <w:t>Mullahy,</w:t>
      </w:r>
      <w:r>
        <w:rPr>
          <w:spacing w:val="13"/>
          <w:sz w:val="24"/>
        </w:rPr>
        <w:t> </w:t>
      </w:r>
      <w:r>
        <w:rPr>
          <w:sz w:val="24"/>
        </w:rPr>
        <w:t>J.,</w:t>
      </w:r>
      <w:r>
        <w:rPr>
          <w:spacing w:val="14"/>
          <w:sz w:val="24"/>
        </w:rPr>
        <w:t> </w:t>
      </w:r>
      <w:r>
        <w:rPr>
          <w:sz w:val="24"/>
        </w:rPr>
        <w:t>Robert,</w:t>
      </w:r>
      <w:r>
        <w:rPr>
          <w:spacing w:val="13"/>
          <w:sz w:val="24"/>
        </w:rPr>
        <w:t> </w:t>
      </w:r>
      <w:r>
        <w:rPr>
          <w:sz w:val="24"/>
        </w:rPr>
        <w:t>S.</w:t>
      </w:r>
      <w:r>
        <w:rPr>
          <w:spacing w:val="13"/>
          <w:sz w:val="24"/>
        </w:rPr>
        <w:t> </w:t>
      </w:r>
      <w:r>
        <w:rPr>
          <w:sz w:val="24"/>
        </w:rPr>
        <w:t>&amp;</w:t>
      </w:r>
      <w:r>
        <w:rPr>
          <w:spacing w:val="12"/>
          <w:sz w:val="24"/>
        </w:rPr>
        <w:t> </w:t>
      </w:r>
      <w:r>
        <w:rPr>
          <w:sz w:val="24"/>
        </w:rPr>
        <w:t>Wolfe,</w:t>
      </w:r>
      <w:r>
        <w:rPr>
          <w:spacing w:val="13"/>
          <w:sz w:val="24"/>
        </w:rPr>
        <w:t> </w:t>
      </w:r>
      <w:r>
        <w:rPr>
          <w:sz w:val="24"/>
        </w:rPr>
        <w:t>B.</w:t>
      </w:r>
      <w:r>
        <w:rPr>
          <w:spacing w:val="16"/>
          <w:sz w:val="24"/>
        </w:rPr>
        <w:t> </w:t>
      </w:r>
      <w:r>
        <w:rPr>
          <w:sz w:val="24"/>
        </w:rPr>
        <w:t>(2004).</w:t>
      </w:r>
      <w:r>
        <w:rPr>
          <w:spacing w:val="12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Income,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Inequality.</w:t>
      </w:r>
      <w:r>
        <w:rPr>
          <w:i/>
          <w:spacing w:val="16"/>
          <w:sz w:val="24"/>
        </w:rPr>
        <w:t> </w:t>
      </w:r>
      <w:r>
        <w:rPr>
          <w:sz w:val="24"/>
        </w:rPr>
        <w:t>Russell</w:t>
      </w:r>
      <w:r>
        <w:rPr>
          <w:spacing w:val="13"/>
          <w:sz w:val="24"/>
        </w:rPr>
        <w:t> </w:t>
      </w:r>
      <w:r>
        <w:rPr>
          <w:sz w:val="24"/>
        </w:rPr>
        <w:t>Sage,</w:t>
      </w:r>
      <w:r>
        <w:rPr>
          <w:spacing w:val="13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York,</w:t>
      </w:r>
      <w:r>
        <w:rPr>
          <w:spacing w:val="-1"/>
          <w:sz w:val="24"/>
        </w:rPr>
        <w:t> </w:t>
      </w:r>
      <w:r>
        <w:rPr>
          <w:sz w:val="24"/>
        </w:rPr>
        <w:t>U.S.A</w:t>
      </w:r>
    </w:p>
    <w:p>
      <w:pPr>
        <w:spacing w:before="161"/>
        <w:ind w:left="840" w:right="120" w:hanging="720"/>
        <w:jc w:val="both"/>
        <w:rPr>
          <w:sz w:val="24"/>
        </w:rPr>
      </w:pPr>
      <w:r>
        <w:rPr>
          <w:sz w:val="24"/>
        </w:rPr>
        <w:t>Musingzi, G., &amp; Anthierens, S. (2018). Factors Influencing Compliance and Health Seeking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Hypertension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Uganda.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Hypertension.</w:t>
      </w:r>
      <w:r>
        <w:rPr>
          <w:i/>
          <w:spacing w:val="-1"/>
          <w:sz w:val="24"/>
        </w:rPr>
        <w:t> </w:t>
      </w:r>
      <w:r>
        <w:rPr>
          <w:sz w:val="24"/>
        </w:rPr>
        <w:t>2018:</w:t>
      </w:r>
      <w:r>
        <w:rPr>
          <w:spacing w:val="-1"/>
          <w:sz w:val="24"/>
        </w:rPr>
        <w:t> </w:t>
      </w:r>
      <w:r>
        <w:rPr>
          <w:sz w:val="24"/>
        </w:rPr>
        <w:t>1-1</w:t>
      </w:r>
    </w:p>
    <w:p>
      <w:pPr>
        <w:spacing w:before="158"/>
        <w:ind w:left="120" w:right="0" w:firstLine="0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3"/>
          <w:sz w:val="24"/>
        </w:rPr>
        <w:t> </w:t>
      </w:r>
      <w:r>
        <w:rPr>
          <w:sz w:val="24"/>
        </w:rPr>
        <w:t>Bureau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Statistics</w:t>
      </w:r>
      <w:r>
        <w:rPr>
          <w:spacing w:val="-4"/>
          <w:sz w:val="24"/>
        </w:rPr>
        <w:t> </w:t>
      </w:r>
      <w:r>
        <w:rPr>
          <w:sz w:val="24"/>
        </w:rPr>
        <w:t>(2018).</w:t>
      </w:r>
      <w:r>
        <w:rPr>
          <w:spacing w:val="-3"/>
          <w:sz w:val="24"/>
        </w:rPr>
        <w:t> </w:t>
      </w:r>
      <w:r>
        <w:rPr>
          <w:i/>
          <w:sz w:val="24"/>
        </w:rPr>
        <w:t>Snapshot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(2004,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2013,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2016).</w:t>
      </w:r>
      <w:r>
        <w:rPr>
          <w:i/>
          <w:spacing w:val="-2"/>
          <w:sz w:val="24"/>
        </w:rPr>
        <w:t> </w:t>
      </w:r>
      <w:r>
        <w:rPr>
          <w:sz w:val="24"/>
        </w:rPr>
        <w:t>Abuja</w:t>
      </w:r>
    </w:p>
    <w:p>
      <w:pPr>
        <w:spacing w:before="161"/>
        <w:ind w:left="120" w:right="0" w:firstLine="0"/>
        <w:jc w:val="left"/>
        <w:rPr>
          <w:sz w:val="24"/>
        </w:rPr>
      </w:pPr>
      <w:r>
        <w:rPr>
          <w:sz w:val="24"/>
        </w:rPr>
        <w:t>----------------------------------</w:t>
      </w:r>
      <w:r>
        <w:rPr>
          <w:spacing w:val="-13"/>
          <w:sz w:val="24"/>
        </w:rPr>
        <w:t> </w:t>
      </w:r>
      <w:r>
        <w:rPr>
          <w:sz w:val="24"/>
        </w:rPr>
        <w:t>(2017).</w:t>
      </w:r>
      <w:r>
        <w:rPr>
          <w:spacing w:val="-14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Household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Panel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2015-2016,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Wave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.</w:t>
      </w:r>
      <w:r>
        <w:rPr>
          <w:spacing w:val="-14"/>
          <w:sz w:val="24"/>
        </w:rPr>
        <w:t> </w:t>
      </w:r>
      <w:r>
        <w:rPr>
          <w:sz w:val="24"/>
        </w:rPr>
        <w:t>Abuja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1320" w:right="1320"/>
        </w:sectPr>
      </w:pPr>
    </w:p>
    <w:p>
      <w:pPr>
        <w:spacing w:before="72"/>
        <w:ind w:left="120" w:right="0" w:firstLine="0"/>
        <w:jc w:val="left"/>
        <w:rPr>
          <w:sz w:val="24"/>
        </w:rPr>
      </w:pPr>
      <w:r>
        <w:rPr>
          <w:sz w:val="24"/>
        </w:rPr>
        <w:t>----------------------------------</w:t>
      </w:r>
      <w:r>
        <w:rPr>
          <w:spacing w:val="-13"/>
          <w:sz w:val="24"/>
        </w:rPr>
        <w:t> </w:t>
      </w:r>
      <w:r>
        <w:rPr>
          <w:sz w:val="24"/>
        </w:rPr>
        <w:t>(2016).</w:t>
      </w:r>
      <w:r>
        <w:rPr>
          <w:spacing w:val="-14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Household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Panel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2012-2013,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Wave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2.</w:t>
      </w:r>
      <w:r>
        <w:rPr>
          <w:i/>
          <w:spacing w:val="-13"/>
          <w:sz w:val="24"/>
        </w:rPr>
        <w:t> </w:t>
      </w:r>
      <w:r>
        <w:rPr>
          <w:sz w:val="24"/>
        </w:rPr>
        <w:t>Abuja</w:t>
      </w:r>
    </w:p>
    <w:p>
      <w:pPr>
        <w:spacing w:before="161"/>
        <w:ind w:left="120" w:right="0" w:firstLine="0"/>
        <w:jc w:val="left"/>
        <w:rPr>
          <w:sz w:val="24"/>
        </w:rPr>
      </w:pPr>
      <w:r>
        <w:rPr>
          <w:sz w:val="24"/>
        </w:rPr>
        <w:t>----------------------------------</w:t>
      </w:r>
      <w:r>
        <w:rPr>
          <w:spacing w:val="-13"/>
          <w:sz w:val="24"/>
        </w:rPr>
        <w:t> </w:t>
      </w:r>
      <w:r>
        <w:rPr>
          <w:sz w:val="24"/>
        </w:rPr>
        <w:t>(2013).</w:t>
      </w:r>
      <w:r>
        <w:rPr>
          <w:spacing w:val="-14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Household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Survey,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Panel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2010-2011,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Wave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1.</w:t>
      </w:r>
      <w:r>
        <w:rPr>
          <w:i/>
          <w:spacing w:val="-13"/>
          <w:sz w:val="24"/>
        </w:rPr>
        <w:t> </w:t>
      </w:r>
      <w:r>
        <w:rPr>
          <w:sz w:val="24"/>
        </w:rPr>
        <w:t>Abuja</w:t>
      </w:r>
    </w:p>
    <w:p>
      <w:pPr>
        <w:pStyle w:val="BodyText"/>
        <w:spacing w:line="436" w:lineRule="exact" w:before="34"/>
        <w:ind w:left="120" w:right="121"/>
      </w:pPr>
      <w:r>
        <w:rPr/>
        <w:t>---------------------------------- (2015). </w:t>
      </w:r>
      <w:r>
        <w:rPr>
          <w:i/>
        </w:rPr>
        <w:t>Demographic Statistics Bulletin. </w:t>
      </w:r>
      <w:r>
        <w:rPr/>
        <w:t>Abuja, Nigeria</w:t>
      </w:r>
      <w:r>
        <w:rPr>
          <w:spacing w:val="1"/>
        </w:rPr>
        <w:t> </w:t>
      </w:r>
      <w:r>
        <w:rPr/>
        <w:t>Nejadlabbaf,</w:t>
      </w:r>
      <w:r>
        <w:rPr>
          <w:spacing w:val="31"/>
        </w:rPr>
        <w:t> </w:t>
      </w:r>
      <w:r>
        <w:rPr/>
        <w:t>S.,</w:t>
      </w:r>
      <w:r>
        <w:rPr>
          <w:spacing w:val="33"/>
        </w:rPr>
        <w:t> </w:t>
      </w:r>
      <w:r>
        <w:rPr/>
        <w:t>Jari,</w:t>
      </w:r>
      <w:r>
        <w:rPr>
          <w:spacing w:val="33"/>
        </w:rPr>
        <w:t> </w:t>
      </w:r>
      <w:r>
        <w:rPr/>
        <w:t>A.,</w:t>
      </w:r>
      <w:r>
        <w:rPr>
          <w:spacing w:val="34"/>
        </w:rPr>
        <w:t> </w:t>
      </w:r>
      <w:r>
        <w:rPr/>
        <w:t>&amp;</w:t>
      </w:r>
      <w:r>
        <w:rPr>
          <w:spacing w:val="31"/>
        </w:rPr>
        <w:t> </w:t>
      </w:r>
      <w:r>
        <w:rPr/>
        <w:t>Mohammand,</w:t>
      </w:r>
      <w:r>
        <w:rPr>
          <w:spacing w:val="35"/>
        </w:rPr>
        <w:t> </w:t>
      </w:r>
      <w:r>
        <w:rPr/>
        <w:t>A.</w:t>
      </w:r>
      <w:r>
        <w:rPr>
          <w:spacing w:val="33"/>
        </w:rPr>
        <w:t> </w:t>
      </w:r>
      <w:r>
        <w:rPr/>
        <w:t>(2013).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Effect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Inequality</w:t>
      </w:r>
      <w:r>
        <w:rPr>
          <w:spacing w:val="27"/>
        </w:rPr>
        <w:t> </w:t>
      </w:r>
      <w:r>
        <w:rPr/>
        <w:t>Distribution</w:t>
      </w:r>
      <w:r>
        <w:rPr>
          <w:spacing w:val="33"/>
        </w:rPr>
        <w:t> </w:t>
      </w:r>
      <w:r>
        <w:rPr/>
        <w:t>of</w:t>
      </w:r>
    </w:p>
    <w:p>
      <w:pPr>
        <w:spacing w:line="242" w:lineRule="exact" w:before="0"/>
        <w:ind w:left="840" w:right="0" w:firstLine="0"/>
        <w:jc w:val="left"/>
        <w:rPr>
          <w:i/>
          <w:sz w:val="24"/>
        </w:rPr>
      </w:pPr>
      <w:r>
        <w:rPr>
          <w:sz w:val="24"/>
        </w:rPr>
        <w:t>Income</w:t>
      </w:r>
      <w:r>
        <w:rPr>
          <w:spacing w:val="-2"/>
          <w:sz w:val="24"/>
        </w:rPr>
        <w:t> </w:t>
      </w:r>
      <w:r>
        <w:rPr>
          <w:sz w:val="24"/>
        </w:rPr>
        <w:t>on Health</w:t>
      </w:r>
      <w:r>
        <w:rPr>
          <w:spacing w:val="-1"/>
          <w:sz w:val="24"/>
        </w:rPr>
        <w:t> </w:t>
      </w:r>
      <w:r>
        <w:rPr>
          <w:sz w:val="24"/>
        </w:rPr>
        <w:t>indicators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Developing</w:t>
      </w:r>
      <w:r>
        <w:rPr>
          <w:spacing w:val="-1"/>
          <w:sz w:val="24"/>
        </w:rPr>
        <w:t> </w:t>
      </w:r>
      <w:r>
        <w:rPr>
          <w:sz w:val="24"/>
        </w:rPr>
        <w:t>Nations</w:t>
      </w:r>
      <w:r>
        <w:rPr>
          <w:spacing w:val="-1"/>
          <w:sz w:val="24"/>
        </w:rPr>
        <w:t> </w:t>
      </w:r>
      <w:r>
        <w:rPr>
          <w:sz w:val="24"/>
        </w:rPr>
        <w:t>(1995-2008).</w:t>
      </w:r>
      <w:r>
        <w:rPr>
          <w:spacing w:val="3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28</w:t>
      </w:r>
      <w:r>
        <w:rPr>
          <w:i/>
          <w:spacing w:val="-1"/>
          <w:sz w:val="24"/>
        </w:rPr>
        <w:t> 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216-221</w:t>
      </w:r>
    </w:p>
    <w:p>
      <w:pPr>
        <w:spacing w:before="160"/>
        <w:ind w:left="840" w:right="117" w:hanging="720"/>
        <w:jc w:val="both"/>
        <w:rPr>
          <w:sz w:val="24"/>
        </w:rPr>
      </w:pPr>
      <w:r>
        <w:rPr>
          <w:sz w:val="24"/>
        </w:rPr>
        <w:t>Netshiitenzhe,</w:t>
      </w:r>
      <w:r>
        <w:rPr>
          <w:spacing w:val="-6"/>
          <w:sz w:val="24"/>
        </w:rPr>
        <w:t> </w:t>
      </w:r>
      <w:r>
        <w:rPr>
          <w:sz w:val="24"/>
        </w:rPr>
        <w:t>J.</w:t>
      </w:r>
      <w:r>
        <w:rPr>
          <w:spacing w:val="-6"/>
          <w:sz w:val="24"/>
        </w:rPr>
        <w:t> </w:t>
      </w:r>
      <w:r>
        <w:rPr>
          <w:sz w:val="24"/>
        </w:rPr>
        <w:t>(2013).</w:t>
      </w:r>
      <w:r>
        <w:rPr>
          <w:spacing w:val="-6"/>
          <w:sz w:val="24"/>
        </w:rPr>
        <w:t> </w:t>
      </w:r>
      <w:r>
        <w:rPr>
          <w:i/>
          <w:sz w:val="24"/>
        </w:rPr>
        <w:t>Why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matters: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Trend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Interventions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Institute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Strategic Reflection,</w:t>
      </w:r>
      <w:r>
        <w:rPr>
          <w:spacing w:val="4"/>
          <w:sz w:val="24"/>
        </w:rPr>
        <w:t> </w:t>
      </w:r>
      <w:r>
        <w:rPr>
          <w:sz w:val="24"/>
        </w:rPr>
        <w:t>1-13.</w:t>
      </w:r>
    </w:p>
    <w:p>
      <w:pPr>
        <w:spacing w:before="159"/>
        <w:ind w:left="840" w:right="123" w:hanging="720"/>
        <w:jc w:val="both"/>
        <w:rPr>
          <w:sz w:val="24"/>
        </w:rPr>
      </w:pPr>
      <w:r>
        <w:rPr>
          <w:sz w:val="24"/>
        </w:rPr>
        <w:t>Neumayer E., &amp; Plumper, T. (2016). Inequalities of Income and Inequalities of Longevity: A</w:t>
      </w:r>
      <w:r>
        <w:rPr>
          <w:spacing w:val="1"/>
          <w:sz w:val="24"/>
        </w:rPr>
        <w:t> </w:t>
      </w:r>
      <w:r>
        <w:rPr>
          <w:sz w:val="24"/>
        </w:rPr>
        <w:t>Cross-Country</w:t>
      </w:r>
      <w:r>
        <w:rPr>
          <w:spacing w:val="-6"/>
          <w:sz w:val="24"/>
        </w:rPr>
        <w:t> </w:t>
      </w:r>
      <w:r>
        <w:rPr>
          <w:sz w:val="24"/>
        </w:rPr>
        <w:t>study.</w:t>
      </w:r>
      <w:r>
        <w:rPr>
          <w:spacing w:val="1"/>
          <w:sz w:val="24"/>
        </w:rPr>
        <w:t> </w:t>
      </w:r>
      <w:r>
        <w:rPr>
          <w:i/>
          <w:sz w:val="24"/>
        </w:rPr>
        <w:t>American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 Health,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106 </w:t>
      </w:r>
      <w:r>
        <w:rPr>
          <w:sz w:val="24"/>
        </w:rPr>
        <w:t>(1), 160-165</w:t>
      </w:r>
    </w:p>
    <w:p>
      <w:pPr>
        <w:pStyle w:val="BodyText"/>
        <w:spacing w:line="276" w:lineRule="auto" w:before="164"/>
        <w:ind w:left="840" w:right="118" w:hanging="720"/>
        <w:jc w:val="both"/>
      </w:pPr>
      <w:r>
        <w:rPr/>
        <w:t>Nguyen, P.H., Kim, S.S., &amp; Menon, P. (2016). Supply- and Demand-Side Factors Influencing</w:t>
      </w:r>
      <w:r>
        <w:rPr>
          <w:spacing w:val="1"/>
        </w:rPr>
        <w:t> </w:t>
      </w:r>
      <w:r>
        <w:rPr/>
        <w:t>Utilization of Infant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Young-Child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Counselling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Viet</w:t>
      </w:r>
      <w:r>
        <w:rPr>
          <w:spacing w:val="1"/>
        </w:rPr>
        <w:t> </w:t>
      </w:r>
      <w:r>
        <w:rPr/>
        <w:t>Nam.</w:t>
      </w:r>
      <w:r>
        <w:rPr>
          <w:spacing w:val="1"/>
        </w:rPr>
        <w:t> </w:t>
      </w:r>
      <w:hyperlink r:id="rId177">
        <w:r>
          <w:rPr>
            <w:u w:val="single"/>
          </w:rPr>
          <w:t>https://doi.101371/journal.prone.0151358</w:t>
        </w:r>
      </w:hyperlink>
    </w:p>
    <w:p>
      <w:pPr>
        <w:spacing w:before="180"/>
        <w:ind w:left="840" w:right="119" w:hanging="720"/>
        <w:jc w:val="both"/>
        <w:rPr>
          <w:sz w:val="24"/>
        </w:rPr>
      </w:pPr>
      <w:r>
        <w:rPr>
          <w:sz w:val="24"/>
        </w:rPr>
        <w:t>Nilsson,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Bergh,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Exploring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 Developing country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IFN Working</w:t>
      </w:r>
      <w:r>
        <w:rPr>
          <w:spacing w:val="-3"/>
          <w:sz w:val="24"/>
        </w:rPr>
        <w:t> </w:t>
      </w:r>
      <w:r>
        <w:rPr>
          <w:sz w:val="24"/>
        </w:rPr>
        <w:t>Paper No. 89</w:t>
      </w:r>
    </w:p>
    <w:p>
      <w:pPr>
        <w:pStyle w:val="BodyText"/>
        <w:spacing w:before="161"/>
        <w:ind w:left="120"/>
      </w:pPr>
      <w:r>
        <w:rPr/>
        <w:t>Nishirura,</w:t>
      </w:r>
      <w:r>
        <w:rPr>
          <w:spacing w:val="-10"/>
        </w:rPr>
        <w:t> </w:t>
      </w:r>
      <w:r>
        <w:rPr/>
        <w:t>H.</w:t>
      </w:r>
      <w:r>
        <w:rPr>
          <w:spacing w:val="-10"/>
        </w:rPr>
        <w:t> </w:t>
      </w:r>
      <w:r>
        <w:rPr/>
        <w:t>(2017).</w:t>
      </w:r>
      <w:r>
        <w:rPr>
          <w:spacing w:val="-10"/>
        </w:rPr>
        <w:t> </w:t>
      </w:r>
      <w:r>
        <w:rPr/>
        <w:t>Transmission</w:t>
      </w:r>
      <w:r>
        <w:rPr>
          <w:spacing w:val="-10"/>
        </w:rPr>
        <w:t> </w:t>
      </w:r>
      <w:r>
        <w:rPr/>
        <w:t>Dynamics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Cholera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Yemen,</w:t>
      </w:r>
      <w:r>
        <w:rPr>
          <w:spacing w:val="-10"/>
        </w:rPr>
        <w:t> </w:t>
      </w:r>
      <w:r>
        <w:rPr/>
        <w:t>2017:</w:t>
      </w:r>
      <w:r>
        <w:rPr>
          <w:spacing w:val="-9"/>
        </w:rPr>
        <w:t> </w:t>
      </w:r>
      <w:r>
        <w:rPr/>
        <w:t>Real</w:t>
      </w:r>
      <w:r>
        <w:rPr>
          <w:spacing w:val="-9"/>
        </w:rPr>
        <w:t> </w:t>
      </w:r>
      <w:r>
        <w:rPr/>
        <w:t>Time</w:t>
      </w:r>
      <w:r>
        <w:rPr>
          <w:spacing w:val="-10"/>
        </w:rPr>
        <w:t> </w:t>
      </w:r>
      <w:r>
        <w:rPr/>
        <w:t>Forecasting.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i/>
          <w:sz w:val="24"/>
        </w:rPr>
        <w:t>Theoretical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Modelling</w:t>
      </w:r>
      <w:r>
        <w:rPr>
          <w:sz w:val="24"/>
        </w:rPr>
        <w:t>, 14(14)</w:t>
      </w:r>
    </w:p>
    <w:p>
      <w:pPr>
        <w:pStyle w:val="BodyText"/>
        <w:spacing w:before="161"/>
        <w:ind w:left="840" w:right="125" w:hanging="720"/>
        <w:jc w:val="both"/>
      </w:pPr>
      <w:r>
        <w:rPr/>
        <w:t>Nkumama, T.N. &amp; Osier, F.H.A.</w:t>
      </w:r>
      <w:r>
        <w:rPr>
          <w:spacing w:val="1"/>
        </w:rPr>
        <w:t> </w:t>
      </w:r>
      <w:r>
        <w:rPr/>
        <w:t>(2016). Changes in Malaria Epidemiology in Africa and New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Elimination.</w:t>
      </w:r>
      <w:r>
        <w:rPr>
          <w:spacing w:val="2"/>
        </w:rPr>
        <w:t> </w:t>
      </w:r>
      <w:r>
        <w:rPr>
          <w:i/>
        </w:rPr>
        <w:t>Trends</w:t>
      </w:r>
      <w:r>
        <w:rPr>
          <w:i/>
          <w:spacing w:val="-1"/>
        </w:rPr>
        <w:t> </w:t>
      </w:r>
      <w:r>
        <w:rPr>
          <w:i/>
        </w:rPr>
        <w:t>in Parasitology</w:t>
      </w:r>
      <w:r>
        <w:rPr/>
        <w:t>, </w:t>
      </w:r>
      <w:r>
        <w:rPr>
          <w:i/>
        </w:rPr>
        <w:t>33</w:t>
      </w:r>
      <w:r>
        <w:rPr/>
        <w:t>(2),</w:t>
      </w:r>
      <w:r>
        <w:rPr>
          <w:spacing w:val="-1"/>
        </w:rPr>
        <w:t> </w:t>
      </w:r>
      <w:r>
        <w:rPr/>
        <w:t>128-140</w:t>
      </w:r>
    </w:p>
    <w:p>
      <w:pPr>
        <w:spacing w:before="159"/>
        <w:ind w:left="120" w:right="0" w:firstLine="0"/>
        <w:jc w:val="left"/>
        <w:rPr>
          <w:sz w:val="24"/>
        </w:rPr>
      </w:pPr>
      <w:r>
        <w:rPr>
          <w:sz w:val="24"/>
        </w:rPr>
        <w:t>Nordenfelt,</w:t>
      </w:r>
      <w:r>
        <w:rPr>
          <w:spacing w:val="8"/>
          <w:sz w:val="24"/>
        </w:rPr>
        <w:t> </w:t>
      </w:r>
      <w:r>
        <w:rPr>
          <w:sz w:val="24"/>
        </w:rPr>
        <w:t>L.</w:t>
      </w:r>
      <w:r>
        <w:rPr>
          <w:spacing w:val="7"/>
          <w:sz w:val="24"/>
        </w:rPr>
        <w:t> </w:t>
      </w:r>
      <w:r>
        <w:rPr>
          <w:sz w:val="24"/>
        </w:rPr>
        <w:t>(1993).</w:t>
      </w:r>
      <w:r>
        <w:rPr>
          <w:spacing w:val="7"/>
          <w:sz w:val="24"/>
        </w:rPr>
        <w:t> </w:t>
      </w:r>
      <w:r>
        <w:rPr>
          <w:i/>
          <w:sz w:val="24"/>
        </w:rPr>
        <w:t>Understanding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Concept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Health.</w:t>
      </w:r>
      <w:r>
        <w:rPr>
          <w:i/>
          <w:spacing w:val="5"/>
          <w:sz w:val="24"/>
        </w:rPr>
        <w:t> </w:t>
      </w:r>
      <w:r>
        <w:rPr>
          <w:sz w:val="24"/>
        </w:rPr>
        <w:t>Department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Health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Society.</w:t>
      </w:r>
    </w:p>
    <w:p>
      <w:pPr>
        <w:pStyle w:val="BodyText"/>
        <w:ind w:left="840"/>
      </w:pPr>
      <w:r>
        <w:rPr/>
        <w:t>Linkoping</w:t>
      </w:r>
      <w:r>
        <w:rPr>
          <w:spacing w:val="-2"/>
        </w:rPr>
        <w:t> </w:t>
      </w:r>
      <w:r>
        <w:rPr/>
        <w:t>University</w:t>
      </w:r>
    </w:p>
    <w:p>
      <w:pPr>
        <w:spacing w:before="161"/>
        <w:ind w:left="840" w:right="122" w:hanging="720"/>
        <w:jc w:val="both"/>
        <w:rPr>
          <w:sz w:val="24"/>
        </w:rPr>
      </w:pPr>
      <w:r>
        <w:rPr>
          <w:sz w:val="24"/>
        </w:rPr>
        <w:t>Novignon, J. (2017). </w:t>
      </w:r>
      <w:r>
        <w:rPr>
          <w:i/>
          <w:sz w:val="24"/>
        </w:rPr>
        <w:t>The Impact of Unconditional Cash Transfers on Morbidity and 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 in Africa.</w:t>
      </w:r>
      <w:r>
        <w:rPr>
          <w:i/>
          <w:spacing w:val="1"/>
          <w:sz w:val="24"/>
        </w:rPr>
        <w:t> </w:t>
      </w:r>
      <w:r>
        <w:rPr>
          <w:sz w:val="24"/>
        </w:rPr>
        <w:t>Transfer Project</w:t>
      </w:r>
      <w:r>
        <w:rPr>
          <w:spacing w:val="-1"/>
          <w:sz w:val="24"/>
        </w:rPr>
        <w:t> </w:t>
      </w:r>
      <w:r>
        <w:rPr>
          <w:sz w:val="24"/>
        </w:rPr>
        <w:t>Workshop, Dakar, 7-9 June, 2017</w:t>
      </w:r>
    </w:p>
    <w:p>
      <w:pPr>
        <w:pStyle w:val="BodyText"/>
        <w:spacing w:before="161"/>
        <w:ind w:left="840" w:right="117" w:hanging="720"/>
        <w:jc w:val="both"/>
      </w:pPr>
      <w:r>
        <w:rPr/>
        <w:t>Novignon,</w:t>
      </w:r>
      <w:r>
        <w:rPr>
          <w:spacing w:val="15"/>
        </w:rPr>
        <w:t> </w:t>
      </w:r>
      <w:r>
        <w:rPr/>
        <w:t>J.,</w:t>
      </w:r>
      <w:r>
        <w:rPr>
          <w:spacing w:val="15"/>
        </w:rPr>
        <w:t> </w:t>
      </w:r>
      <w:r>
        <w:rPr/>
        <w:t>Nonvignon,</w:t>
      </w:r>
      <w:r>
        <w:rPr>
          <w:spacing w:val="16"/>
        </w:rPr>
        <w:t> </w:t>
      </w:r>
      <w:r>
        <w:rPr/>
        <w:t>J.</w:t>
      </w:r>
      <w:r>
        <w:rPr>
          <w:spacing w:val="17"/>
        </w:rPr>
        <w:t> </w:t>
      </w:r>
      <w:r>
        <w:rPr/>
        <w:t>&amp;</w:t>
      </w:r>
      <w:r>
        <w:rPr>
          <w:spacing w:val="13"/>
        </w:rPr>
        <w:t> </w:t>
      </w:r>
      <w:r>
        <w:rPr/>
        <w:t>Arthur,</w:t>
      </w:r>
      <w:r>
        <w:rPr>
          <w:spacing w:val="16"/>
        </w:rPr>
        <w:t> </w:t>
      </w:r>
      <w:r>
        <w:rPr/>
        <w:t>E.</w:t>
      </w:r>
      <w:r>
        <w:rPr>
          <w:spacing w:val="15"/>
        </w:rPr>
        <w:t> </w:t>
      </w:r>
      <w:r>
        <w:rPr/>
        <w:t>(2015).</w:t>
      </w:r>
      <w:r>
        <w:rPr>
          <w:spacing w:val="16"/>
        </w:rPr>
        <w:t> </w:t>
      </w:r>
      <w:r>
        <w:rPr/>
        <w:t>Health</w:t>
      </w:r>
      <w:r>
        <w:rPr>
          <w:spacing w:val="16"/>
        </w:rPr>
        <w:t> </w:t>
      </w:r>
      <w:r>
        <w:rPr/>
        <w:t>Status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Labour</w:t>
      </w:r>
      <w:r>
        <w:rPr>
          <w:spacing w:val="15"/>
        </w:rPr>
        <w:t> </w:t>
      </w:r>
      <w:r>
        <w:rPr/>
        <w:t>Force</w:t>
      </w:r>
      <w:r>
        <w:rPr>
          <w:spacing w:val="14"/>
        </w:rPr>
        <w:t> </w:t>
      </w:r>
      <w:r>
        <w:rPr/>
        <w:t>Participation</w:t>
      </w:r>
      <w:r>
        <w:rPr>
          <w:spacing w:val="-57"/>
        </w:rPr>
        <w:t> </w:t>
      </w:r>
      <w:r>
        <w:rPr/>
        <w:t>in sub- Saharan Africa: A Dynamic Panel Data Analysis, </w:t>
      </w:r>
      <w:r>
        <w:rPr>
          <w:i/>
        </w:rPr>
        <w:t>African Development Review,</w:t>
      </w:r>
      <w:r>
        <w:rPr>
          <w:i/>
          <w:spacing w:val="1"/>
        </w:rPr>
        <w:t> </w:t>
      </w:r>
      <w:r>
        <w:rPr>
          <w:i/>
        </w:rPr>
        <w:t>27</w:t>
      </w:r>
      <w:r>
        <w:rPr/>
        <w:t>(1),</w:t>
      </w:r>
      <w:r>
        <w:rPr>
          <w:spacing w:val="-1"/>
        </w:rPr>
        <w:t> </w:t>
      </w:r>
      <w:r>
        <w:rPr/>
        <w:t>14-26</w:t>
      </w:r>
    </w:p>
    <w:p>
      <w:pPr>
        <w:pStyle w:val="BodyText"/>
        <w:spacing w:before="158"/>
        <w:ind w:left="840" w:right="117" w:hanging="720"/>
        <w:jc w:val="both"/>
      </w:pPr>
      <w:r>
        <w:rPr/>
        <w:t>Nuwumanya A. (2018). Utilization of Long-Lasting Insecticide Treated Nets among Households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Mbarara</w:t>
      </w:r>
      <w:r>
        <w:rPr>
          <w:spacing w:val="-7"/>
        </w:rPr>
        <w:t> </w:t>
      </w:r>
      <w:r>
        <w:rPr/>
        <w:t>Municipality,</w:t>
      </w:r>
      <w:r>
        <w:rPr>
          <w:spacing w:val="-3"/>
        </w:rPr>
        <w:t> </w:t>
      </w:r>
      <w:r>
        <w:rPr/>
        <w:t>Uganda.</w:t>
      </w:r>
      <w:r>
        <w:rPr>
          <w:spacing w:val="-4"/>
        </w:rPr>
        <w:t> </w:t>
      </w:r>
      <w:r>
        <w:rPr/>
        <w:t>Malaria</w:t>
      </w:r>
      <w:r>
        <w:rPr>
          <w:spacing w:val="-6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Treatment. </w:t>
      </w:r>
      <w:r>
        <w:rPr>
          <w:i/>
        </w:rPr>
        <w:t>Journal</w:t>
      </w:r>
      <w:r>
        <w:rPr>
          <w:i/>
          <w:spacing w:val="-4"/>
        </w:rPr>
        <w:t> </w:t>
      </w:r>
      <w:r>
        <w:rPr>
          <w:i/>
        </w:rPr>
        <w:t>of</w:t>
      </w:r>
      <w:r>
        <w:rPr>
          <w:i/>
          <w:spacing w:val="-3"/>
        </w:rPr>
        <w:t> </w:t>
      </w:r>
      <w:r>
        <w:rPr>
          <w:i/>
        </w:rPr>
        <w:t>Health,</w:t>
      </w:r>
      <w:r>
        <w:rPr>
          <w:i/>
          <w:spacing w:val="-4"/>
        </w:rPr>
        <w:t> </w:t>
      </w:r>
      <w:r>
        <w:rPr>
          <w:i/>
        </w:rPr>
        <w:t>43</w:t>
      </w:r>
      <w:r>
        <w:rPr>
          <w:i/>
          <w:spacing w:val="-58"/>
        </w:rPr>
        <w:t> </w:t>
      </w:r>
      <w:r>
        <w:rPr/>
        <w:t>(8),</w:t>
      </w:r>
      <w:r>
        <w:rPr>
          <w:spacing w:val="-2"/>
        </w:rPr>
        <w:t> </w:t>
      </w:r>
      <w:r>
        <w:rPr/>
        <w:t>75-96</w:t>
      </w:r>
    </w:p>
    <w:p>
      <w:pPr>
        <w:spacing w:before="162"/>
        <w:ind w:left="840" w:right="116" w:hanging="720"/>
        <w:jc w:val="both"/>
        <w:rPr>
          <w:sz w:val="24"/>
        </w:rPr>
      </w:pPr>
      <w:r>
        <w:rPr>
          <w:sz w:val="24"/>
        </w:rPr>
        <w:t>Odusanya, I.A., &amp; Agboola, B. (2017). Income, Income Inequality and Health: Evidence from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Izvestiya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Verna University of Economics, 61 </w:t>
      </w:r>
      <w:r>
        <w:rPr>
          <w:sz w:val="24"/>
        </w:rPr>
        <w:t>(4), 345-361</w:t>
      </w:r>
    </w:p>
    <w:p>
      <w:pPr>
        <w:spacing w:before="158"/>
        <w:ind w:left="840" w:right="116" w:hanging="720"/>
        <w:jc w:val="both"/>
        <w:rPr>
          <w:sz w:val="24"/>
        </w:rPr>
      </w:pPr>
      <w:r>
        <w:rPr>
          <w:sz w:val="24"/>
        </w:rPr>
        <w:t>OECD (2011). </w:t>
      </w:r>
      <w:r>
        <w:rPr>
          <w:i/>
          <w:sz w:val="24"/>
        </w:rPr>
        <w:t>Causes of Growing Income Inequality in OECD Countries</w:t>
      </w:r>
      <w:r>
        <w:rPr>
          <w:sz w:val="24"/>
        </w:rPr>
        <w:t>. OECD Publishing</w:t>
      </w:r>
      <w:r>
        <w:rPr>
          <w:spacing w:val="1"/>
          <w:sz w:val="24"/>
        </w:rPr>
        <w:t> </w:t>
      </w:r>
      <w:r>
        <w:rPr>
          <w:sz w:val="24"/>
        </w:rPr>
        <w:t>Paris,</w:t>
      </w:r>
      <w:r>
        <w:rPr>
          <w:spacing w:val="-1"/>
          <w:sz w:val="24"/>
        </w:rPr>
        <w:t> </w:t>
      </w:r>
      <w:r>
        <w:rPr>
          <w:sz w:val="24"/>
        </w:rPr>
        <w:t>France</w:t>
      </w:r>
    </w:p>
    <w:p>
      <w:pPr>
        <w:spacing w:line="276" w:lineRule="auto" w:before="163"/>
        <w:ind w:left="840" w:right="116" w:hanging="720"/>
        <w:jc w:val="both"/>
        <w:rPr>
          <w:sz w:val="24"/>
        </w:rPr>
      </w:pPr>
      <w:r>
        <w:rPr>
          <w:sz w:val="24"/>
        </w:rPr>
        <w:t>OECD (2015). </w:t>
      </w:r>
      <w:r>
        <w:rPr>
          <w:i/>
          <w:sz w:val="24"/>
        </w:rPr>
        <w:t>Causes of Growing Income Inequality in OECD Countries</w:t>
      </w:r>
      <w:r>
        <w:rPr>
          <w:sz w:val="24"/>
        </w:rPr>
        <w:t>. OECD Publishing</w:t>
      </w:r>
      <w:r>
        <w:rPr>
          <w:spacing w:val="1"/>
          <w:sz w:val="24"/>
        </w:rPr>
        <w:t> </w:t>
      </w:r>
      <w:r>
        <w:rPr>
          <w:sz w:val="24"/>
        </w:rPr>
        <w:t>Paris,</w:t>
      </w:r>
      <w:r>
        <w:rPr>
          <w:spacing w:val="-1"/>
          <w:sz w:val="24"/>
        </w:rPr>
        <w:t> </w:t>
      </w:r>
      <w:r>
        <w:rPr>
          <w:sz w:val="24"/>
        </w:rPr>
        <w:t>France</w:t>
      </w:r>
    </w:p>
    <w:p>
      <w:pPr>
        <w:pStyle w:val="BodyText"/>
        <w:spacing w:before="184"/>
        <w:ind w:left="120"/>
      </w:pPr>
      <w:r>
        <w:rPr/>
        <w:t>OECD</w:t>
      </w:r>
      <w:r>
        <w:rPr>
          <w:spacing w:val="-2"/>
        </w:rPr>
        <w:t> </w:t>
      </w:r>
      <w:r>
        <w:rPr/>
        <w:t>(2018). Income</w:t>
      </w:r>
      <w:r>
        <w:rPr>
          <w:spacing w:val="-1"/>
        </w:rPr>
        <w:t> </w:t>
      </w:r>
      <w:r>
        <w:rPr/>
        <w:t>Inequality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OECD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doi:</w:t>
      </w:r>
      <w:r>
        <w:rPr>
          <w:spacing w:val="-1"/>
        </w:rPr>
        <w:t> </w:t>
      </w:r>
      <w:r>
        <w:rPr/>
        <w:t>10.1787/459aa7f1-en</w:t>
      </w:r>
    </w:p>
    <w:p>
      <w:pPr>
        <w:spacing w:after="0"/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before="117"/>
        <w:ind w:left="840" w:right="116" w:hanging="720"/>
        <w:jc w:val="both"/>
      </w:pPr>
      <w:r>
        <w:rPr/>
        <w:t>Olaniyan O, Lawanson, A.O, &amp; Olasehinde, O. (2015). Socio-Economic Inequalities in Adult</w:t>
      </w:r>
      <w:r>
        <w:rPr>
          <w:spacing w:val="1"/>
        </w:rPr>
        <w:t> </w:t>
      </w:r>
      <w:r>
        <w:rPr/>
        <w:t>Mortality</w:t>
      </w:r>
      <w:r>
        <w:rPr>
          <w:spacing w:val="-13"/>
        </w:rPr>
        <w:t> </w:t>
      </w:r>
      <w:r>
        <w:rPr/>
        <w:t>among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Geo-political</w:t>
      </w:r>
      <w:r>
        <w:rPr>
          <w:spacing w:val="-8"/>
        </w:rPr>
        <w:t> </w:t>
      </w:r>
      <w:r>
        <w:rPr/>
        <w:t>zones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Nigeria.</w:t>
      </w:r>
      <w:r>
        <w:rPr>
          <w:spacing w:val="-6"/>
        </w:rPr>
        <w:t> </w:t>
      </w:r>
      <w:r>
        <w:rPr>
          <w:i/>
        </w:rPr>
        <w:t>African</w:t>
      </w:r>
      <w:r>
        <w:rPr>
          <w:i/>
          <w:spacing w:val="-9"/>
        </w:rPr>
        <w:t> </w:t>
      </w:r>
      <w:r>
        <w:rPr>
          <w:i/>
        </w:rPr>
        <w:t>Journal</w:t>
      </w:r>
      <w:r>
        <w:rPr>
          <w:i/>
          <w:spacing w:val="-7"/>
        </w:rPr>
        <w:t> </w:t>
      </w:r>
      <w:r>
        <w:rPr>
          <w:i/>
        </w:rPr>
        <w:t>of</w:t>
      </w:r>
      <w:r>
        <w:rPr>
          <w:i/>
          <w:spacing w:val="-5"/>
        </w:rPr>
        <w:t> </w:t>
      </w:r>
      <w:r>
        <w:rPr>
          <w:i/>
        </w:rPr>
        <w:t>Health</w:t>
      </w:r>
      <w:r>
        <w:rPr>
          <w:i/>
          <w:spacing w:val="-9"/>
        </w:rPr>
        <w:t> </w:t>
      </w:r>
      <w:r>
        <w:rPr>
          <w:i/>
        </w:rPr>
        <w:t>Economics,</w:t>
      </w:r>
      <w:r>
        <w:rPr>
          <w:i/>
          <w:spacing w:val="-57"/>
        </w:rPr>
        <w:t> </w:t>
      </w:r>
      <w:r>
        <w:rPr/>
        <w:t>AJHE-2015-0002</w:t>
      </w:r>
    </w:p>
    <w:p>
      <w:pPr>
        <w:pStyle w:val="BodyText"/>
        <w:spacing w:before="158"/>
        <w:ind w:left="108" w:right="107"/>
        <w:jc w:val="center"/>
        <w:rPr>
          <w:i/>
        </w:rPr>
      </w:pPr>
      <w:r>
        <w:rPr/>
        <w:t>Olsen,</w:t>
      </w:r>
      <w:r>
        <w:rPr>
          <w:spacing w:val="17"/>
        </w:rPr>
        <w:t> </w:t>
      </w:r>
      <w:r>
        <w:rPr/>
        <w:t>K.</w:t>
      </w:r>
      <w:r>
        <w:rPr>
          <w:spacing w:val="20"/>
        </w:rPr>
        <w:t> </w:t>
      </w:r>
      <w:r>
        <w:rPr/>
        <w:t>&amp;</w:t>
      </w:r>
      <w:r>
        <w:rPr>
          <w:spacing w:val="17"/>
        </w:rPr>
        <w:t> </w:t>
      </w:r>
      <w:r>
        <w:rPr/>
        <w:t>Dahl,</w:t>
      </w:r>
      <w:r>
        <w:rPr>
          <w:spacing w:val="18"/>
        </w:rPr>
        <w:t> </w:t>
      </w:r>
      <w:r>
        <w:rPr/>
        <w:t>S.</w:t>
      </w:r>
      <w:r>
        <w:rPr>
          <w:spacing w:val="17"/>
        </w:rPr>
        <w:t> </w:t>
      </w:r>
      <w:r>
        <w:rPr/>
        <w:t>(2007).</w:t>
      </w:r>
      <w:r>
        <w:rPr>
          <w:spacing w:val="18"/>
        </w:rPr>
        <w:t> </w:t>
      </w:r>
      <w:r>
        <w:rPr/>
        <w:t>Health</w:t>
      </w:r>
      <w:r>
        <w:rPr>
          <w:spacing w:val="17"/>
        </w:rPr>
        <w:t> </w:t>
      </w:r>
      <w:r>
        <w:rPr/>
        <w:t>differences</w:t>
      </w:r>
      <w:r>
        <w:rPr>
          <w:spacing w:val="20"/>
        </w:rPr>
        <w:t> </w:t>
      </w:r>
      <w:r>
        <w:rPr/>
        <w:t>between</w:t>
      </w:r>
      <w:r>
        <w:rPr>
          <w:spacing w:val="18"/>
        </w:rPr>
        <w:t> </w:t>
      </w:r>
      <w:r>
        <w:rPr/>
        <w:t>European</w:t>
      </w:r>
      <w:r>
        <w:rPr>
          <w:spacing w:val="17"/>
        </w:rPr>
        <w:t> </w:t>
      </w:r>
      <w:r>
        <w:rPr/>
        <w:t>Nations.</w:t>
      </w:r>
      <w:r>
        <w:rPr>
          <w:spacing w:val="24"/>
        </w:rPr>
        <w:t> </w:t>
      </w:r>
      <w:r>
        <w:rPr>
          <w:i/>
        </w:rPr>
        <w:t>Social</w:t>
      </w:r>
      <w:r>
        <w:rPr>
          <w:i/>
          <w:spacing w:val="18"/>
        </w:rPr>
        <w:t> </w:t>
      </w:r>
      <w:r>
        <w:rPr>
          <w:i/>
        </w:rPr>
        <w:t>Science,</w:t>
      </w:r>
      <w:r>
        <w:rPr>
          <w:i/>
          <w:spacing w:val="18"/>
        </w:rPr>
        <w:t> </w:t>
      </w:r>
      <w:r>
        <w:rPr>
          <w:i/>
        </w:rPr>
        <w:t>64</w:t>
      </w:r>
    </w:p>
    <w:p>
      <w:pPr>
        <w:pStyle w:val="BodyText"/>
        <w:ind w:left="840"/>
      </w:pPr>
      <w:r>
        <w:rPr/>
        <w:t>1665-1678</w:t>
      </w:r>
    </w:p>
    <w:p>
      <w:pPr>
        <w:pStyle w:val="BodyText"/>
        <w:spacing w:before="161"/>
        <w:ind w:left="108" w:right="108"/>
        <w:jc w:val="center"/>
      </w:pPr>
      <w:r>
        <w:rPr/>
        <w:t>Omotola,</w:t>
      </w:r>
      <w:r>
        <w:rPr>
          <w:spacing w:val="28"/>
        </w:rPr>
        <w:t> </w:t>
      </w:r>
      <w:r>
        <w:rPr/>
        <w:t>A.M.</w:t>
      </w:r>
      <w:r>
        <w:rPr>
          <w:spacing w:val="30"/>
        </w:rPr>
        <w:t> </w:t>
      </w:r>
      <w:r>
        <w:rPr/>
        <w:t>&amp;.</w:t>
      </w:r>
      <w:r>
        <w:rPr>
          <w:spacing w:val="29"/>
        </w:rPr>
        <w:t> </w:t>
      </w:r>
      <w:r>
        <w:rPr/>
        <w:t>Kabir,</w:t>
      </w:r>
      <w:r>
        <w:rPr>
          <w:spacing w:val="28"/>
        </w:rPr>
        <w:t> </w:t>
      </w:r>
      <w:r>
        <w:rPr/>
        <w:t>K.S.</w:t>
      </w:r>
      <w:r>
        <w:rPr>
          <w:spacing w:val="30"/>
        </w:rPr>
        <w:t> </w:t>
      </w:r>
      <w:r>
        <w:rPr/>
        <w:t>(2015).</w:t>
      </w:r>
      <w:r>
        <w:rPr>
          <w:spacing w:val="29"/>
        </w:rPr>
        <w:t> </w:t>
      </w:r>
      <w:r>
        <w:rPr/>
        <w:t>Assessing</w:t>
      </w:r>
      <w:r>
        <w:rPr>
          <w:spacing w:val="28"/>
        </w:rPr>
        <w:t> </w:t>
      </w:r>
      <w:r>
        <w:rPr/>
        <w:t>Income</w:t>
      </w:r>
      <w:r>
        <w:rPr>
          <w:spacing w:val="31"/>
        </w:rPr>
        <w:t> </w:t>
      </w:r>
      <w:r>
        <w:rPr/>
        <w:t>Inequality</w:t>
      </w:r>
      <w:r>
        <w:rPr>
          <w:spacing w:val="22"/>
        </w:rPr>
        <w:t> </w:t>
      </w:r>
      <w:r>
        <w:rPr/>
        <w:t>in</w:t>
      </w:r>
      <w:r>
        <w:rPr>
          <w:spacing w:val="31"/>
        </w:rPr>
        <w:t> </w:t>
      </w:r>
      <w:r>
        <w:rPr/>
        <w:t>North-Eastern</w:t>
      </w:r>
      <w:r>
        <w:rPr>
          <w:spacing w:val="29"/>
        </w:rPr>
        <w:t> </w:t>
      </w:r>
      <w:r>
        <w:rPr/>
        <w:t>Nigeria.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Poverty, Investment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16,</w:t>
      </w:r>
      <w:r>
        <w:rPr>
          <w:i/>
          <w:spacing w:val="-1"/>
          <w:sz w:val="24"/>
        </w:rPr>
        <w:t> </w:t>
      </w:r>
      <w:r>
        <w:rPr>
          <w:sz w:val="24"/>
        </w:rPr>
        <w:t>33-39</w:t>
      </w:r>
    </w:p>
    <w:p>
      <w:pPr>
        <w:spacing w:before="161"/>
        <w:ind w:left="840" w:right="120" w:hanging="720"/>
        <w:jc w:val="both"/>
        <w:rPr>
          <w:sz w:val="24"/>
        </w:rPr>
      </w:pPr>
      <w:r>
        <w:rPr>
          <w:sz w:val="24"/>
        </w:rPr>
        <w:t>Omran,</w:t>
      </w:r>
      <w:r>
        <w:rPr>
          <w:spacing w:val="-4"/>
          <w:sz w:val="24"/>
        </w:rPr>
        <w:t> </w:t>
      </w:r>
      <w:r>
        <w:rPr>
          <w:sz w:val="24"/>
        </w:rPr>
        <w:t>A.R.</w:t>
      </w:r>
      <w:r>
        <w:rPr>
          <w:spacing w:val="-4"/>
          <w:sz w:val="24"/>
        </w:rPr>
        <w:t> </w:t>
      </w:r>
      <w:r>
        <w:rPr>
          <w:sz w:val="24"/>
        </w:rPr>
        <w:t>(1971).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Epidemiologic</w:t>
      </w:r>
      <w:r>
        <w:rPr>
          <w:spacing w:val="-4"/>
          <w:sz w:val="24"/>
        </w:rPr>
        <w:t> </w:t>
      </w:r>
      <w:r>
        <w:rPr>
          <w:sz w:val="24"/>
        </w:rPr>
        <w:t>Transition: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Theory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Epidemiology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Population</w:t>
      </w:r>
      <w:r>
        <w:rPr>
          <w:spacing w:val="-57"/>
          <w:sz w:val="24"/>
        </w:rPr>
        <w:t> </w:t>
      </w:r>
      <w:r>
        <w:rPr>
          <w:sz w:val="24"/>
        </w:rPr>
        <w:t>Change.</w:t>
      </w:r>
      <w:r>
        <w:rPr>
          <w:spacing w:val="1"/>
          <w:sz w:val="24"/>
        </w:rPr>
        <w:t> </w:t>
      </w:r>
      <w:r>
        <w:rPr>
          <w:i/>
          <w:sz w:val="24"/>
        </w:rPr>
        <w:t>Milbank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Memorial Fund Quarterly,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49</w:t>
      </w:r>
      <w:r>
        <w:rPr>
          <w:i/>
          <w:spacing w:val="-1"/>
          <w:sz w:val="24"/>
        </w:rPr>
        <w:t> </w:t>
      </w:r>
      <w:r>
        <w:rPr>
          <w:sz w:val="24"/>
        </w:rPr>
        <w:t>(4), 731-757</w:t>
      </w:r>
    </w:p>
    <w:p>
      <w:pPr>
        <w:spacing w:before="159"/>
        <w:ind w:left="840" w:right="116" w:hanging="720"/>
        <w:jc w:val="both"/>
        <w:rPr>
          <w:sz w:val="24"/>
        </w:rPr>
      </w:pPr>
      <w:r>
        <w:rPr>
          <w:sz w:val="24"/>
        </w:rPr>
        <w:t>Orji,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Income,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MSc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these, University</w:t>
      </w:r>
      <w:r>
        <w:rPr>
          <w:spacing w:val="-8"/>
          <w:sz w:val="24"/>
        </w:rPr>
        <w:t> </w:t>
      </w:r>
      <w:r>
        <w:rPr>
          <w:sz w:val="24"/>
        </w:rPr>
        <w:t>of Nigeria, Nsukka</w:t>
      </w:r>
    </w:p>
    <w:p>
      <w:pPr>
        <w:spacing w:before="161"/>
        <w:ind w:left="840" w:right="116" w:hanging="720"/>
        <w:jc w:val="both"/>
        <w:rPr>
          <w:sz w:val="24"/>
        </w:rPr>
      </w:pPr>
      <w:r>
        <w:rPr>
          <w:sz w:val="24"/>
        </w:rPr>
        <w:t>Ortiz I., &amp; Cummins M. (2011). Global inequality: Beyond the bottom billion–a rapid review of</w:t>
      </w:r>
      <w:r>
        <w:rPr>
          <w:spacing w:val="1"/>
          <w:sz w:val="24"/>
        </w:rPr>
        <w:t> </w:t>
      </w:r>
      <w:r>
        <w:rPr>
          <w:sz w:val="24"/>
        </w:rPr>
        <w:t>Income Distribution in 141 Countries. </w:t>
      </w:r>
      <w:r>
        <w:rPr>
          <w:i/>
          <w:sz w:val="24"/>
        </w:rPr>
        <w:t>UNICEF Social and Economic Policy Working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 York</w:t>
      </w:r>
    </w:p>
    <w:p>
      <w:pPr>
        <w:pStyle w:val="BodyText"/>
        <w:spacing w:before="161"/>
        <w:ind w:left="840" w:right="120" w:hanging="720"/>
        <w:jc w:val="both"/>
      </w:pPr>
      <w:r>
        <w:rPr/>
        <w:t>Ou</w:t>
      </w:r>
      <w:r>
        <w:rPr>
          <w:spacing w:val="-9"/>
        </w:rPr>
        <w:t> </w:t>
      </w:r>
      <w:r>
        <w:rPr/>
        <w:t>H.,</w:t>
      </w:r>
      <w:r>
        <w:rPr>
          <w:spacing w:val="-8"/>
        </w:rPr>
        <w:t> </w:t>
      </w:r>
      <w:r>
        <w:rPr/>
        <w:t>Yang,</w:t>
      </w:r>
      <w:r>
        <w:rPr>
          <w:spacing w:val="-9"/>
        </w:rPr>
        <w:t> </w:t>
      </w:r>
      <w:r>
        <w:rPr/>
        <w:t>T.,</w:t>
      </w:r>
      <w:r>
        <w:rPr>
          <w:spacing w:val="-9"/>
        </w:rPr>
        <w:t> </w:t>
      </w:r>
      <w:r>
        <w:rPr/>
        <w:t>Wang,</w:t>
      </w:r>
      <w:r>
        <w:rPr>
          <w:spacing w:val="-8"/>
        </w:rPr>
        <w:t> </w:t>
      </w:r>
      <w:r>
        <w:rPr/>
        <w:t>J.,</w:t>
      </w:r>
      <w:r>
        <w:rPr>
          <w:spacing w:val="-9"/>
        </w:rPr>
        <w:t> </w:t>
      </w:r>
      <w:r>
        <w:rPr/>
        <w:t>Hwang,</w:t>
      </w:r>
      <w:r>
        <w:rPr>
          <w:spacing w:val="-5"/>
        </w:rPr>
        <w:t> </w:t>
      </w:r>
      <w:r>
        <w:rPr/>
        <w:t>A.,</w:t>
      </w:r>
      <w:r>
        <w:rPr>
          <w:spacing w:val="-7"/>
        </w:rPr>
        <w:t> </w:t>
      </w:r>
      <w:r>
        <w:rPr/>
        <w:t>&amp;</w:t>
      </w:r>
      <w:r>
        <w:rPr>
          <w:spacing w:val="-10"/>
        </w:rPr>
        <w:t> </w:t>
      </w:r>
      <w:r>
        <w:rPr/>
        <w:t>Wu,</w:t>
      </w:r>
      <w:r>
        <w:rPr>
          <w:spacing w:val="-9"/>
        </w:rPr>
        <w:t> </w:t>
      </w:r>
      <w:r>
        <w:rPr/>
        <w:t>J.</w:t>
      </w:r>
      <w:r>
        <w:rPr>
          <w:spacing w:val="-7"/>
        </w:rPr>
        <w:t> </w:t>
      </w:r>
      <w:r>
        <w:rPr/>
        <w:t>(2016).</w:t>
      </w:r>
      <w:r>
        <w:rPr>
          <w:spacing w:val="-7"/>
        </w:rPr>
        <w:t> </w:t>
      </w:r>
      <w:r>
        <w:rPr/>
        <w:t>Life</w:t>
      </w:r>
      <w:r>
        <w:rPr>
          <w:spacing w:val="-7"/>
        </w:rPr>
        <w:t> </w:t>
      </w:r>
      <w:r>
        <w:rPr/>
        <w:t>Expectancy</w:t>
      </w:r>
      <w:r>
        <w:rPr>
          <w:spacing w:val="-11"/>
        </w:rPr>
        <w:t> </w:t>
      </w:r>
      <w:r>
        <w:rPr/>
        <w:t>and</w:t>
      </w:r>
      <w:r>
        <w:rPr>
          <w:spacing w:val="-5"/>
        </w:rPr>
        <w:t> </w:t>
      </w:r>
      <w:r>
        <w:rPr/>
        <w:t>Lifetime</w:t>
      </w:r>
      <w:r>
        <w:rPr>
          <w:spacing w:val="-9"/>
        </w:rPr>
        <w:t> </w:t>
      </w:r>
      <w:r>
        <w:rPr/>
        <w:t>Healthcare</w:t>
      </w:r>
      <w:r>
        <w:rPr>
          <w:spacing w:val="-57"/>
        </w:rPr>
        <w:t> </w:t>
      </w:r>
      <w:r>
        <w:rPr/>
        <w:t>Expenditures for Type 1 Diabetes: A Nationwide Longitudinal Cohort of incident cases</w:t>
      </w:r>
      <w:r>
        <w:rPr>
          <w:spacing w:val="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14</w:t>
      </w:r>
      <w:r>
        <w:rPr>
          <w:spacing w:val="4"/>
        </w:rPr>
        <w:t> </w:t>
      </w:r>
      <w:r>
        <w:rPr/>
        <w:t>years. </w:t>
      </w:r>
      <w:r>
        <w:rPr>
          <w:i/>
        </w:rPr>
        <w:t>Value in Health,</w:t>
      </w:r>
      <w:r>
        <w:rPr>
          <w:i/>
          <w:spacing w:val="-1"/>
        </w:rPr>
        <w:t> </w:t>
      </w:r>
      <w:r>
        <w:rPr>
          <w:i/>
        </w:rPr>
        <w:t>19 </w:t>
      </w:r>
      <w:r>
        <w:rPr/>
        <w:t>(8), 976-984</w:t>
      </w:r>
    </w:p>
    <w:p>
      <w:pPr>
        <w:spacing w:before="158"/>
        <w:ind w:left="108" w:right="108" w:firstLine="0"/>
        <w:jc w:val="center"/>
        <w:rPr>
          <w:i/>
          <w:sz w:val="24"/>
        </w:rPr>
      </w:pPr>
      <w:r>
        <w:rPr>
          <w:sz w:val="24"/>
        </w:rPr>
        <w:t>Owoo</w:t>
      </w:r>
      <w:r>
        <w:rPr>
          <w:spacing w:val="13"/>
          <w:sz w:val="24"/>
        </w:rPr>
        <w:t> </w:t>
      </w:r>
      <w:r>
        <w:rPr>
          <w:sz w:val="24"/>
        </w:rPr>
        <w:t>N.S.</w:t>
      </w:r>
      <w:r>
        <w:rPr>
          <w:spacing w:val="13"/>
          <w:sz w:val="24"/>
        </w:rPr>
        <w:t> </w:t>
      </w:r>
      <w:r>
        <w:rPr>
          <w:sz w:val="24"/>
        </w:rPr>
        <w:t>(2018).</w:t>
      </w:r>
      <w:r>
        <w:rPr>
          <w:spacing w:val="12"/>
          <w:sz w:val="24"/>
        </w:rPr>
        <w:t> </w:t>
      </w:r>
      <w:r>
        <w:rPr>
          <w:sz w:val="24"/>
        </w:rPr>
        <w:t>Food</w:t>
      </w:r>
      <w:r>
        <w:rPr>
          <w:spacing w:val="18"/>
          <w:sz w:val="24"/>
        </w:rPr>
        <w:t> </w:t>
      </w:r>
      <w:r>
        <w:rPr>
          <w:sz w:val="24"/>
        </w:rPr>
        <w:t>Insecurity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Family</w:t>
      </w:r>
      <w:r>
        <w:rPr>
          <w:spacing w:val="9"/>
          <w:sz w:val="24"/>
        </w:rPr>
        <w:t> </w:t>
      </w:r>
      <w:r>
        <w:rPr>
          <w:sz w:val="24"/>
        </w:rPr>
        <w:t>Structure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Nigeria.</w:t>
      </w:r>
      <w:r>
        <w:rPr>
          <w:spacing w:val="20"/>
          <w:sz w:val="24"/>
        </w:rPr>
        <w:t> </w:t>
      </w:r>
      <w:r>
        <w:rPr>
          <w:i/>
          <w:sz w:val="24"/>
        </w:rPr>
        <w:t>SSM-Population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</w:t>
      </w:r>
      <w:r>
        <w:rPr>
          <w:spacing w:val="13"/>
          <w:sz w:val="24"/>
        </w:rPr>
        <w:t> </w:t>
      </w:r>
      <w:r>
        <w:rPr>
          <w:i/>
          <w:sz w:val="24"/>
        </w:rPr>
        <w:t>4</w:t>
      </w:r>
    </w:p>
    <w:p>
      <w:pPr>
        <w:pStyle w:val="BodyText"/>
        <w:ind w:left="840"/>
      </w:pPr>
      <w:r>
        <w:rPr/>
        <w:t>(2),</w:t>
      </w:r>
      <w:r>
        <w:rPr>
          <w:spacing w:val="-2"/>
        </w:rPr>
        <w:t> </w:t>
      </w:r>
      <w:r>
        <w:rPr/>
        <w:t>117-125</w:t>
      </w:r>
    </w:p>
    <w:p>
      <w:pPr>
        <w:spacing w:before="161"/>
        <w:ind w:left="108" w:right="108" w:firstLine="0"/>
        <w:jc w:val="center"/>
        <w:rPr>
          <w:sz w:val="24"/>
        </w:rPr>
      </w:pPr>
      <w:r>
        <w:rPr>
          <w:sz w:val="24"/>
        </w:rPr>
        <w:t>Oyekale,</w:t>
      </w:r>
      <w:r>
        <w:rPr>
          <w:spacing w:val="52"/>
          <w:sz w:val="24"/>
        </w:rPr>
        <w:t> </w:t>
      </w:r>
      <w:r>
        <w:rPr>
          <w:sz w:val="24"/>
        </w:rPr>
        <w:t>A.S.,</w:t>
      </w:r>
      <w:r>
        <w:rPr>
          <w:spacing w:val="52"/>
          <w:sz w:val="24"/>
        </w:rPr>
        <w:t> </w:t>
      </w:r>
      <w:r>
        <w:rPr>
          <w:sz w:val="24"/>
        </w:rPr>
        <w:t>Adeoti,</w:t>
      </w:r>
      <w:r>
        <w:rPr>
          <w:spacing w:val="56"/>
          <w:sz w:val="24"/>
        </w:rPr>
        <w:t> </w:t>
      </w:r>
      <w:r>
        <w:rPr>
          <w:sz w:val="24"/>
        </w:rPr>
        <w:t>A.I.,</w:t>
      </w:r>
      <w:r>
        <w:rPr>
          <w:spacing w:val="53"/>
          <w:sz w:val="24"/>
        </w:rPr>
        <w:t> </w:t>
      </w:r>
      <w:r>
        <w:rPr>
          <w:sz w:val="24"/>
        </w:rPr>
        <w:t>&amp;</w:t>
      </w:r>
      <w:r>
        <w:rPr>
          <w:spacing w:val="50"/>
          <w:sz w:val="24"/>
        </w:rPr>
        <w:t> </w:t>
      </w:r>
      <w:r>
        <w:rPr>
          <w:sz w:val="24"/>
        </w:rPr>
        <w:t>Oyekale,</w:t>
      </w:r>
      <w:r>
        <w:rPr>
          <w:spacing w:val="51"/>
          <w:sz w:val="24"/>
        </w:rPr>
        <w:t> </w:t>
      </w:r>
      <w:r>
        <w:rPr>
          <w:sz w:val="24"/>
        </w:rPr>
        <w:t>T.O.</w:t>
      </w:r>
      <w:r>
        <w:rPr>
          <w:spacing w:val="51"/>
          <w:sz w:val="24"/>
        </w:rPr>
        <w:t> </w:t>
      </w:r>
      <w:r>
        <w:rPr>
          <w:sz w:val="24"/>
        </w:rPr>
        <w:t>(2006).</w:t>
      </w:r>
      <w:r>
        <w:rPr>
          <w:spacing w:val="52"/>
          <w:sz w:val="24"/>
        </w:rPr>
        <w:t> </w:t>
      </w:r>
      <w:r>
        <w:rPr>
          <w:i/>
          <w:sz w:val="24"/>
        </w:rPr>
        <w:t>Measurement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Sources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Rural and Urban Nigeria</w:t>
      </w:r>
      <w:r>
        <w:rPr>
          <w:sz w:val="24"/>
        </w:rPr>
        <w:t>. PMMA</w:t>
      </w:r>
      <w:r>
        <w:rPr>
          <w:spacing w:val="-4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Session Paper,</w:t>
      </w:r>
      <w:r>
        <w:rPr>
          <w:spacing w:val="1"/>
          <w:sz w:val="24"/>
        </w:rPr>
        <w:t> </w:t>
      </w:r>
      <w:r>
        <w:rPr>
          <w:sz w:val="24"/>
        </w:rPr>
        <w:t>Ethiopia.</w:t>
      </w:r>
    </w:p>
    <w:p>
      <w:pPr>
        <w:spacing w:before="159"/>
        <w:ind w:left="840" w:right="114" w:hanging="720"/>
        <w:jc w:val="both"/>
        <w:rPr>
          <w:sz w:val="24"/>
        </w:rPr>
      </w:pPr>
      <w:r>
        <w:rPr>
          <w:sz w:val="24"/>
        </w:rPr>
        <w:t>Oyeleye,</w:t>
      </w:r>
      <w:r>
        <w:rPr>
          <w:spacing w:val="-12"/>
          <w:sz w:val="24"/>
        </w:rPr>
        <w:t> </w:t>
      </w:r>
      <w:r>
        <w:rPr>
          <w:sz w:val="24"/>
        </w:rPr>
        <w:t>O.I.</w:t>
      </w:r>
      <w:r>
        <w:rPr>
          <w:spacing w:val="-13"/>
          <w:sz w:val="24"/>
        </w:rPr>
        <w:t> </w:t>
      </w:r>
      <w:r>
        <w:rPr>
          <w:sz w:val="24"/>
        </w:rPr>
        <w:t>(2013).</w:t>
      </w:r>
      <w:r>
        <w:rPr>
          <w:spacing w:val="-14"/>
          <w:sz w:val="24"/>
        </w:rPr>
        <w:t> </w:t>
      </w:r>
      <w:r>
        <w:rPr>
          <w:sz w:val="24"/>
        </w:rPr>
        <w:t>Challenges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Urbanization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Urban</w:t>
      </w:r>
      <w:r>
        <w:rPr>
          <w:spacing w:val="-13"/>
          <w:sz w:val="24"/>
        </w:rPr>
        <w:t> </w:t>
      </w:r>
      <w:r>
        <w:rPr>
          <w:sz w:val="24"/>
        </w:rPr>
        <w:t>Growth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Nigeria.</w:t>
      </w:r>
      <w:r>
        <w:rPr>
          <w:spacing w:val="-8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Sustainable Cities 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 </w:t>
      </w:r>
      <w:r>
        <w:rPr>
          <w:i/>
          <w:sz w:val="24"/>
        </w:rPr>
        <w:t>2 </w:t>
      </w:r>
      <w:r>
        <w:rPr>
          <w:sz w:val="24"/>
        </w:rPr>
        <w:t>(1): 79-95</w:t>
      </w:r>
    </w:p>
    <w:p>
      <w:pPr>
        <w:spacing w:before="161"/>
        <w:ind w:left="840" w:right="117" w:hanging="720"/>
        <w:jc w:val="both"/>
        <w:rPr>
          <w:sz w:val="24"/>
        </w:rPr>
      </w:pPr>
      <w:r>
        <w:rPr>
          <w:sz w:val="24"/>
        </w:rPr>
        <w:t>Pabayo R., Kawachi, I., &amp; Gilman, S.E. (2015). United-State Level of Income Inequalities and</w:t>
      </w:r>
      <w:r>
        <w:rPr>
          <w:spacing w:val="1"/>
          <w:sz w:val="24"/>
        </w:rPr>
        <w:t> </w:t>
      </w:r>
      <w:r>
        <w:rPr>
          <w:sz w:val="24"/>
        </w:rPr>
        <w:t>Risks of Heart Attack: Longitudinal findings. </w:t>
      </w:r>
      <w:r>
        <w:rPr>
          <w:i/>
          <w:sz w:val="24"/>
        </w:rPr>
        <w:t>International Journal of Public Health, 60</w:t>
      </w:r>
      <w:r>
        <w:rPr>
          <w:i/>
          <w:spacing w:val="1"/>
          <w:sz w:val="24"/>
        </w:rPr>
        <w:t> 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573-588</w:t>
      </w:r>
    </w:p>
    <w:p>
      <w:pPr>
        <w:spacing w:before="161"/>
        <w:ind w:left="840" w:right="117" w:hanging="720"/>
        <w:jc w:val="both"/>
        <w:rPr>
          <w:sz w:val="24"/>
        </w:rPr>
      </w:pPr>
      <w:r>
        <w:rPr>
          <w:sz w:val="24"/>
        </w:rPr>
        <w:t>Pabayo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Chiavegatto,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Lebrao,</w:t>
      </w:r>
      <w:r>
        <w:rPr>
          <w:spacing w:val="1"/>
          <w:sz w:val="24"/>
        </w:rPr>
        <w:t> </w:t>
      </w:r>
      <w:r>
        <w:rPr>
          <w:sz w:val="24"/>
        </w:rPr>
        <w:t>M.L.,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Kawachi,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Income-Inequality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Mortality: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Results</w:t>
      </w:r>
      <w:r>
        <w:rPr>
          <w:spacing w:val="-12"/>
          <w:sz w:val="24"/>
        </w:rPr>
        <w:t> </w:t>
      </w:r>
      <w:r>
        <w:rPr>
          <w:sz w:val="24"/>
        </w:rPr>
        <w:t>from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Longitudinal</w:t>
      </w:r>
      <w:r>
        <w:rPr>
          <w:spacing w:val="-11"/>
          <w:sz w:val="24"/>
        </w:rPr>
        <w:t> </w:t>
      </w:r>
      <w:r>
        <w:rPr>
          <w:sz w:val="24"/>
        </w:rPr>
        <w:t>study</w:t>
      </w:r>
      <w:r>
        <w:rPr>
          <w:spacing w:val="-17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Brazil.</w:t>
      </w:r>
      <w:r>
        <w:rPr>
          <w:spacing w:val="-8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103</w:t>
      </w:r>
      <w:r>
        <w:rPr>
          <w:i/>
          <w:spacing w:val="-1"/>
          <w:sz w:val="24"/>
        </w:rPr>
        <w:t> </w:t>
      </w:r>
      <w:r>
        <w:rPr>
          <w:sz w:val="24"/>
        </w:rPr>
        <w:t>(9), 43-49</w:t>
      </w:r>
    </w:p>
    <w:p>
      <w:pPr>
        <w:pStyle w:val="BodyText"/>
        <w:spacing w:before="159"/>
        <w:ind w:left="840" w:right="115" w:hanging="720"/>
        <w:jc w:val="both"/>
      </w:pPr>
      <w:r>
        <w:rPr/>
        <w:t>Pampel, F.C., &amp; Zimmer, C. (1989). Female Labour Force activity and the sex differential in</w:t>
      </w:r>
      <w:r>
        <w:rPr>
          <w:spacing w:val="1"/>
        </w:rPr>
        <w:t> </w:t>
      </w:r>
      <w:r>
        <w:rPr/>
        <w:t>Mortality: Comparisons across Developed Nations (1950-1980). </w:t>
      </w:r>
      <w:r>
        <w:rPr>
          <w:i/>
        </w:rPr>
        <w:t>European Journal of</w:t>
      </w:r>
      <w:r>
        <w:rPr>
          <w:i/>
          <w:spacing w:val="1"/>
        </w:rPr>
        <w:t> </w:t>
      </w:r>
      <w:r>
        <w:rPr>
          <w:i/>
        </w:rPr>
        <w:t>Population,</w:t>
      </w:r>
      <w:r>
        <w:rPr>
          <w:i/>
          <w:spacing w:val="-1"/>
        </w:rPr>
        <w:t> </w:t>
      </w:r>
      <w:r>
        <w:rPr>
          <w:i/>
        </w:rPr>
        <w:t>5 </w:t>
      </w:r>
      <w:r>
        <w:rPr/>
        <w:t>(3), 281-304</w:t>
      </w:r>
    </w:p>
    <w:p>
      <w:pPr>
        <w:pStyle w:val="BodyText"/>
        <w:spacing w:before="161"/>
        <w:ind w:left="840" w:right="117" w:hanging="720"/>
        <w:jc w:val="both"/>
      </w:pPr>
      <w:r>
        <w:rPr/>
        <w:t>Park,</w:t>
      </w:r>
      <w:r>
        <w:rPr>
          <w:spacing w:val="-2"/>
        </w:rPr>
        <w:t> </w:t>
      </w:r>
      <w:r>
        <w:rPr/>
        <w:t>J.,</w:t>
      </w:r>
      <w:r>
        <w:rPr>
          <w:spacing w:val="-1"/>
        </w:rPr>
        <w:t> </w:t>
      </w:r>
      <w:r>
        <w:rPr/>
        <w:t>S.</w:t>
      </w:r>
      <w:r>
        <w:rPr>
          <w:spacing w:val="-4"/>
        </w:rPr>
        <w:t> </w:t>
      </w:r>
      <w:r>
        <w:rPr/>
        <w:t>Ryu,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Choi,</w:t>
      </w:r>
      <w:r>
        <w:rPr>
          <w:spacing w:val="-1"/>
        </w:rPr>
        <w:t> </w:t>
      </w:r>
      <w:r>
        <w:rPr/>
        <w:t>S.W. (2015).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Income Inequality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All-cause</w:t>
      </w:r>
      <w:r>
        <w:rPr>
          <w:spacing w:val="-57"/>
        </w:rPr>
        <w:t> </w:t>
      </w:r>
      <w:r>
        <w:rPr/>
        <w:t>Mortality</w:t>
      </w:r>
      <w:r>
        <w:rPr>
          <w:spacing w:val="-6"/>
        </w:rPr>
        <w:t> </w:t>
      </w:r>
      <w:r>
        <w:rPr/>
        <w:t>across Urban Communities in</w:t>
      </w:r>
      <w:r>
        <w:rPr>
          <w:spacing w:val="-1"/>
        </w:rPr>
        <w:t> </w:t>
      </w:r>
      <w:r>
        <w:rPr/>
        <w:t>Korea.</w:t>
      </w:r>
      <w:r>
        <w:rPr>
          <w:spacing w:val="2"/>
        </w:rPr>
        <w:t> </w:t>
      </w:r>
      <w:r>
        <w:rPr>
          <w:i/>
        </w:rPr>
        <w:t>BMC Public</w:t>
      </w:r>
      <w:r>
        <w:rPr>
          <w:i/>
          <w:spacing w:val="-2"/>
        </w:rPr>
        <w:t> </w:t>
      </w:r>
      <w:r>
        <w:rPr>
          <w:i/>
        </w:rPr>
        <w:t>Health, 15</w:t>
      </w:r>
      <w:r>
        <w:rPr/>
        <w:t>, 51-74</w:t>
      </w:r>
    </w:p>
    <w:p>
      <w:pPr>
        <w:spacing w:line="276" w:lineRule="auto" w:before="163"/>
        <w:ind w:left="840" w:right="118" w:hanging="720"/>
        <w:jc w:val="both"/>
        <w:rPr>
          <w:sz w:val="24"/>
        </w:rPr>
      </w:pPr>
      <w:r>
        <w:rPr>
          <w:sz w:val="24"/>
        </w:rPr>
        <w:t>Patil, S.P., Parbhanker, S.S., &amp; Singh, R.D. (2016). Study of Health-Seeking Behavior and its</w:t>
      </w:r>
      <w:r>
        <w:rPr>
          <w:spacing w:val="1"/>
          <w:sz w:val="24"/>
        </w:rPr>
        <w:t> </w:t>
      </w:r>
      <w:r>
        <w:rPr>
          <w:sz w:val="24"/>
        </w:rPr>
        <w:t>Determinants among</w:t>
      </w:r>
      <w:r>
        <w:rPr>
          <w:spacing w:val="1"/>
          <w:sz w:val="24"/>
        </w:rPr>
        <w:t> </w:t>
      </w:r>
      <w:r>
        <w:rPr>
          <w:sz w:val="24"/>
        </w:rPr>
        <w:t>attendees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Center,</w:t>
      </w:r>
      <w:r>
        <w:rPr>
          <w:spacing w:val="1"/>
          <w:sz w:val="24"/>
        </w:rPr>
        <w:t> </w:t>
      </w:r>
      <w:r>
        <w:rPr>
          <w:sz w:val="24"/>
        </w:rPr>
        <w:t>Dharavi,</w:t>
      </w:r>
      <w:r>
        <w:rPr>
          <w:spacing w:val="1"/>
          <w:sz w:val="24"/>
        </w:rPr>
        <w:t> </w:t>
      </w:r>
      <w:r>
        <w:rPr>
          <w:sz w:val="24"/>
        </w:rPr>
        <w:t>Mumbai,</w:t>
      </w:r>
      <w:r>
        <w:rPr>
          <w:spacing w:val="1"/>
          <w:sz w:val="24"/>
        </w:rPr>
        <w:t> </w:t>
      </w:r>
      <w:r>
        <w:rPr>
          <w:sz w:val="24"/>
        </w:rPr>
        <w:t>India.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Community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 </w:t>
      </w:r>
      <w:r>
        <w:rPr>
          <w:sz w:val="24"/>
        </w:rPr>
        <w:t>(7), 1856-1861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35" w:top="1500" w:bottom="1200" w:left="1320" w:right="1320"/>
        </w:sectPr>
      </w:pPr>
    </w:p>
    <w:p>
      <w:pPr>
        <w:spacing w:before="72"/>
        <w:ind w:left="840" w:right="0" w:hanging="720"/>
        <w:jc w:val="left"/>
        <w:rPr>
          <w:sz w:val="24"/>
        </w:rPr>
      </w:pPr>
      <w:r>
        <w:rPr>
          <w:sz w:val="24"/>
        </w:rPr>
        <w:t>Pelkowski,</w:t>
      </w:r>
      <w:r>
        <w:rPr>
          <w:spacing w:val="21"/>
          <w:sz w:val="24"/>
        </w:rPr>
        <w:t> </w:t>
      </w:r>
      <w:r>
        <w:rPr>
          <w:sz w:val="24"/>
        </w:rPr>
        <w:t>J.</w:t>
      </w:r>
      <w:r>
        <w:rPr>
          <w:spacing w:val="23"/>
          <w:sz w:val="24"/>
        </w:rPr>
        <w:t> </w:t>
      </w:r>
      <w:r>
        <w:rPr>
          <w:sz w:val="24"/>
        </w:rPr>
        <w:t>&amp;</w:t>
      </w:r>
      <w:r>
        <w:rPr>
          <w:spacing w:val="21"/>
          <w:sz w:val="24"/>
        </w:rPr>
        <w:t> </w:t>
      </w:r>
      <w:r>
        <w:rPr>
          <w:sz w:val="24"/>
        </w:rPr>
        <w:t>Bergers,</w:t>
      </w:r>
      <w:r>
        <w:rPr>
          <w:spacing w:val="22"/>
          <w:sz w:val="24"/>
        </w:rPr>
        <w:t> </w:t>
      </w:r>
      <w:r>
        <w:rPr>
          <w:sz w:val="24"/>
        </w:rPr>
        <w:t>M.</w:t>
      </w:r>
      <w:r>
        <w:rPr>
          <w:spacing w:val="23"/>
          <w:sz w:val="24"/>
        </w:rPr>
        <w:t> </w:t>
      </w:r>
      <w:r>
        <w:rPr>
          <w:sz w:val="24"/>
        </w:rPr>
        <w:t>(2004),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Impact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Health</w:t>
      </w:r>
      <w:r>
        <w:rPr>
          <w:spacing w:val="22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Employment,</w:t>
      </w:r>
      <w:r>
        <w:rPr>
          <w:spacing w:val="23"/>
          <w:sz w:val="24"/>
        </w:rPr>
        <w:t> </w:t>
      </w:r>
      <w:r>
        <w:rPr>
          <w:sz w:val="24"/>
        </w:rPr>
        <w:t>Wages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Hours</w:t>
      </w:r>
      <w:r>
        <w:rPr>
          <w:spacing w:val="-57"/>
          <w:sz w:val="24"/>
        </w:rPr>
        <w:t> </w:t>
      </w:r>
      <w:r>
        <w:rPr>
          <w:sz w:val="24"/>
        </w:rPr>
        <w:t>worked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life-cycle.</w:t>
      </w:r>
      <w:r>
        <w:rPr>
          <w:spacing w:val="-1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Finance, 44</w:t>
      </w:r>
      <w:r>
        <w:rPr>
          <w:i/>
          <w:spacing w:val="-1"/>
          <w:sz w:val="24"/>
        </w:rPr>
        <w:t> 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102-121</w:t>
      </w:r>
    </w:p>
    <w:p>
      <w:pPr>
        <w:pStyle w:val="BodyText"/>
        <w:spacing w:before="161"/>
        <w:ind w:left="840" w:hanging="720"/>
      </w:pPr>
      <w:r>
        <w:rPr/>
        <w:t>Pfutze,</w:t>
      </w:r>
      <w:r>
        <w:rPr>
          <w:spacing w:val="1"/>
        </w:rPr>
        <w:t> </w:t>
      </w:r>
      <w:r>
        <w:rPr/>
        <w:t>T.</w:t>
      </w:r>
      <w:r>
        <w:rPr>
          <w:spacing w:val="2"/>
        </w:rPr>
        <w:t> </w:t>
      </w:r>
      <w:r>
        <w:rPr/>
        <w:t>(2014). The</w:t>
      </w:r>
      <w:r>
        <w:rPr>
          <w:spacing w:val="1"/>
        </w:rPr>
        <w:t> </w:t>
      </w:r>
      <w:r>
        <w:rPr/>
        <w:t>Effects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Mexico’s</w:t>
      </w:r>
      <w:r>
        <w:rPr>
          <w:spacing w:val="1"/>
        </w:rPr>
        <w:t> </w:t>
      </w:r>
      <w:r>
        <w:rPr/>
        <w:t>Seguro</w:t>
      </w:r>
      <w:r>
        <w:rPr>
          <w:spacing w:val="4"/>
        </w:rPr>
        <w:t> </w:t>
      </w:r>
      <w:r>
        <w:rPr/>
        <w:t>Popular</w:t>
      </w:r>
      <w:r>
        <w:rPr>
          <w:spacing w:val="1"/>
        </w:rPr>
        <w:t> </w:t>
      </w:r>
      <w:r>
        <w:rPr/>
        <w:t>Health</w:t>
      </w:r>
      <w:r>
        <w:rPr>
          <w:spacing w:val="3"/>
        </w:rPr>
        <w:t> </w:t>
      </w:r>
      <w:r>
        <w:rPr/>
        <w:t>Insurance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Infant</w:t>
      </w:r>
      <w:r>
        <w:rPr>
          <w:spacing w:val="3"/>
        </w:rPr>
        <w:t> </w:t>
      </w:r>
      <w:r>
        <w:rPr/>
        <w:t>Mortality:</w:t>
      </w:r>
      <w:r>
        <w:rPr>
          <w:spacing w:val="-57"/>
        </w:rPr>
        <w:t> </w:t>
      </w:r>
      <w:r>
        <w:rPr/>
        <w:t>An</w:t>
      </w:r>
      <w:r>
        <w:rPr>
          <w:spacing w:val="-1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Outcome</w:t>
      </w:r>
      <w:r>
        <w:rPr>
          <w:spacing w:val="-2"/>
        </w:rPr>
        <w:t> </w:t>
      </w:r>
      <w:r>
        <w:rPr/>
        <w:t>variable.</w:t>
      </w:r>
      <w:r>
        <w:rPr>
          <w:spacing w:val="3"/>
        </w:rPr>
        <w:t>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Development,</w:t>
      </w:r>
      <w:r>
        <w:rPr>
          <w:i/>
          <w:spacing w:val="1"/>
        </w:rPr>
        <w:t> </w:t>
      </w:r>
      <w:r>
        <w:rPr>
          <w:i/>
        </w:rPr>
        <w:t>59</w:t>
      </w:r>
      <w:r>
        <w:rPr/>
        <w:t>,</w:t>
      </w:r>
      <w:r>
        <w:rPr>
          <w:spacing w:val="-1"/>
        </w:rPr>
        <w:t> </w:t>
      </w:r>
      <w:r>
        <w:rPr/>
        <w:t>475-486</w:t>
      </w:r>
    </w:p>
    <w:p>
      <w:pPr>
        <w:pStyle w:val="BodyText"/>
        <w:spacing w:before="158"/>
        <w:ind w:left="840" w:hanging="720"/>
      </w:pPr>
      <w:r>
        <w:rPr/>
        <w:t>Pickett,</w:t>
      </w:r>
      <w:r>
        <w:rPr>
          <w:spacing w:val="31"/>
        </w:rPr>
        <w:t> </w:t>
      </w:r>
      <w:r>
        <w:rPr/>
        <w:t>K.E.,</w:t>
      </w:r>
      <w:r>
        <w:rPr>
          <w:spacing w:val="32"/>
        </w:rPr>
        <w:t> </w:t>
      </w:r>
      <w:r>
        <w:rPr/>
        <w:t>&amp;</w:t>
      </w:r>
      <w:r>
        <w:rPr>
          <w:spacing w:val="29"/>
        </w:rPr>
        <w:t> </w:t>
      </w:r>
      <w:r>
        <w:rPr/>
        <w:t>Wilkinson,</w:t>
      </w:r>
      <w:r>
        <w:rPr>
          <w:spacing w:val="32"/>
        </w:rPr>
        <w:t> </w:t>
      </w:r>
      <w:r>
        <w:rPr/>
        <w:t>R.G.</w:t>
      </w:r>
      <w:r>
        <w:rPr>
          <w:spacing w:val="30"/>
        </w:rPr>
        <w:t> </w:t>
      </w:r>
      <w:r>
        <w:rPr/>
        <w:t>(2014).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Ethical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Policy</w:t>
      </w:r>
      <w:r>
        <w:rPr>
          <w:spacing w:val="27"/>
        </w:rPr>
        <w:t> </w:t>
      </w:r>
      <w:r>
        <w:rPr/>
        <w:t>Implications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Research</w:t>
      </w:r>
      <w:r>
        <w:rPr>
          <w:spacing w:val="32"/>
        </w:rPr>
        <w:t> </w:t>
      </w:r>
      <w:r>
        <w:rPr/>
        <w:t>on</w:t>
      </w:r>
      <w:r>
        <w:rPr>
          <w:spacing w:val="-57"/>
        </w:rPr>
        <w:t> </w:t>
      </w:r>
      <w:r>
        <w:rPr/>
        <w:t>Income Inequality</w:t>
      </w:r>
      <w:r>
        <w:rPr>
          <w:spacing w:val="-3"/>
        </w:rPr>
        <w:t> </w:t>
      </w:r>
      <w:r>
        <w:rPr/>
        <w:t>and Child Well-being. </w:t>
      </w:r>
      <w:r>
        <w:rPr>
          <w:i/>
        </w:rPr>
        <w:t>Pediatrics. </w:t>
      </w:r>
      <w:r>
        <w:rPr/>
        <w:t>135</w:t>
      </w:r>
      <w:r>
        <w:rPr>
          <w:spacing w:val="-1"/>
        </w:rPr>
        <w:t> </w:t>
      </w:r>
      <w:r>
        <w:rPr/>
        <w:t>(2)</w:t>
      </w:r>
    </w:p>
    <w:p>
      <w:pPr>
        <w:spacing w:before="161"/>
        <w:ind w:left="840" w:right="113" w:hanging="720"/>
        <w:jc w:val="left"/>
        <w:rPr>
          <w:sz w:val="24"/>
        </w:rPr>
      </w:pPr>
      <w:r>
        <w:rPr>
          <w:sz w:val="24"/>
        </w:rPr>
        <w:t>Pickett,</w:t>
      </w:r>
      <w:r>
        <w:rPr>
          <w:spacing w:val="-2"/>
          <w:sz w:val="24"/>
        </w:rPr>
        <w:t> </w:t>
      </w:r>
      <w:r>
        <w:rPr>
          <w:sz w:val="24"/>
        </w:rPr>
        <w:t>K.E.,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Wilkinson,</w:t>
      </w:r>
      <w:r>
        <w:rPr>
          <w:spacing w:val="-2"/>
          <w:sz w:val="24"/>
        </w:rPr>
        <w:t> </w:t>
      </w:r>
      <w:r>
        <w:rPr>
          <w:sz w:val="24"/>
        </w:rPr>
        <w:t>R.G.</w:t>
      </w:r>
      <w:r>
        <w:rPr>
          <w:spacing w:val="-2"/>
          <w:sz w:val="24"/>
        </w:rPr>
        <w:t> </w:t>
      </w:r>
      <w:r>
        <w:rPr>
          <w:sz w:val="24"/>
        </w:rPr>
        <w:t>(2015). Income</w:t>
      </w:r>
      <w:r>
        <w:rPr>
          <w:spacing w:val="-1"/>
          <w:sz w:val="24"/>
        </w:rPr>
        <w:t> </w:t>
      </w:r>
      <w:r>
        <w:rPr>
          <w:sz w:val="24"/>
        </w:rPr>
        <w:t>Inequality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Health: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Causal</w:t>
      </w:r>
      <w:r>
        <w:rPr>
          <w:spacing w:val="-2"/>
          <w:sz w:val="24"/>
        </w:rPr>
        <w:t> </w:t>
      </w:r>
      <w:r>
        <w:rPr>
          <w:sz w:val="24"/>
        </w:rPr>
        <w:t>Review.</w:t>
      </w:r>
      <w:r>
        <w:rPr>
          <w:spacing w:val="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</w:t>
      </w:r>
      <w:r>
        <w:rPr>
          <w:i/>
          <w:sz w:val="24"/>
        </w:rPr>
        <w:t>128, </w:t>
      </w:r>
      <w:r>
        <w:rPr>
          <w:sz w:val="24"/>
        </w:rPr>
        <w:t>316-326</w:t>
      </w:r>
    </w:p>
    <w:p>
      <w:pPr>
        <w:spacing w:before="161"/>
        <w:ind w:left="840" w:right="119" w:hanging="720"/>
        <w:jc w:val="left"/>
        <w:rPr>
          <w:sz w:val="24"/>
        </w:rPr>
      </w:pPr>
      <w:r>
        <w:rPr>
          <w:sz w:val="24"/>
        </w:rPr>
        <w:t>Pindyck,</w:t>
      </w:r>
      <w:r>
        <w:rPr>
          <w:spacing w:val="-10"/>
          <w:sz w:val="24"/>
        </w:rPr>
        <w:t> </w:t>
      </w:r>
      <w:r>
        <w:rPr>
          <w:sz w:val="24"/>
        </w:rPr>
        <w:t>R.S.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Rubinfield,</w:t>
      </w:r>
      <w:r>
        <w:rPr>
          <w:spacing w:val="-9"/>
          <w:sz w:val="24"/>
        </w:rPr>
        <w:t> </w:t>
      </w:r>
      <w:r>
        <w:rPr>
          <w:sz w:val="24"/>
        </w:rPr>
        <w:t>D.L.</w:t>
      </w:r>
      <w:r>
        <w:rPr>
          <w:spacing w:val="-10"/>
          <w:sz w:val="24"/>
        </w:rPr>
        <w:t> </w:t>
      </w:r>
      <w:r>
        <w:rPr>
          <w:sz w:val="24"/>
        </w:rPr>
        <w:t>(1991).</w:t>
      </w:r>
      <w:r>
        <w:rPr>
          <w:spacing w:val="-9"/>
          <w:sz w:val="24"/>
        </w:rPr>
        <w:t> </w:t>
      </w:r>
      <w:r>
        <w:rPr>
          <w:i/>
          <w:sz w:val="24"/>
        </w:rPr>
        <w:t>Econometric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Models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Forecasts,</w:t>
      </w:r>
      <w:r>
        <w:rPr>
          <w:i/>
          <w:spacing w:val="-7"/>
          <w:sz w:val="24"/>
        </w:rPr>
        <w:t> </w:t>
      </w:r>
      <w:r>
        <w:rPr>
          <w:sz w:val="24"/>
        </w:rPr>
        <w:t>(3</w:t>
      </w:r>
      <w:r>
        <w:rPr>
          <w:sz w:val="24"/>
          <w:vertAlign w:val="superscript"/>
        </w:rPr>
        <w:t>rd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Ed.),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McGraw-Hill,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New York, p 303-305</w:t>
      </w:r>
    </w:p>
    <w:p>
      <w:pPr>
        <w:pStyle w:val="BodyText"/>
        <w:spacing w:before="159"/>
        <w:ind w:left="840" w:hanging="720"/>
      </w:pPr>
      <w:r>
        <w:rPr/>
        <w:t>Preston,</w:t>
      </w:r>
      <w:r>
        <w:rPr>
          <w:spacing w:val="5"/>
        </w:rPr>
        <w:t> </w:t>
      </w:r>
      <w:r>
        <w:rPr/>
        <w:t>S.</w:t>
      </w:r>
      <w:r>
        <w:rPr>
          <w:spacing w:val="4"/>
        </w:rPr>
        <w:t> </w:t>
      </w:r>
      <w:r>
        <w:rPr/>
        <w:t>H.,</w:t>
      </w:r>
      <w:r>
        <w:rPr>
          <w:spacing w:val="4"/>
        </w:rPr>
        <w:t> </w:t>
      </w:r>
      <w:r>
        <w:rPr/>
        <w:t>(1975).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Changing</w:t>
      </w:r>
      <w:r>
        <w:rPr>
          <w:spacing w:val="2"/>
        </w:rPr>
        <w:t> </w:t>
      </w:r>
      <w:r>
        <w:rPr/>
        <w:t>Relation</w:t>
      </w:r>
      <w:r>
        <w:rPr>
          <w:spacing w:val="4"/>
        </w:rPr>
        <w:t> </w:t>
      </w:r>
      <w:r>
        <w:rPr/>
        <w:t>between</w:t>
      </w:r>
      <w:r>
        <w:rPr>
          <w:spacing w:val="4"/>
        </w:rPr>
        <w:t> </w:t>
      </w:r>
      <w:r>
        <w:rPr/>
        <w:t>Mortality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Level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Development,</w:t>
      </w:r>
      <w:r>
        <w:rPr>
          <w:spacing w:val="28"/>
        </w:rPr>
        <w:t> </w:t>
      </w:r>
      <w:r>
        <w:rPr>
          <w:i/>
        </w:rPr>
        <w:t>Population Studies, 29, </w:t>
      </w:r>
      <w:r>
        <w:rPr/>
        <w:t>231-248</w:t>
      </w:r>
    </w:p>
    <w:p>
      <w:pPr>
        <w:spacing w:before="161"/>
        <w:ind w:left="840" w:right="0" w:hanging="720"/>
        <w:jc w:val="left"/>
        <w:rPr>
          <w:sz w:val="24"/>
        </w:rPr>
      </w:pPr>
      <w:r>
        <w:rPr>
          <w:sz w:val="24"/>
        </w:rPr>
        <w:t>Pulok,</w:t>
      </w:r>
      <w:r>
        <w:rPr>
          <w:spacing w:val="28"/>
          <w:sz w:val="24"/>
        </w:rPr>
        <w:t> </w:t>
      </w:r>
      <w:r>
        <w:rPr>
          <w:sz w:val="24"/>
        </w:rPr>
        <w:t>M.</w:t>
      </w:r>
      <w:r>
        <w:rPr>
          <w:spacing w:val="27"/>
          <w:sz w:val="24"/>
        </w:rPr>
        <w:t> </w:t>
      </w:r>
      <w:r>
        <w:rPr>
          <w:sz w:val="24"/>
        </w:rPr>
        <w:t>(2012).</w:t>
      </w:r>
      <w:r>
        <w:rPr>
          <w:spacing w:val="27"/>
          <w:sz w:val="24"/>
        </w:rPr>
        <w:t> </w:t>
      </w:r>
      <w:r>
        <w:rPr>
          <w:i/>
          <w:sz w:val="24"/>
        </w:rPr>
        <w:t>Revisiting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Relationship: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Evidence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Countries,</w:t>
      </w:r>
      <w:r>
        <w:rPr>
          <w:i/>
          <w:spacing w:val="1"/>
          <w:sz w:val="24"/>
        </w:rPr>
        <w:t> </w:t>
      </w:r>
      <w:r>
        <w:rPr>
          <w:sz w:val="24"/>
        </w:rPr>
        <w:t>Murich Personal AEPEC Achieve</w:t>
      </w:r>
      <w:r>
        <w:rPr>
          <w:spacing w:val="-3"/>
          <w:sz w:val="24"/>
        </w:rPr>
        <w:t> </w:t>
      </w:r>
      <w:r>
        <w:rPr>
          <w:sz w:val="24"/>
        </w:rPr>
        <w:t>No 39766</w:t>
      </w:r>
    </w:p>
    <w:p>
      <w:pPr>
        <w:pStyle w:val="BodyText"/>
        <w:spacing w:line="276" w:lineRule="auto" w:before="163"/>
        <w:ind w:left="840" w:right="121" w:hanging="720"/>
        <w:rPr>
          <w:i/>
        </w:rPr>
      </w:pPr>
      <w:r>
        <w:rPr/>
        <w:t>Qin,</w:t>
      </w:r>
      <w:r>
        <w:rPr>
          <w:spacing w:val="22"/>
        </w:rPr>
        <w:t> </w:t>
      </w:r>
      <w:r>
        <w:rPr/>
        <w:t>V.M.,</w:t>
      </w:r>
      <w:r>
        <w:rPr>
          <w:spacing w:val="22"/>
        </w:rPr>
        <w:t> </w:t>
      </w:r>
      <w:r>
        <w:rPr/>
        <w:t>Hone,</w:t>
      </w:r>
      <w:r>
        <w:rPr>
          <w:spacing w:val="23"/>
        </w:rPr>
        <w:t> </w:t>
      </w:r>
      <w:r>
        <w:rPr/>
        <w:t>T.,</w:t>
      </w:r>
      <w:r>
        <w:rPr>
          <w:spacing w:val="22"/>
        </w:rPr>
        <w:t> </w:t>
      </w:r>
      <w:r>
        <w:rPr/>
        <w:t>&amp;</w:t>
      </w:r>
      <w:r>
        <w:rPr>
          <w:spacing w:val="24"/>
        </w:rPr>
        <w:t> </w:t>
      </w:r>
      <w:r>
        <w:rPr/>
        <w:t>Lee,</w:t>
      </w:r>
      <w:r>
        <w:rPr>
          <w:spacing w:val="22"/>
        </w:rPr>
        <w:t> </w:t>
      </w:r>
      <w:r>
        <w:rPr/>
        <w:t>J.T.</w:t>
      </w:r>
      <w:r>
        <w:rPr>
          <w:spacing w:val="23"/>
        </w:rPr>
        <w:t> </w:t>
      </w:r>
      <w:r>
        <w:rPr/>
        <w:t>(2019).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Impact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User</w:t>
      </w:r>
      <w:r>
        <w:rPr>
          <w:spacing w:val="22"/>
        </w:rPr>
        <w:t> </w:t>
      </w:r>
      <w:r>
        <w:rPr/>
        <w:t>Charges</w:t>
      </w:r>
      <w:r>
        <w:rPr>
          <w:spacing w:val="23"/>
        </w:rPr>
        <w:t> </w:t>
      </w:r>
      <w:r>
        <w:rPr/>
        <w:t>on</w:t>
      </w:r>
      <w:r>
        <w:rPr>
          <w:spacing w:val="24"/>
        </w:rPr>
        <w:t> </w:t>
      </w:r>
      <w:r>
        <w:rPr/>
        <w:t>Health</w:t>
      </w:r>
      <w:r>
        <w:rPr>
          <w:spacing w:val="22"/>
        </w:rPr>
        <w:t> </w:t>
      </w:r>
      <w:r>
        <w:rPr/>
        <w:t>Outcomes</w:t>
      </w:r>
      <w:r>
        <w:rPr>
          <w:spacing w:val="22"/>
        </w:rPr>
        <w:t> </w:t>
      </w:r>
      <w:r>
        <w:rPr/>
        <w:t>in</w:t>
      </w:r>
      <w:r>
        <w:rPr>
          <w:spacing w:val="-57"/>
        </w:rPr>
        <w:t> </w:t>
      </w:r>
      <w:r>
        <w:rPr/>
        <w:t>Low-Income and</w:t>
      </w:r>
      <w:r>
        <w:rPr>
          <w:spacing w:val="-1"/>
        </w:rPr>
        <w:t> </w:t>
      </w:r>
      <w:r>
        <w:rPr/>
        <w:t>Middle-Income</w:t>
      </w:r>
      <w:r>
        <w:rPr>
          <w:spacing w:val="-1"/>
        </w:rPr>
        <w:t> </w:t>
      </w:r>
      <w:r>
        <w:rPr/>
        <w:t>Countries:</w:t>
      </w:r>
      <w:r>
        <w:rPr>
          <w:spacing w:val="-1"/>
        </w:rPr>
        <w:t> </w:t>
      </w:r>
      <w:r>
        <w:rPr/>
        <w:t>A Systemic</w:t>
      </w:r>
      <w:r>
        <w:rPr>
          <w:spacing w:val="-1"/>
        </w:rPr>
        <w:t> </w:t>
      </w:r>
      <w:r>
        <w:rPr/>
        <w:t>Review.</w:t>
      </w:r>
      <w:r>
        <w:rPr>
          <w:spacing w:val="-1"/>
        </w:rPr>
        <w:t> </w:t>
      </w:r>
      <w:r>
        <w:rPr>
          <w:i/>
        </w:rPr>
        <w:t>BMJ Global Health.</w:t>
      </w:r>
    </w:p>
    <w:p>
      <w:pPr>
        <w:pStyle w:val="BodyText"/>
        <w:spacing w:line="272" w:lineRule="exact"/>
        <w:ind w:left="840"/>
      </w:pPr>
      <w:r>
        <w:rPr/>
        <w:t>2019;3:</w:t>
      </w:r>
      <w:r>
        <w:rPr>
          <w:spacing w:val="-2"/>
        </w:rPr>
        <w:t> </w:t>
      </w:r>
      <w:r>
        <w:rPr/>
        <w:t>e001087.</w:t>
      </w:r>
      <w:r>
        <w:rPr>
          <w:spacing w:val="-1"/>
        </w:rPr>
        <w:t> </w:t>
      </w:r>
      <w:r>
        <w:rPr>
          <w:color w:val="0462C1"/>
          <w:u w:val="single" w:color="0462C1"/>
        </w:rPr>
        <w:t>http://doi:10.1136/bmjgh-2018-001087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840" w:right="115" w:hanging="720"/>
        <w:jc w:val="both"/>
        <w:rPr>
          <w:sz w:val="24"/>
        </w:rPr>
      </w:pPr>
      <w:r>
        <w:rPr>
          <w:sz w:val="24"/>
        </w:rPr>
        <w:t>Rajaram,</w:t>
      </w:r>
      <w:r>
        <w:rPr>
          <w:spacing w:val="-8"/>
          <w:sz w:val="24"/>
        </w:rPr>
        <w:t> </w:t>
      </w:r>
      <w:r>
        <w:rPr>
          <w:sz w:val="24"/>
        </w:rPr>
        <w:t>K.</w:t>
      </w:r>
      <w:r>
        <w:rPr>
          <w:spacing w:val="-9"/>
          <w:sz w:val="24"/>
        </w:rPr>
        <w:t> </w:t>
      </w:r>
      <w:r>
        <w:rPr>
          <w:sz w:val="24"/>
        </w:rPr>
        <w:t>(2009).</w:t>
      </w:r>
      <w:r>
        <w:rPr>
          <w:spacing w:val="-9"/>
          <w:sz w:val="24"/>
        </w:rPr>
        <w:t> </w:t>
      </w:r>
      <w:r>
        <w:rPr>
          <w:sz w:val="24"/>
        </w:rPr>
        <w:t>Female-Headed</w:t>
      </w:r>
      <w:r>
        <w:rPr>
          <w:spacing w:val="-7"/>
          <w:sz w:val="24"/>
        </w:rPr>
        <w:t> </w:t>
      </w:r>
      <w:r>
        <w:rPr>
          <w:sz w:val="24"/>
        </w:rPr>
        <w:t>Households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Poverty:</w:t>
      </w:r>
      <w:r>
        <w:rPr>
          <w:spacing w:val="-8"/>
          <w:sz w:val="24"/>
        </w:rPr>
        <w:t> </w:t>
      </w:r>
      <w:r>
        <w:rPr>
          <w:sz w:val="24"/>
        </w:rPr>
        <w:t>Evidence</w:t>
      </w:r>
      <w:r>
        <w:rPr>
          <w:spacing w:val="-9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National</w:t>
      </w:r>
      <w:r>
        <w:rPr>
          <w:spacing w:val="-8"/>
          <w:sz w:val="24"/>
        </w:rPr>
        <w:t> </w:t>
      </w:r>
      <w:r>
        <w:rPr>
          <w:sz w:val="24"/>
        </w:rPr>
        <w:t>Family</w:t>
      </w:r>
      <w:r>
        <w:rPr>
          <w:spacing w:val="-58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Survey.</w:t>
      </w:r>
      <w:r>
        <w:rPr>
          <w:spacing w:val="-1"/>
          <w:sz w:val="24"/>
        </w:rPr>
        <w:t> </w:t>
      </w:r>
      <w:r>
        <w:rPr>
          <w:i/>
          <w:sz w:val="24"/>
        </w:rPr>
        <w:t>South-East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207-225</w:t>
      </w:r>
    </w:p>
    <w:p>
      <w:pPr>
        <w:spacing w:before="161"/>
        <w:ind w:left="840" w:right="120" w:hanging="720"/>
        <w:jc w:val="both"/>
        <w:rPr>
          <w:sz w:val="24"/>
        </w:rPr>
      </w:pPr>
      <w:r>
        <w:rPr>
          <w:sz w:val="24"/>
        </w:rPr>
        <w:t>Raheem, W.M., Oyeleye, O.I., Adeniji, M.A., &amp; Aladekoyi, O.C. (2014). Regional Imbalances</w:t>
      </w:r>
      <w:r>
        <w:rPr>
          <w:spacing w:val="1"/>
          <w:sz w:val="24"/>
        </w:rPr>
        <w:t> </w:t>
      </w:r>
      <w:r>
        <w:rPr>
          <w:sz w:val="24"/>
        </w:rPr>
        <w:t>and Inequalities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Humanities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 </w:t>
      </w:r>
      <w:r>
        <w:rPr>
          <w:sz w:val="24"/>
        </w:rPr>
        <w:t>(18),</w:t>
      </w:r>
      <w:r>
        <w:rPr>
          <w:spacing w:val="-1"/>
          <w:sz w:val="24"/>
        </w:rPr>
        <w:t> </w:t>
      </w:r>
      <w:r>
        <w:rPr>
          <w:sz w:val="24"/>
        </w:rPr>
        <w:t>163-174</w:t>
      </w:r>
    </w:p>
    <w:p>
      <w:pPr>
        <w:spacing w:before="159"/>
        <w:ind w:left="840" w:right="118" w:hanging="720"/>
        <w:jc w:val="both"/>
        <w:rPr>
          <w:sz w:val="24"/>
        </w:rPr>
      </w:pPr>
      <w:r>
        <w:rPr>
          <w:sz w:val="24"/>
        </w:rPr>
        <w:t>Rajan, R.G. (2015). </w:t>
      </w:r>
      <w:r>
        <w:rPr>
          <w:i/>
          <w:sz w:val="24"/>
        </w:rPr>
        <w:t>Democracy, Inclusion and Prosperity: Speech at the D. D. Kosambi, </w:t>
      </w:r>
      <w:r>
        <w:rPr>
          <w:sz w:val="24"/>
        </w:rPr>
        <w:t>Ideas</w:t>
      </w:r>
      <w:r>
        <w:rPr>
          <w:spacing w:val="1"/>
          <w:sz w:val="24"/>
        </w:rPr>
        <w:t> </w:t>
      </w:r>
      <w:r>
        <w:rPr>
          <w:sz w:val="24"/>
        </w:rPr>
        <w:t>Festival</w:t>
      </w:r>
      <w:r>
        <w:rPr>
          <w:spacing w:val="-1"/>
          <w:sz w:val="24"/>
        </w:rPr>
        <w:t> </w:t>
      </w:r>
      <w:r>
        <w:rPr>
          <w:sz w:val="24"/>
        </w:rPr>
        <w:t>Goa,</w:t>
      </w:r>
      <w:r>
        <w:rPr>
          <w:spacing w:val="4"/>
          <w:sz w:val="24"/>
        </w:rPr>
        <w:t> </w:t>
      </w:r>
      <w:r>
        <w:rPr>
          <w:sz w:val="24"/>
        </w:rPr>
        <w:t>India, Feb.,</w:t>
      </w:r>
      <w:r>
        <w:rPr>
          <w:spacing w:val="1"/>
          <w:sz w:val="24"/>
        </w:rPr>
        <w:t> </w:t>
      </w:r>
      <w:r>
        <w:rPr>
          <w:sz w:val="24"/>
        </w:rPr>
        <w:t>20, 2015.</w:t>
      </w:r>
    </w:p>
    <w:p>
      <w:pPr>
        <w:spacing w:line="276" w:lineRule="auto" w:before="163"/>
        <w:ind w:left="840" w:right="118" w:hanging="720"/>
        <w:jc w:val="both"/>
        <w:rPr>
          <w:sz w:val="22"/>
        </w:rPr>
      </w:pPr>
      <w:r>
        <w:rPr>
          <w:sz w:val="24"/>
        </w:rPr>
        <w:t>Rathi, A. &amp;. Meena, G.S. (2018). Demand and Supply-side Factors Affecting Utilization of</w:t>
      </w:r>
      <w:r>
        <w:rPr>
          <w:spacing w:val="1"/>
          <w:sz w:val="24"/>
        </w:rPr>
        <w:t> </w:t>
      </w:r>
      <w:r>
        <w:rPr>
          <w:sz w:val="24"/>
        </w:rPr>
        <w:t>Immunization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Village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Delhi.</w:t>
      </w:r>
      <w:r>
        <w:rPr>
          <w:spacing w:val="1"/>
          <w:sz w:val="24"/>
        </w:rPr>
        <w:t> </w:t>
      </w:r>
      <w:r>
        <w:rPr>
          <w:color w:val="0462C1"/>
          <w:sz w:val="22"/>
          <w:u w:val="single" w:color="0462C1"/>
        </w:rPr>
        <w:t>http://doi:10.4172/2379-1764.1000206</w:t>
      </w:r>
    </w:p>
    <w:p>
      <w:pPr>
        <w:spacing w:before="181"/>
        <w:ind w:left="840" w:right="117" w:hanging="720"/>
        <w:jc w:val="both"/>
        <w:rPr>
          <w:sz w:val="24"/>
        </w:rPr>
      </w:pPr>
      <w:r>
        <w:rPr>
          <w:sz w:val="24"/>
        </w:rPr>
        <w:t>Rebeira, M., Grootendorst, P.C., Coyte, C., &amp; Aguirregabiria, V. (2017). </w:t>
      </w:r>
      <w:r>
        <w:rPr>
          <w:i/>
          <w:sz w:val="24"/>
        </w:rPr>
        <w:t>Does Rising Income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Inequality affect Mortality Rates in Advanced Economies? </w:t>
      </w:r>
      <w:r>
        <w:rPr>
          <w:sz w:val="24"/>
        </w:rPr>
        <w:t>Economics Discussion Papers,</w:t>
      </w:r>
      <w:r>
        <w:rPr>
          <w:spacing w:val="-57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2017-12.</w:t>
      </w:r>
    </w:p>
    <w:p>
      <w:pPr>
        <w:spacing w:line="430" w:lineRule="atLeast" w:before="8"/>
        <w:ind w:left="120" w:right="117" w:firstLine="0"/>
        <w:jc w:val="both"/>
        <w:rPr>
          <w:sz w:val="24"/>
        </w:rPr>
      </w:pPr>
      <w:r>
        <w:rPr>
          <w:sz w:val="24"/>
        </w:rPr>
        <w:t>Renne, E.P. (2010). </w:t>
      </w:r>
      <w:r>
        <w:rPr>
          <w:i/>
          <w:sz w:val="24"/>
        </w:rPr>
        <w:t>The Politics of Polio in Northern Nigeria. </w:t>
      </w:r>
      <w:r>
        <w:rPr>
          <w:sz w:val="24"/>
        </w:rPr>
        <w:t>India: Indiana University Press.</w:t>
      </w:r>
      <w:r>
        <w:rPr>
          <w:spacing w:val="1"/>
          <w:sz w:val="24"/>
        </w:rPr>
        <w:t> </w:t>
      </w:r>
      <w:r>
        <w:rPr>
          <w:sz w:val="24"/>
        </w:rPr>
        <w:t>Ribeiro,</w:t>
      </w:r>
      <w:r>
        <w:rPr>
          <w:spacing w:val="-2"/>
          <w:sz w:val="24"/>
        </w:rPr>
        <w:t> </w:t>
      </w:r>
      <w:r>
        <w:rPr>
          <w:sz w:val="24"/>
        </w:rPr>
        <w:t>M.R.</w:t>
      </w:r>
      <w:r>
        <w:rPr>
          <w:spacing w:val="-2"/>
          <w:sz w:val="24"/>
        </w:rPr>
        <w:t> </w:t>
      </w:r>
      <w:r>
        <w:rPr>
          <w:sz w:val="24"/>
        </w:rPr>
        <w:t>(2018).</w:t>
      </w:r>
      <w:r>
        <w:rPr>
          <w:spacing w:val="-2"/>
          <w:sz w:val="24"/>
        </w:rPr>
        <w:t> </w:t>
      </w:r>
      <w:r>
        <w:rPr>
          <w:sz w:val="24"/>
        </w:rPr>
        <w:t>Drinking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Rural</w:t>
      </w:r>
      <w:r>
        <w:rPr>
          <w:spacing w:val="-2"/>
          <w:sz w:val="24"/>
        </w:rPr>
        <w:t> </w:t>
      </w:r>
      <w:r>
        <w:rPr>
          <w:sz w:val="24"/>
        </w:rPr>
        <w:t>Schools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Western</w:t>
      </w:r>
      <w:r>
        <w:rPr>
          <w:spacing w:val="-2"/>
          <w:sz w:val="24"/>
        </w:rPr>
        <w:t> </w:t>
      </w:r>
      <w:r>
        <w:rPr>
          <w:sz w:val="24"/>
        </w:rPr>
        <w:t>Amazon: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Environmental</w:t>
      </w:r>
    </w:p>
    <w:p>
      <w:pPr>
        <w:spacing w:before="4"/>
        <w:ind w:left="840" w:right="0" w:firstLine="0"/>
        <w:jc w:val="both"/>
        <w:rPr>
          <w:sz w:val="24"/>
        </w:rPr>
      </w:pPr>
      <w:r>
        <w:rPr>
          <w:sz w:val="24"/>
        </w:rPr>
        <w:t>Intervention</w:t>
      </w:r>
      <w:r>
        <w:rPr>
          <w:spacing w:val="-2"/>
          <w:sz w:val="24"/>
        </w:rPr>
        <w:t> </w:t>
      </w:r>
      <w:r>
        <w:rPr>
          <w:sz w:val="24"/>
        </w:rPr>
        <w:t>Study.</w:t>
      </w:r>
      <w:r>
        <w:rPr>
          <w:spacing w:val="-1"/>
          <w:sz w:val="24"/>
        </w:rPr>
        <w:t> </w:t>
      </w:r>
      <w:r>
        <w:rPr>
          <w:i/>
          <w:sz w:val="24"/>
        </w:rPr>
        <w:t>Peer Journal,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6,</w:t>
      </w:r>
      <w:r>
        <w:rPr>
          <w:i/>
          <w:spacing w:val="-1"/>
          <w:sz w:val="24"/>
        </w:rPr>
        <w:t> </w:t>
      </w:r>
      <w:r>
        <w:rPr>
          <w:sz w:val="24"/>
        </w:rPr>
        <w:t>26-75</w:t>
      </w:r>
    </w:p>
    <w:p>
      <w:pPr>
        <w:pStyle w:val="BodyText"/>
        <w:spacing w:before="161"/>
        <w:ind w:left="840" w:right="116" w:hanging="720"/>
        <w:jc w:val="both"/>
      </w:pPr>
      <w:r>
        <w:rPr/>
        <w:t>Rodgers, G.B. (1979). Income and Inequality as Determinants of Mortality: An International</w:t>
      </w:r>
      <w:r>
        <w:rPr>
          <w:spacing w:val="1"/>
        </w:rPr>
        <w:t> </w:t>
      </w:r>
      <w:r>
        <w:rPr/>
        <w:t>Cross-section</w:t>
      </w:r>
      <w:r>
        <w:rPr>
          <w:spacing w:val="15"/>
        </w:rPr>
        <w:t> </w:t>
      </w:r>
      <w:r>
        <w:rPr/>
        <w:t>Analysis. </w:t>
      </w:r>
      <w:r>
        <w:rPr>
          <w:i/>
        </w:rPr>
        <w:t>Population Studies</w:t>
      </w:r>
      <w:r>
        <w:rPr/>
        <w:t>, </w:t>
      </w:r>
      <w:r>
        <w:rPr>
          <w:i/>
        </w:rPr>
        <w:t>33, </w:t>
      </w:r>
      <w:r>
        <w:rPr/>
        <w:t>343–351</w:t>
      </w:r>
    </w:p>
    <w:p>
      <w:pPr>
        <w:pStyle w:val="BodyText"/>
        <w:spacing w:line="276" w:lineRule="auto" w:before="163"/>
        <w:ind w:left="840" w:right="116" w:hanging="720"/>
        <w:jc w:val="both"/>
      </w:pPr>
      <w:r>
        <w:rPr/>
        <w:t>Rochelle, T.L. (2019). Health and Health-Seeking Behavior among Chinese Men in Hong-Kong: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of Culture.</w:t>
      </w:r>
      <w:r>
        <w:rPr>
          <w:spacing w:val="3"/>
        </w:rPr>
        <w:t> </w:t>
      </w:r>
      <w:r>
        <w:rPr>
          <w:i/>
        </w:rPr>
        <w:t>Psychology</w:t>
      </w:r>
      <w:r>
        <w:rPr>
          <w:i/>
          <w:spacing w:val="-1"/>
        </w:rPr>
        <w:t> </w:t>
      </w:r>
      <w:r>
        <w:rPr>
          <w:i/>
        </w:rPr>
        <w:t>of Men, 20</w:t>
      </w:r>
      <w:r>
        <w:rPr>
          <w:i/>
          <w:spacing w:val="2"/>
        </w:rPr>
        <w:t> </w:t>
      </w:r>
      <w:r>
        <w:rPr/>
        <w:t>(1), 71-78</w:t>
      </w:r>
    </w:p>
    <w:p>
      <w:pPr>
        <w:spacing w:after="0" w:line="276" w:lineRule="auto"/>
        <w:jc w:val="both"/>
        <w:sectPr>
          <w:pgSz w:w="12240" w:h="15840"/>
          <w:pgMar w:header="0" w:footer="935" w:top="1360" w:bottom="1200" w:left="1320" w:right="1320"/>
        </w:sectPr>
      </w:pPr>
    </w:p>
    <w:p>
      <w:pPr>
        <w:spacing w:before="72"/>
        <w:ind w:left="120" w:right="0" w:firstLine="0"/>
        <w:jc w:val="left"/>
        <w:rPr>
          <w:sz w:val="24"/>
        </w:rPr>
      </w:pPr>
      <w:r>
        <w:rPr>
          <w:sz w:val="24"/>
        </w:rPr>
        <w:t>Rohac,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(2012). </w:t>
      </w:r>
      <w:r>
        <w:rPr>
          <w:i/>
          <w:sz w:val="24"/>
        </w:rPr>
        <w:t>Does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matter?</w:t>
      </w:r>
      <w:r>
        <w:rPr>
          <w:i/>
          <w:spacing w:val="-1"/>
          <w:sz w:val="24"/>
        </w:rPr>
        <w:t> </w:t>
      </w:r>
      <w:r>
        <w:rPr>
          <w:sz w:val="24"/>
        </w:rPr>
        <w:t>Briefing</w:t>
      </w:r>
      <w:r>
        <w:rPr>
          <w:spacing w:val="-4"/>
          <w:sz w:val="24"/>
        </w:rPr>
        <w:t> </w:t>
      </w:r>
      <w:r>
        <w:rPr>
          <w:sz w:val="24"/>
        </w:rPr>
        <w:t>Paper,</w:t>
      </w:r>
      <w:r>
        <w:rPr>
          <w:spacing w:val="-1"/>
          <w:sz w:val="24"/>
        </w:rPr>
        <w:t> </w:t>
      </w:r>
      <w:r>
        <w:rPr>
          <w:sz w:val="24"/>
        </w:rPr>
        <w:t>Adam</w:t>
      </w:r>
      <w:r>
        <w:rPr>
          <w:spacing w:val="-2"/>
          <w:sz w:val="24"/>
        </w:rPr>
        <w:t> </w:t>
      </w:r>
      <w:r>
        <w:rPr>
          <w:sz w:val="24"/>
        </w:rPr>
        <w:t>Smith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</w:p>
    <w:p>
      <w:pPr>
        <w:pStyle w:val="BodyText"/>
        <w:spacing w:before="161"/>
        <w:ind w:left="840" w:right="115" w:hanging="720"/>
        <w:jc w:val="both"/>
      </w:pPr>
      <w:r>
        <w:rPr/>
        <w:t>Roos,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Burstrom,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Lahelma,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A Comparative Study of the Patterning of</w:t>
      </w:r>
      <w:r>
        <w:rPr>
          <w:spacing w:val="1"/>
        </w:rPr>
        <w:t> </w:t>
      </w:r>
      <w:r>
        <w:rPr>
          <w:spacing w:val="-1"/>
        </w:rPr>
        <w:t>Women’s</w:t>
      </w:r>
      <w:r>
        <w:rPr>
          <w:spacing w:val="-15"/>
        </w:rPr>
        <w:t> </w:t>
      </w:r>
      <w:r>
        <w:rPr>
          <w:spacing w:val="-1"/>
        </w:rPr>
        <w:t>Health</w:t>
      </w:r>
      <w:r>
        <w:rPr>
          <w:spacing w:val="-15"/>
        </w:rPr>
        <w:t> </w:t>
      </w:r>
      <w:r>
        <w:rPr/>
        <w:t>by</w:t>
      </w:r>
      <w:r>
        <w:rPr>
          <w:spacing w:val="-17"/>
        </w:rPr>
        <w:t> </w:t>
      </w:r>
      <w:r>
        <w:rPr/>
        <w:t>Family</w:t>
      </w:r>
      <w:r>
        <w:rPr>
          <w:spacing w:val="-20"/>
        </w:rPr>
        <w:t> </w:t>
      </w:r>
      <w:r>
        <w:rPr/>
        <w:t>and</w:t>
      </w:r>
      <w:r>
        <w:rPr>
          <w:spacing w:val="-13"/>
        </w:rPr>
        <w:t> </w:t>
      </w:r>
      <w:r>
        <w:rPr/>
        <w:t>Employment</w:t>
      </w:r>
      <w:r>
        <w:rPr>
          <w:spacing w:val="-14"/>
        </w:rPr>
        <w:t> </w:t>
      </w:r>
      <w:r>
        <w:rPr/>
        <w:t>Status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Finland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Sweden.</w:t>
      </w:r>
      <w:r>
        <w:rPr>
          <w:spacing w:val="-6"/>
        </w:rPr>
        <w:t> </w:t>
      </w:r>
      <w:r>
        <w:rPr>
          <w:i/>
        </w:rPr>
        <w:t>Social</w:t>
      </w:r>
      <w:r>
        <w:rPr>
          <w:i/>
          <w:spacing w:val="-14"/>
        </w:rPr>
        <w:t> </w:t>
      </w:r>
      <w:r>
        <w:rPr>
          <w:i/>
        </w:rPr>
        <w:t>Science</w:t>
      </w:r>
      <w:r>
        <w:rPr>
          <w:i/>
          <w:spacing w:val="-57"/>
        </w:rPr>
        <w:t> </w:t>
      </w:r>
      <w:r>
        <w:rPr>
          <w:i/>
        </w:rPr>
        <w:t>and Medicine,</w:t>
      </w:r>
      <w:r>
        <w:rPr>
          <w:i/>
          <w:spacing w:val="-1"/>
        </w:rPr>
        <w:t> </w:t>
      </w:r>
      <w:r>
        <w:rPr>
          <w:i/>
        </w:rPr>
        <w:t>60</w:t>
      </w:r>
      <w:r>
        <w:rPr/>
        <w:t>, (24),</w:t>
      </w:r>
      <w:r>
        <w:rPr>
          <w:spacing w:val="-1"/>
        </w:rPr>
        <w:t> </w:t>
      </w:r>
      <w:r>
        <w:rPr/>
        <w:t>43-51</w:t>
      </w:r>
    </w:p>
    <w:p>
      <w:pPr>
        <w:pStyle w:val="BodyText"/>
        <w:spacing w:before="158"/>
        <w:ind w:left="840" w:right="117" w:hanging="720"/>
        <w:jc w:val="both"/>
      </w:pPr>
      <w:r>
        <w:rPr/>
        <w:t>Rosewell,</w:t>
      </w:r>
      <w:r>
        <w:rPr>
          <w:spacing w:val="-5"/>
        </w:rPr>
        <w:t> </w:t>
      </w:r>
      <w:r>
        <w:rPr/>
        <w:t>A.</w:t>
      </w:r>
      <w:r>
        <w:rPr>
          <w:spacing w:val="-4"/>
        </w:rPr>
        <w:t> </w:t>
      </w:r>
      <w:r>
        <w:rPr/>
        <w:t>(2017).</w:t>
      </w:r>
      <w:r>
        <w:rPr>
          <w:spacing w:val="-5"/>
        </w:rPr>
        <w:t> </w:t>
      </w:r>
      <w:r>
        <w:rPr/>
        <w:t>Health</w:t>
      </w:r>
      <w:r>
        <w:rPr>
          <w:spacing w:val="-2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System</w:t>
      </w:r>
      <w:r>
        <w:rPr>
          <w:spacing w:val="-5"/>
        </w:rPr>
        <w:t> </w:t>
      </w:r>
      <w:r>
        <w:rPr/>
        <w:t>Strengthening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Malaria</w:t>
      </w:r>
      <w:r>
        <w:rPr>
          <w:spacing w:val="-4"/>
        </w:rPr>
        <w:t> </w:t>
      </w:r>
      <w:r>
        <w:rPr/>
        <w:t>Elimination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Papua</w:t>
      </w:r>
      <w:r>
        <w:rPr>
          <w:spacing w:val="-58"/>
        </w:rPr>
        <w:t> </w:t>
      </w:r>
      <w:r>
        <w:rPr/>
        <w:t>New</w:t>
      </w:r>
      <w:r>
        <w:rPr>
          <w:spacing w:val="-1"/>
        </w:rPr>
        <w:t> </w:t>
      </w:r>
      <w:r>
        <w:rPr/>
        <w:t>Guinea. </w:t>
      </w:r>
      <w:r>
        <w:rPr>
          <w:i/>
        </w:rPr>
        <w:t>Malaria Journal</w:t>
      </w:r>
      <w:r>
        <w:rPr/>
        <w:t>, </w:t>
      </w:r>
      <w:r>
        <w:rPr>
          <w:i/>
        </w:rPr>
        <w:t>16, </w:t>
      </w:r>
      <w:r>
        <w:rPr/>
        <w:t>11-18</w:t>
      </w:r>
    </w:p>
    <w:p>
      <w:pPr>
        <w:pStyle w:val="BodyText"/>
        <w:spacing w:before="161"/>
        <w:ind w:left="840" w:right="125" w:hanging="720"/>
        <w:jc w:val="both"/>
      </w:pPr>
      <w:r>
        <w:rPr/>
        <w:t>Rozer, J.J. &amp;Volker, B. (2015). Does Income Inequality have lasting Effects on Health and</w:t>
      </w:r>
      <w:r>
        <w:rPr>
          <w:spacing w:val="1"/>
        </w:rPr>
        <w:t> </w:t>
      </w:r>
      <w:r>
        <w:rPr/>
        <w:t>Trust?.</w:t>
      </w:r>
      <w:r>
        <w:rPr>
          <w:spacing w:val="-1"/>
        </w:rPr>
        <w:t> </w:t>
      </w:r>
      <w:r>
        <w:rPr>
          <w:i/>
        </w:rPr>
        <w:t>Social and Medicine. </w:t>
      </w:r>
      <w:r>
        <w:rPr>
          <w:u w:val="single"/>
        </w:rPr>
        <w:t>http://doi:10.1016/j.socsimed.2015.11.047</w:t>
      </w:r>
    </w:p>
    <w:p>
      <w:pPr>
        <w:spacing w:line="276" w:lineRule="auto" w:before="163"/>
        <w:ind w:left="840" w:right="117" w:hanging="720"/>
        <w:jc w:val="both"/>
        <w:rPr>
          <w:sz w:val="24"/>
        </w:rPr>
      </w:pPr>
      <w:r>
        <w:rPr>
          <w:sz w:val="24"/>
        </w:rPr>
        <w:t>Rozi, S, Mahmud, S., &amp; Lancaster, G. (2017). Determinants of Health-Seeking Behavior in</w:t>
      </w:r>
      <w:r>
        <w:rPr>
          <w:spacing w:val="1"/>
          <w:sz w:val="24"/>
        </w:rPr>
        <w:t> </w:t>
      </w:r>
      <w:r>
        <w:rPr>
          <w:sz w:val="24"/>
        </w:rPr>
        <w:t>Pakistan: A Complex Health Survey Design. </w:t>
      </w:r>
      <w:r>
        <w:rPr>
          <w:i/>
          <w:sz w:val="24"/>
        </w:rPr>
        <w:t>European Journal of Public Health. 27 </w:t>
      </w:r>
      <w:r>
        <w:rPr>
          <w:sz w:val="24"/>
        </w:rPr>
        <w:t>(3),</w:t>
      </w:r>
      <w:r>
        <w:rPr>
          <w:spacing w:val="1"/>
          <w:sz w:val="24"/>
        </w:rPr>
        <w:t> </w:t>
      </w:r>
      <w:r>
        <w:rPr>
          <w:sz w:val="24"/>
        </w:rPr>
        <w:t>427-428</w:t>
      </w:r>
    </w:p>
    <w:p>
      <w:pPr>
        <w:spacing w:before="182"/>
        <w:ind w:left="840" w:right="114" w:hanging="720"/>
        <w:jc w:val="both"/>
        <w:rPr>
          <w:sz w:val="24"/>
        </w:rPr>
      </w:pPr>
      <w:r>
        <w:rPr>
          <w:sz w:val="24"/>
        </w:rPr>
        <w:t>Rutherford, M.E., Mulholland, K., &amp; Hill, P.C. (2010). How Access to Healthcare relates to</w:t>
      </w:r>
      <w:r>
        <w:rPr>
          <w:spacing w:val="1"/>
          <w:sz w:val="24"/>
        </w:rPr>
        <w:t> </w:t>
      </w:r>
      <w:r>
        <w:rPr>
          <w:sz w:val="24"/>
        </w:rPr>
        <w:t>Under-five</w:t>
      </w:r>
      <w:r>
        <w:rPr>
          <w:spacing w:val="-11"/>
          <w:sz w:val="24"/>
        </w:rPr>
        <w:t> </w:t>
      </w:r>
      <w:r>
        <w:rPr>
          <w:sz w:val="24"/>
        </w:rPr>
        <w:t>Mortality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sub-Saharan</w:t>
      </w:r>
      <w:r>
        <w:rPr>
          <w:spacing w:val="-9"/>
          <w:sz w:val="24"/>
        </w:rPr>
        <w:t> </w:t>
      </w:r>
      <w:r>
        <w:rPr>
          <w:sz w:val="24"/>
        </w:rPr>
        <w:t>Africa,</w:t>
      </w:r>
      <w:r>
        <w:rPr>
          <w:spacing w:val="-7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i/>
          <w:sz w:val="24"/>
        </w:rPr>
        <w:t>15</w:t>
      </w:r>
      <w:r>
        <w:rPr>
          <w:i/>
          <w:spacing w:val="-9"/>
          <w:sz w:val="24"/>
        </w:rPr>
        <w:t> </w:t>
      </w:r>
      <w:r>
        <w:rPr>
          <w:sz w:val="24"/>
        </w:rPr>
        <w:t>(5)</w:t>
      </w:r>
      <w:r>
        <w:rPr>
          <w:spacing w:val="-58"/>
          <w:sz w:val="24"/>
        </w:rPr>
        <w:t> </w:t>
      </w:r>
      <w:r>
        <w:rPr>
          <w:sz w:val="24"/>
        </w:rPr>
        <w:t>508-519</w:t>
      </w:r>
    </w:p>
    <w:p>
      <w:pPr>
        <w:spacing w:before="161"/>
        <w:ind w:left="840" w:right="117" w:hanging="720"/>
        <w:jc w:val="both"/>
        <w:rPr>
          <w:sz w:val="24"/>
        </w:rPr>
      </w:pPr>
      <w:r>
        <w:rPr>
          <w:sz w:val="24"/>
        </w:rPr>
        <w:t>Sachs, J. (2001). </w:t>
      </w:r>
      <w:r>
        <w:rPr>
          <w:i/>
          <w:sz w:val="24"/>
        </w:rPr>
        <w:t>Macroeconomics and Health: Investing in Health for Economic Development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Commission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Macroeconomics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Health,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Organization,</w:t>
      </w:r>
      <w:r>
        <w:rPr>
          <w:spacing w:val="-57"/>
          <w:sz w:val="24"/>
        </w:rPr>
        <w:t> </w:t>
      </w:r>
      <w:r>
        <w:rPr>
          <w:sz w:val="24"/>
        </w:rPr>
        <w:t>Switzerland.</w:t>
      </w:r>
    </w:p>
    <w:p>
      <w:pPr>
        <w:spacing w:before="158"/>
        <w:ind w:left="120" w:right="0" w:firstLine="0"/>
        <w:jc w:val="left"/>
        <w:rPr>
          <w:sz w:val="24"/>
        </w:rPr>
      </w:pPr>
      <w:r>
        <w:rPr>
          <w:sz w:val="24"/>
        </w:rPr>
        <w:t>Samuelson,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(1947).</w:t>
      </w:r>
      <w:r>
        <w:rPr>
          <w:spacing w:val="-2"/>
          <w:sz w:val="24"/>
        </w:rPr>
        <w:t> </w:t>
      </w:r>
      <w:r>
        <w:rPr>
          <w:i/>
          <w:sz w:val="24"/>
        </w:rPr>
        <w:t>Foundations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Analysis.</w:t>
      </w:r>
      <w:r>
        <w:rPr>
          <w:i/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Edition</w:t>
      </w:r>
    </w:p>
    <w:p>
      <w:pPr>
        <w:spacing w:before="161"/>
        <w:ind w:left="840" w:right="117" w:hanging="720"/>
        <w:jc w:val="both"/>
        <w:rPr>
          <w:sz w:val="24"/>
        </w:rPr>
      </w:pPr>
      <w:r>
        <w:rPr>
          <w:sz w:val="24"/>
        </w:rPr>
        <w:t>Sarker, A.R. &amp; Sultana, M. (2018). Client’s Experience and Satisfaction of Utilizing Healthcare</w:t>
      </w:r>
      <w:r>
        <w:rPr>
          <w:spacing w:val="1"/>
          <w:sz w:val="24"/>
        </w:rPr>
        <w:t> </w:t>
      </w:r>
      <w:r>
        <w:rPr>
          <w:sz w:val="24"/>
        </w:rPr>
        <w:t>Services in a Community Based Health Insurance Program in Bangladesh.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Environmental Research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 (1637):</w:t>
      </w:r>
      <w:r>
        <w:rPr>
          <w:spacing w:val="-1"/>
          <w:sz w:val="24"/>
        </w:rPr>
        <w:t> </w:t>
      </w:r>
      <w:r>
        <w:rPr>
          <w:sz w:val="24"/>
        </w:rPr>
        <w:t>1-14</w:t>
      </w:r>
    </w:p>
    <w:p>
      <w:pPr>
        <w:pStyle w:val="BodyText"/>
        <w:spacing w:before="161"/>
        <w:ind w:left="840" w:right="117" w:hanging="720"/>
        <w:jc w:val="both"/>
      </w:pPr>
      <w:r>
        <w:rPr/>
        <w:t>Schell C.O., Reilly, M., Rosling, H., Peterson, S., &amp; Ekstron, A.M. (2014). Socio-Economic</w:t>
      </w:r>
      <w:r>
        <w:rPr>
          <w:spacing w:val="1"/>
        </w:rPr>
        <w:t> </w:t>
      </w:r>
      <w:r>
        <w:rPr/>
        <w:t>Determinants of Infant Mortality: A Worldwide study of 152 Low-, Middle and High-</w:t>
      </w:r>
      <w:r>
        <w:rPr>
          <w:spacing w:val="1"/>
        </w:rPr>
        <w:t> </w:t>
      </w:r>
      <w:r>
        <w:rPr/>
        <w:t>Income</w:t>
      </w:r>
      <w:r>
        <w:rPr>
          <w:spacing w:val="-1"/>
        </w:rPr>
        <w:t> </w:t>
      </w:r>
      <w:r>
        <w:rPr/>
        <w:t>Countries,</w:t>
      </w:r>
      <w:r>
        <w:rPr>
          <w:spacing w:val="1"/>
        </w:rPr>
        <w:t> </w:t>
      </w:r>
      <w:r>
        <w:rPr>
          <w:i/>
        </w:rPr>
        <w:t>Journal of Public</w:t>
      </w:r>
      <w:r>
        <w:rPr>
          <w:i/>
          <w:spacing w:val="-1"/>
        </w:rPr>
        <w:t> </w:t>
      </w:r>
      <w:r>
        <w:rPr>
          <w:i/>
        </w:rPr>
        <w:t>Health,</w:t>
      </w:r>
      <w:r>
        <w:rPr>
          <w:i/>
          <w:spacing w:val="1"/>
        </w:rPr>
        <w:t> </w:t>
      </w:r>
      <w:r>
        <w:rPr>
          <w:i/>
        </w:rPr>
        <w:t>35</w:t>
      </w:r>
      <w:r>
        <w:rPr>
          <w:i/>
          <w:spacing w:val="-1"/>
        </w:rPr>
        <w:t> </w:t>
      </w:r>
      <w:r>
        <w:rPr/>
        <w:t>(3), 288-297</w:t>
      </w:r>
    </w:p>
    <w:p>
      <w:pPr>
        <w:pStyle w:val="BodyText"/>
        <w:spacing w:line="440" w:lineRule="exact" w:before="31"/>
        <w:ind w:left="120" w:right="122"/>
        <w:jc w:val="both"/>
      </w:pPr>
      <w:r>
        <w:rPr/>
        <w:t>Schultz, T.P. (1961). Investment in Human Capital. </w:t>
      </w:r>
      <w:r>
        <w:rPr>
          <w:i/>
        </w:rPr>
        <w:t>American Economic Review, 51, </w:t>
      </w:r>
      <w:r>
        <w:rPr/>
        <w:t>1-17</w:t>
      </w:r>
      <w:r>
        <w:rPr>
          <w:spacing w:val="1"/>
        </w:rPr>
        <w:t> </w:t>
      </w:r>
      <w:r>
        <w:rPr/>
        <w:t>Seidlein,</w:t>
      </w:r>
      <w:r>
        <w:rPr>
          <w:spacing w:val="10"/>
        </w:rPr>
        <w:t> </w:t>
      </w:r>
      <w:r>
        <w:rPr/>
        <w:t>A.,</w:t>
      </w:r>
      <w:r>
        <w:rPr>
          <w:spacing w:val="13"/>
        </w:rPr>
        <w:t> </w:t>
      </w:r>
      <w:r>
        <w:rPr/>
        <w:t>&amp;</w:t>
      </w:r>
      <w:r>
        <w:rPr>
          <w:spacing w:val="8"/>
        </w:rPr>
        <w:t> </w:t>
      </w:r>
      <w:r>
        <w:rPr/>
        <w:t>Salloch,</w:t>
      </w:r>
      <w:r>
        <w:rPr>
          <w:spacing w:val="13"/>
        </w:rPr>
        <w:t> </w:t>
      </w:r>
      <w:r>
        <w:rPr/>
        <w:t>S.</w:t>
      </w:r>
      <w:r>
        <w:rPr>
          <w:spacing w:val="12"/>
        </w:rPr>
        <w:t> </w:t>
      </w:r>
      <w:r>
        <w:rPr/>
        <w:t>(2019).</w:t>
      </w:r>
      <w:r>
        <w:rPr>
          <w:spacing w:val="11"/>
        </w:rPr>
        <w:t> </w:t>
      </w:r>
      <w:r>
        <w:rPr/>
        <w:t>Illness</w:t>
      </w:r>
      <w:r>
        <w:rPr>
          <w:spacing w:val="13"/>
        </w:rPr>
        <w:t> </w:t>
      </w:r>
      <w:r>
        <w:rPr/>
        <w:t>and</w:t>
      </w:r>
      <w:r>
        <w:rPr>
          <w:spacing w:val="10"/>
        </w:rPr>
        <w:t> </w:t>
      </w:r>
      <w:r>
        <w:rPr/>
        <w:t>Diseases:</w:t>
      </w:r>
      <w:r>
        <w:rPr>
          <w:spacing w:val="10"/>
        </w:rPr>
        <w:t> </w:t>
      </w:r>
      <w:r>
        <w:rPr/>
        <w:t>An</w:t>
      </w:r>
      <w:r>
        <w:rPr>
          <w:spacing w:val="12"/>
        </w:rPr>
        <w:t> </w:t>
      </w:r>
      <w:r>
        <w:rPr/>
        <w:t>Empirical-Ethical</w:t>
      </w:r>
      <w:r>
        <w:rPr>
          <w:spacing w:val="11"/>
        </w:rPr>
        <w:t> </w:t>
      </w:r>
      <w:r>
        <w:rPr/>
        <w:t>Viewpoint.</w:t>
      </w:r>
      <w:r>
        <w:rPr>
          <w:spacing w:val="12"/>
        </w:rPr>
        <w:t> </w:t>
      </w:r>
      <w:r>
        <w:rPr/>
        <w:t>BMC</w:t>
      </w:r>
    </w:p>
    <w:p>
      <w:pPr>
        <w:pStyle w:val="BodyText"/>
        <w:spacing w:before="4"/>
        <w:ind w:left="840"/>
        <w:jc w:val="both"/>
      </w:pPr>
      <w:r>
        <w:rPr/>
        <w:t>Medical</w:t>
      </w:r>
      <w:r>
        <w:rPr>
          <w:spacing w:val="-2"/>
        </w:rPr>
        <w:t> </w:t>
      </w:r>
      <w:r>
        <w:rPr/>
        <w:t>Ethics.</w:t>
      </w:r>
      <w:r>
        <w:rPr>
          <w:spacing w:val="-1"/>
        </w:rPr>
        <w:t> </w:t>
      </w:r>
      <w:r>
        <w:rPr/>
        <w:t>20:5,</w:t>
      </w:r>
      <w:r>
        <w:rPr>
          <w:spacing w:val="46"/>
        </w:rPr>
        <w:t> </w:t>
      </w:r>
      <w:hyperlink r:id="rId178">
        <w:r>
          <w:rPr>
            <w:u w:val="single"/>
          </w:rPr>
          <w:t>https://doi.org/10.1186/s12910-0188-0341-y</w:t>
        </w:r>
      </w:hyperlink>
    </w:p>
    <w:p>
      <w:pPr>
        <w:spacing w:line="430" w:lineRule="atLeast" w:before="69"/>
        <w:ind w:left="120" w:right="117" w:firstLine="0"/>
        <w:jc w:val="both"/>
        <w:rPr>
          <w:sz w:val="24"/>
        </w:rPr>
      </w:pPr>
      <w:r>
        <w:rPr>
          <w:sz w:val="24"/>
        </w:rPr>
        <w:t>Sen, Amartya (1999), </w:t>
      </w:r>
      <w:r>
        <w:rPr>
          <w:i/>
          <w:sz w:val="24"/>
        </w:rPr>
        <w:t>Development as Freedom </w:t>
      </w:r>
      <w:r>
        <w:rPr>
          <w:sz w:val="24"/>
        </w:rPr>
        <w:t>(1st Ed) New York: Oxford University Press</w:t>
      </w:r>
      <w:r>
        <w:rPr>
          <w:spacing w:val="1"/>
          <w:sz w:val="24"/>
        </w:rPr>
        <w:t> </w:t>
      </w:r>
      <w:r>
        <w:rPr>
          <w:sz w:val="24"/>
        </w:rPr>
        <w:t>Sen,</w:t>
      </w:r>
      <w:r>
        <w:rPr>
          <w:spacing w:val="9"/>
          <w:sz w:val="24"/>
        </w:rPr>
        <w:t> </w:t>
      </w:r>
      <w:r>
        <w:rPr>
          <w:sz w:val="24"/>
        </w:rPr>
        <w:t>Amartya</w:t>
      </w:r>
      <w:r>
        <w:rPr>
          <w:spacing w:val="12"/>
          <w:sz w:val="24"/>
        </w:rPr>
        <w:t> </w:t>
      </w:r>
      <w:r>
        <w:rPr>
          <w:sz w:val="24"/>
        </w:rPr>
        <w:t>(2001),</w:t>
      </w:r>
      <w:r>
        <w:rPr>
          <w:spacing w:val="10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Freedom</w:t>
      </w:r>
      <w:r>
        <w:rPr>
          <w:i/>
          <w:spacing w:val="10"/>
          <w:sz w:val="24"/>
        </w:rPr>
        <w:t> </w:t>
      </w:r>
      <w:r>
        <w:rPr>
          <w:sz w:val="24"/>
        </w:rPr>
        <w:t>(2nd</w:t>
      </w:r>
      <w:r>
        <w:rPr>
          <w:spacing w:val="10"/>
          <w:sz w:val="24"/>
        </w:rPr>
        <w:t> </w:t>
      </w:r>
      <w:r>
        <w:rPr>
          <w:sz w:val="24"/>
        </w:rPr>
        <w:t>Ed)</w:t>
      </w:r>
      <w:r>
        <w:rPr>
          <w:spacing w:val="9"/>
          <w:sz w:val="24"/>
        </w:rPr>
        <w:t> </w:t>
      </w:r>
      <w:r>
        <w:rPr>
          <w:sz w:val="24"/>
        </w:rPr>
        <w:t>Oxford</w:t>
      </w:r>
      <w:r>
        <w:rPr>
          <w:spacing w:val="9"/>
          <w:sz w:val="24"/>
        </w:rPr>
        <w:t> </w:t>
      </w:r>
      <w:r>
        <w:rPr>
          <w:sz w:val="24"/>
        </w:rPr>
        <w:t>New</w:t>
      </w:r>
      <w:r>
        <w:rPr>
          <w:spacing w:val="10"/>
          <w:sz w:val="24"/>
        </w:rPr>
        <w:t> </w:t>
      </w:r>
      <w:r>
        <w:rPr>
          <w:sz w:val="24"/>
        </w:rPr>
        <w:t>York:</w:t>
      </w:r>
      <w:r>
        <w:rPr>
          <w:spacing w:val="11"/>
          <w:sz w:val="24"/>
        </w:rPr>
        <w:t> </w:t>
      </w:r>
      <w:r>
        <w:rPr>
          <w:sz w:val="24"/>
        </w:rPr>
        <w:t>Oxford</w:t>
      </w:r>
      <w:r>
        <w:rPr>
          <w:spacing w:val="9"/>
          <w:sz w:val="24"/>
        </w:rPr>
        <w:t> </w:t>
      </w:r>
      <w:r>
        <w:rPr>
          <w:sz w:val="24"/>
        </w:rPr>
        <w:t>University</w:t>
      </w:r>
    </w:p>
    <w:p>
      <w:pPr>
        <w:pStyle w:val="BodyText"/>
        <w:spacing w:before="7"/>
        <w:ind w:left="840"/>
      </w:pPr>
      <w:r>
        <w:rPr/>
        <w:t>Press</w:t>
      </w:r>
    </w:p>
    <w:p>
      <w:pPr>
        <w:pStyle w:val="BodyText"/>
        <w:spacing w:before="159"/>
        <w:ind w:left="840" w:right="116" w:hanging="720"/>
        <w:jc w:val="both"/>
      </w:pPr>
      <w:r>
        <w:rPr/>
        <w:t>Senbeto,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Tadesse,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Tadesse,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Melesse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Health-Seeking</w:t>
      </w:r>
      <w:r>
        <w:rPr>
          <w:spacing w:val="1"/>
        </w:rPr>
        <w:t> </w:t>
      </w:r>
      <w:r>
        <w:rPr/>
        <w:t>Behaviour and Associated factors among people who had cough for at least two weeks in</w:t>
      </w:r>
      <w:r>
        <w:rPr>
          <w:spacing w:val="1"/>
        </w:rPr>
        <w:t> </w:t>
      </w:r>
      <w:r>
        <w:rPr/>
        <w:t>Northwest Ethiopia: A Population-based Cross-Sectional Study. </w:t>
      </w:r>
      <w:r>
        <w:rPr>
          <w:i/>
        </w:rPr>
        <w:t>BMC Public Health</w:t>
      </w:r>
      <w:r>
        <w:rPr/>
        <w:t>, </w:t>
      </w:r>
      <w:r>
        <w:rPr>
          <w:i/>
        </w:rPr>
        <w:t>13,</w:t>
      </w:r>
      <w:r>
        <w:rPr>
          <w:i/>
          <w:spacing w:val="1"/>
        </w:rPr>
        <w:t> </w:t>
      </w:r>
      <w:r>
        <w:rPr/>
        <w:t>(1222),</w:t>
      </w:r>
      <w:r>
        <w:rPr>
          <w:spacing w:val="-2"/>
        </w:rPr>
        <w:t> </w:t>
      </w:r>
      <w:r>
        <w:rPr/>
        <w:t>1-7</w:t>
      </w:r>
    </w:p>
    <w:p>
      <w:pPr>
        <w:spacing w:before="161"/>
        <w:ind w:left="840" w:right="119" w:hanging="720"/>
        <w:jc w:val="both"/>
        <w:rPr>
          <w:sz w:val="24"/>
        </w:rPr>
      </w:pPr>
      <w:r>
        <w:rPr>
          <w:sz w:val="24"/>
        </w:rPr>
        <w:t>Shams, K. (2012).</w:t>
      </w:r>
      <w:r>
        <w:rPr>
          <w:spacing w:val="1"/>
          <w:sz w:val="24"/>
        </w:rPr>
        <w:t> </w:t>
      </w:r>
      <w:r>
        <w:rPr>
          <w:i/>
          <w:sz w:val="24"/>
        </w:rPr>
        <w:t>Income Inequalities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Well-being in Rural Pakistan. </w:t>
      </w:r>
      <w:r>
        <w:rPr>
          <w:sz w:val="24"/>
        </w:rPr>
        <w:t>A PhD thesis in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Glasgow, United Kingdom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spacing w:before="72"/>
        <w:ind w:left="840" w:right="116" w:hanging="720"/>
        <w:jc w:val="both"/>
      </w:pPr>
      <w:r>
        <w:rPr/>
        <w:t>Shibuya, H.Y. (2002). Individual Income, Income Distribution and Self-Rated Health in Japan:</w:t>
      </w:r>
      <w:r>
        <w:rPr>
          <w:spacing w:val="1"/>
        </w:rPr>
        <w:t> </w:t>
      </w:r>
      <w:r>
        <w:rPr/>
        <w:t>Cross-Sessional Analysis of National Representative Sample, </w:t>
      </w:r>
      <w:r>
        <w:rPr>
          <w:i/>
        </w:rPr>
        <w:t>British Medical Journal,</w:t>
      </w:r>
      <w:r>
        <w:rPr>
          <w:i/>
          <w:spacing w:val="1"/>
        </w:rPr>
        <w:t> </w:t>
      </w:r>
      <w:r>
        <w:rPr>
          <w:i/>
        </w:rPr>
        <w:t>324, </w:t>
      </w:r>
      <w:r>
        <w:rPr/>
        <w:t>1-5</w:t>
      </w:r>
    </w:p>
    <w:p>
      <w:pPr>
        <w:pStyle w:val="BodyText"/>
        <w:spacing w:before="161"/>
        <w:ind w:left="840" w:right="118" w:hanging="720"/>
        <w:jc w:val="both"/>
      </w:pPr>
      <w:r>
        <w:rPr/>
        <w:t>Shkolnikov V., Andrev, E.M., &amp; Vaupel, J. (2011). Losses of Expected Lifetime in the United</w:t>
      </w:r>
      <w:r>
        <w:rPr>
          <w:spacing w:val="1"/>
        </w:rPr>
        <w:t> </w:t>
      </w:r>
      <w:r>
        <w:rPr/>
        <w:t>States and other Developed Countries: Methods and Empirical Analyses,</w:t>
      </w:r>
      <w:r>
        <w:rPr>
          <w:spacing w:val="60"/>
        </w:rPr>
        <w:t> </w:t>
      </w:r>
      <w:r>
        <w:rPr>
          <w:i/>
        </w:rPr>
        <w:t>Demography,</w:t>
      </w:r>
      <w:r>
        <w:rPr>
          <w:i/>
          <w:spacing w:val="1"/>
        </w:rPr>
        <w:t> </w:t>
      </w:r>
      <w:r>
        <w:rPr>
          <w:i/>
        </w:rPr>
        <w:t>48</w:t>
      </w:r>
      <w:r>
        <w:rPr>
          <w:i/>
          <w:spacing w:val="-1"/>
        </w:rPr>
        <w:t> </w:t>
      </w:r>
      <w:r>
        <w:rPr/>
        <w:t>(1), 211-239</w:t>
      </w:r>
    </w:p>
    <w:p>
      <w:pPr>
        <w:pStyle w:val="BodyText"/>
        <w:spacing w:before="158"/>
        <w:ind w:left="840" w:right="120" w:hanging="720"/>
        <w:jc w:val="both"/>
      </w:pPr>
      <w:r>
        <w:rPr/>
        <w:t>Singh A., Harford, J., Antunes, L.F., &amp;. Peres, M.A. (2018). Area-Level Income Inequality and</w:t>
      </w:r>
      <w:r>
        <w:rPr>
          <w:spacing w:val="1"/>
        </w:rPr>
        <w:t> </w:t>
      </w:r>
      <w:r>
        <w:rPr/>
        <w:t>Oral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Australian</w:t>
      </w:r>
      <w:r>
        <w:rPr>
          <w:spacing w:val="-1"/>
        </w:rPr>
        <w:t> </w:t>
      </w:r>
      <w:r>
        <w:rPr/>
        <w:t>Adults.</w:t>
      </w:r>
      <w:r>
        <w:rPr>
          <w:spacing w:val="-1"/>
        </w:rPr>
        <w:t> </w:t>
      </w:r>
      <w:hyperlink r:id="rId179">
        <w:r>
          <w:rPr>
            <w:u w:val="single"/>
          </w:rPr>
          <w:t>https://doi.org/10.1371/journal.pone.0191438</w:t>
        </w:r>
      </w:hyperlink>
    </w:p>
    <w:p>
      <w:pPr>
        <w:pStyle w:val="BodyText"/>
        <w:spacing w:line="276" w:lineRule="auto" w:before="164"/>
        <w:ind w:left="840" w:right="119" w:hanging="720"/>
        <w:jc w:val="both"/>
      </w:pPr>
      <w:r>
        <w:rPr/>
        <w:t>Standardized World Income Inequality Database (SWIID, 2018). Income Inequality Database</w:t>
      </w:r>
      <w:r>
        <w:rPr>
          <w:spacing w:val="1"/>
        </w:rPr>
        <w:t> </w:t>
      </w:r>
      <w:hyperlink r:id="rId180">
        <w:r>
          <w:rPr>
            <w:u w:val="single"/>
          </w:rPr>
          <w:t>https://dataverse.harvard.edu/dataverse/fsolt</w:t>
        </w:r>
        <w:r>
          <w:rPr>
            <w:spacing w:val="2"/>
          </w:rPr>
          <w:t> </w:t>
        </w:r>
      </w:hyperlink>
      <w:r>
        <w:rPr/>
        <w:t>(last</w:t>
      </w:r>
      <w:r>
        <w:rPr>
          <w:spacing w:val="-1"/>
        </w:rPr>
        <w:t> </w:t>
      </w:r>
      <w:r>
        <w:rPr/>
        <w:t>accessed on</w:t>
      </w:r>
      <w:r>
        <w:rPr>
          <w:spacing w:val="-1"/>
        </w:rPr>
        <w:t> </w:t>
      </w:r>
      <w:r>
        <w:rPr/>
        <w:t>24 September,</w:t>
      </w:r>
      <w:r>
        <w:rPr>
          <w:spacing w:val="-1"/>
        </w:rPr>
        <w:t> </w:t>
      </w:r>
      <w:r>
        <w:rPr/>
        <w:t>2018)</w:t>
      </w:r>
    </w:p>
    <w:p>
      <w:pPr>
        <w:spacing w:before="181"/>
        <w:ind w:left="840" w:right="118" w:hanging="720"/>
        <w:jc w:val="both"/>
        <w:rPr>
          <w:sz w:val="24"/>
        </w:rPr>
      </w:pPr>
      <w:r>
        <w:rPr>
          <w:sz w:val="24"/>
        </w:rPr>
        <w:t>Stiglitz, C. (1969). Distribution of Income and Wealth Among Individuals. </w:t>
      </w:r>
      <w:r>
        <w:rPr>
          <w:i/>
          <w:sz w:val="24"/>
        </w:rPr>
        <w:t>American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Review,</w:t>
      </w:r>
      <w:r>
        <w:rPr>
          <w:i/>
          <w:spacing w:val="-1"/>
          <w:sz w:val="24"/>
        </w:rPr>
        <w:t> </w:t>
      </w:r>
      <w:r>
        <w:rPr>
          <w:sz w:val="24"/>
        </w:rPr>
        <w:t>59(5): 784-793</w:t>
      </w:r>
    </w:p>
    <w:p>
      <w:pPr>
        <w:pStyle w:val="BodyText"/>
        <w:spacing w:before="161"/>
        <w:ind w:left="840" w:right="125" w:hanging="720"/>
        <w:jc w:val="both"/>
      </w:pPr>
      <w:r>
        <w:rPr/>
        <w:t>Subramanian</w:t>
      </w:r>
      <w:r>
        <w:rPr>
          <w:spacing w:val="21"/>
        </w:rPr>
        <w:t> </w:t>
      </w:r>
      <w:r>
        <w:rPr/>
        <w:t>S.V.</w:t>
      </w:r>
      <w:r>
        <w:rPr>
          <w:spacing w:val="23"/>
        </w:rPr>
        <w:t> </w:t>
      </w:r>
      <w:r>
        <w:rPr/>
        <w:t>&amp;</w:t>
      </w:r>
      <w:r>
        <w:rPr>
          <w:spacing w:val="21"/>
        </w:rPr>
        <w:t> </w:t>
      </w:r>
      <w:r>
        <w:rPr/>
        <w:t>Kawachi,</w:t>
      </w:r>
      <w:r>
        <w:rPr>
          <w:spacing w:val="25"/>
        </w:rPr>
        <w:t> </w:t>
      </w:r>
      <w:r>
        <w:rPr/>
        <w:t>I.</w:t>
      </w:r>
      <w:r>
        <w:rPr>
          <w:spacing w:val="21"/>
        </w:rPr>
        <w:t> </w:t>
      </w:r>
      <w:r>
        <w:rPr/>
        <w:t>(2004).</w:t>
      </w:r>
      <w:r>
        <w:rPr>
          <w:spacing w:val="24"/>
        </w:rPr>
        <w:t> </w:t>
      </w:r>
      <w:r>
        <w:rPr/>
        <w:t>Income</w:t>
      </w:r>
      <w:r>
        <w:rPr>
          <w:spacing w:val="24"/>
        </w:rPr>
        <w:t> </w:t>
      </w:r>
      <w:r>
        <w:rPr/>
        <w:t>inequality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health:</w:t>
      </w:r>
      <w:r>
        <w:rPr>
          <w:spacing w:val="23"/>
        </w:rPr>
        <w:t> </w:t>
      </w:r>
      <w:r>
        <w:rPr/>
        <w:t>What</w:t>
      </w:r>
      <w:r>
        <w:rPr>
          <w:spacing w:val="23"/>
        </w:rPr>
        <w:t> </w:t>
      </w:r>
      <w:r>
        <w:rPr/>
        <w:t>have</w:t>
      </w:r>
      <w:r>
        <w:rPr>
          <w:spacing w:val="21"/>
        </w:rPr>
        <w:t> </w:t>
      </w:r>
      <w:r>
        <w:rPr/>
        <w:t>we</w:t>
      </w:r>
      <w:r>
        <w:rPr>
          <w:spacing w:val="21"/>
        </w:rPr>
        <w:t> </w:t>
      </w:r>
      <w:r>
        <w:rPr/>
        <w:t>learned</w:t>
      </w:r>
      <w:r>
        <w:rPr>
          <w:spacing w:val="-58"/>
        </w:rPr>
        <w:t> </w:t>
      </w:r>
      <w:r>
        <w:rPr/>
        <w:t>so</w:t>
      </w:r>
      <w:r>
        <w:rPr>
          <w:spacing w:val="-1"/>
        </w:rPr>
        <w:t> </w:t>
      </w:r>
      <w:r>
        <w:rPr/>
        <w:t>far?</w:t>
      </w:r>
      <w:r>
        <w:rPr>
          <w:spacing w:val="15"/>
        </w:rPr>
        <w:t> </w:t>
      </w:r>
      <w:r>
        <w:rPr>
          <w:i/>
        </w:rPr>
        <w:t>Epidemiology Reviews</w:t>
      </w:r>
      <w:r>
        <w:rPr/>
        <w:t>, </w:t>
      </w:r>
      <w:r>
        <w:rPr>
          <w:i/>
        </w:rPr>
        <w:t>26 </w:t>
      </w:r>
      <w:r>
        <w:rPr/>
        <w:t>(1), 78–91</w:t>
      </w:r>
    </w:p>
    <w:p>
      <w:pPr>
        <w:spacing w:before="159"/>
        <w:ind w:left="840" w:right="117" w:hanging="720"/>
        <w:jc w:val="both"/>
        <w:rPr>
          <w:sz w:val="24"/>
        </w:rPr>
      </w:pPr>
      <w:r>
        <w:rPr>
          <w:sz w:val="24"/>
        </w:rPr>
        <w:t>Sutter,</w:t>
      </w:r>
      <w:r>
        <w:rPr>
          <w:spacing w:val="-13"/>
          <w:sz w:val="24"/>
        </w:rPr>
        <w:t> </w:t>
      </w:r>
      <w:r>
        <w:rPr>
          <w:sz w:val="24"/>
        </w:rPr>
        <w:t>J.D.</w:t>
      </w:r>
      <w:r>
        <w:rPr>
          <w:spacing w:val="-12"/>
          <w:sz w:val="24"/>
        </w:rPr>
        <w:t> </w:t>
      </w:r>
      <w:r>
        <w:rPr>
          <w:sz w:val="24"/>
        </w:rPr>
        <w:t>(2013).</w:t>
      </w:r>
      <w:r>
        <w:rPr>
          <w:spacing w:val="-13"/>
          <w:sz w:val="24"/>
        </w:rPr>
        <w:t> </w:t>
      </w:r>
      <w:r>
        <w:rPr>
          <w:sz w:val="24"/>
        </w:rPr>
        <w:t>What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Income</w:t>
      </w:r>
      <w:r>
        <w:rPr>
          <w:spacing w:val="-9"/>
          <w:sz w:val="24"/>
        </w:rPr>
        <w:t> </w:t>
      </w:r>
      <w:r>
        <w:rPr>
          <w:sz w:val="24"/>
        </w:rPr>
        <w:t>Inequality,</w:t>
      </w:r>
      <w:r>
        <w:rPr>
          <w:spacing w:val="-9"/>
          <w:sz w:val="24"/>
        </w:rPr>
        <w:t> </w:t>
      </w:r>
      <w:r>
        <w:rPr>
          <w:sz w:val="24"/>
        </w:rPr>
        <w:t>anyway?</w:t>
      </w:r>
      <w:r>
        <w:rPr>
          <w:spacing w:val="-4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Anthropology,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25,</w:t>
      </w:r>
      <w:r>
        <w:rPr>
          <w:i/>
          <w:spacing w:val="-11"/>
          <w:sz w:val="24"/>
        </w:rPr>
        <w:t> </w:t>
      </w:r>
      <w:r>
        <w:rPr>
          <w:sz w:val="24"/>
        </w:rPr>
        <w:t>411-</w:t>
      </w:r>
      <w:r>
        <w:rPr>
          <w:spacing w:val="-58"/>
          <w:sz w:val="24"/>
        </w:rPr>
        <w:t> </w:t>
      </w:r>
      <w:r>
        <w:rPr>
          <w:sz w:val="24"/>
        </w:rPr>
        <w:t>435</w:t>
      </w:r>
    </w:p>
    <w:p>
      <w:pPr>
        <w:pStyle w:val="BodyText"/>
        <w:spacing w:before="161"/>
        <w:ind w:left="840" w:right="118" w:hanging="720"/>
        <w:jc w:val="both"/>
      </w:pPr>
      <w:r>
        <w:rPr/>
        <w:t>Tan Z., Shi, H. Zhang, N., Li, Y., Xu, F., &amp; Liang, Y. (2018). Household Income, Income</w:t>
      </w:r>
      <w:r>
        <w:rPr>
          <w:spacing w:val="1"/>
        </w:rPr>
        <w:t> </w:t>
      </w:r>
      <w:r>
        <w:rPr/>
        <w:t>Inequality, and Health-Related Quality of life measured by the EQ-5D in Shaanxi, China: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Cross-Sectional</w:t>
      </w:r>
      <w:r>
        <w:rPr>
          <w:spacing w:val="-1"/>
        </w:rPr>
        <w:t> </w:t>
      </w:r>
      <w:r>
        <w:rPr/>
        <w:t>Study.</w:t>
      </w:r>
      <w:r>
        <w:rPr>
          <w:spacing w:val="4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for Equity</w:t>
      </w:r>
      <w:r>
        <w:rPr>
          <w:i/>
          <w:spacing w:val="-1"/>
        </w:rPr>
        <w:t> </w:t>
      </w:r>
      <w:r>
        <w:rPr>
          <w:i/>
        </w:rPr>
        <w:t>in Health</w:t>
      </w:r>
      <w:r>
        <w:rPr/>
        <w:t>.</w:t>
      </w:r>
      <w:r>
        <w:rPr>
          <w:spacing w:val="-1"/>
        </w:rPr>
        <w:t> </w:t>
      </w:r>
      <w:r>
        <w:rPr>
          <w:i/>
        </w:rPr>
        <w:t>17</w:t>
      </w:r>
      <w:r>
        <w:rPr/>
        <w:t>,</w:t>
      </w:r>
      <w:r>
        <w:rPr>
          <w:spacing w:val="-1"/>
        </w:rPr>
        <w:t> </w:t>
      </w:r>
      <w:r>
        <w:rPr/>
        <w:t>(32), 1-10</w:t>
      </w:r>
    </w:p>
    <w:p>
      <w:pPr>
        <w:spacing w:before="161"/>
        <w:ind w:left="840" w:right="120" w:hanging="720"/>
        <w:jc w:val="both"/>
        <w:rPr>
          <w:sz w:val="24"/>
        </w:rPr>
      </w:pPr>
      <w:r>
        <w:rPr>
          <w:spacing w:val="-1"/>
          <w:sz w:val="24"/>
        </w:rPr>
        <w:t>Tanaka,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(2015).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Environmental</w:t>
      </w:r>
      <w:r>
        <w:rPr>
          <w:spacing w:val="-11"/>
          <w:sz w:val="24"/>
        </w:rPr>
        <w:t> </w:t>
      </w:r>
      <w:r>
        <w:rPr>
          <w:sz w:val="24"/>
        </w:rPr>
        <w:t>Regulations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Air</w:t>
      </w:r>
      <w:r>
        <w:rPr>
          <w:spacing w:val="-13"/>
          <w:sz w:val="24"/>
        </w:rPr>
        <w:t> </w:t>
      </w:r>
      <w:r>
        <w:rPr>
          <w:sz w:val="24"/>
        </w:rPr>
        <w:t>Pollution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China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their</w:t>
      </w:r>
      <w:r>
        <w:rPr>
          <w:spacing w:val="-10"/>
          <w:sz w:val="24"/>
        </w:rPr>
        <w:t> </w:t>
      </w:r>
      <w:r>
        <w:rPr>
          <w:sz w:val="24"/>
        </w:rPr>
        <w:t>Impact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Infant</w:t>
      </w:r>
      <w:r>
        <w:rPr>
          <w:spacing w:val="-57"/>
          <w:sz w:val="24"/>
        </w:rPr>
        <w:t> </w:t>
      </w:r>
      <w:r>
        <w:rPr>
          <w:sz w:val="24"/>
        </w:rPr>
        <w:t>Mortality.</w:t>
      </w:r>
      <w:r>
        <w:rPr>
          <w:spacing w:val="-1"/>
          <w:sz w:val="24"/>
        </w:rPr>
        <w:t> </w:t>
      </w:r>
      <w:r>
        <w:rPr>
          <w:i/>
          <w:sz w:val="24"/>
        </w:rPr>
        <w:t>Journal of Health Economics,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42, </w:t>
      </w:r>
      <w:r>
        <w:rPr>
          <w:sz w:val="24"/>
        </w:rPr>
        <w:t>90-103</w:t>
      </w:r>
    </w:p>
    <w:p>
      <w:pPr>
        <w:spacing w:before="158"/>
        <w:ind w:left="840" w:right="118" w:hanging="720"/>
        <w:jc w:val="both"/>
        <w:rPr>
          <w:sz w:val="24"/>
        </w:rPr>
      </w:pPr>
      <w:r>
        <w:rPr>
          <w:sz w:val="24"/>
        </w:rPr>
        <w:t>Thompson J. (2016). </w:t>
      </w:r>
      <w:r>
        <w:rPr>
          <w:i/>
          <w:sz w:val="24"/>
        </w:rPr>
        <w:t>Do Rising top incomes lead to increased borrowing in the rest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Distribution?</w:t>
      </w:r>
      <w:r>
        <w:rPr>
          <w:i/>
          <w:spacing w:val="-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Reserve</w:t>
      </w:r>
      <w:r>
        <w:rPr>
          <w:spacing w:val="-1"/>
          <w:sz w:val="24"/>
        </w:rPr>
        <w:t> </w:t>
      </w:r>
      <w:r>
        <w:rPr>
          <w:sz w:val="24"/>
        </w:rPr>
        <w:t>Board of</w:t>
      </w:r>
      <w:r>
        <w:rPr>
          <w:spacing w:val="-1"/>
          <w:sz w:val="24"/>
        </w:rPr>
        <w:t> </w:t>
      </w:r>
      <w:r>
        <w:rPr>
          <w:sz w:val="24"/>
        </w:rPr>
        <w:t>Governors</w:t>
      </w:r>
      <w:r>
        <w:rPr>
          <w:spacing w:val="1"/>
          <w:sz w:val="24"/>
        </w:rPr>
        <w:t> </w:t>
      </w:r>
      <w:hyperlink r:id="rId181">
        <w:r>
          <w:rPr>
            <w:sz w:val="24"/>
            <w:u w:val="single"/>
          </w:rPr>
          <w:t>jeffery.p.thompson@frb.gov</w:t>
        </w:r>
      </w:hyperlink>
    </w:p>
    <w:p>
      <w:pPr>
        <w:pStyle w:val="BodyText"/>
        <w:spacing w:before="161"/>
        <w:ind w:left="120"/>
      </w:pPr>
      <w:r>
        <w:rPr/>
        <w:t>Thorbecke,</w:t>
      </w:r>
      <w:r>
        <w:rPr>
          <w:spacing w:val="19"/>
        </w:rPr>
        <w:t> </w:t>
      </w:r>
      <w:r>
        <w:rPr/>
        <w:t>E.,</w:t>
      </w:r>
      <w:r>
        <w:rPr>
          <w:spacing w:val="19"/>
        </w:rPr>
        <w:t> </w:t>
      </w:r>
      <w:r>
        <w:rPr/>
        <w:t>&amp;</w:t>
      </w:r>
      <w:r>
        <w:rPr>
          <w:spacing w:val="17"/>
        </w:rPr>
        <w:t> </w:t>
      </w:r>
      <w:r>
        <w:rPr/>
        <w:t>Charumilind,</w:t>
      </w:r>
      <w:r>
        <w:rPr>
          <w:spacing w:val="19"/>
        </w:rPr>
        <w:t> </w:t>
      </w:r>
      <w:r>
        <w:rPr/>
        <w:t>C.</w:t>
      </w:r>
      <w:r>
        <w:rPr>
          <w:spacing w:val="16"/>
        </w:rPr>
        <w:t> </w:t>
      </w:r>
      <w:r>
        <w:rPr/>
        <w:t>(2002).</w:t>
      </w:r>
      <w:r>
        <w:rPr>
          <w:spacing w:val="18"/>
        </w:rPr>
        <w:t> </w:t>
      </w:r>
      <w:r>
        <w:rPr/>
        <w:t>Economic</w:t>
      </w:r>
      <w:r>
        <w:rPr>
          <w:spacing w:val="20"/>
        </w:rPr>
        <w:t> </w:t>
      </w:r>
      <w:r>
        <w:rPr/>
        <w:t>Inequality</w:t>
      </w:r>
      <w:r>
        <w:rPr>
          <w:spacing w:val="14"/>
        </w:rPr>
        <w:t> </w:t>
      </w:r>
      <w:r>
        <w:rPr/>
        <w:t>and</w:t>
      </w:r>
      <w:r>
        <w:rPr>
          <w:spacing w:val="21"/>
        </w:rPr>
        <w:t> </w:t>
      </w:r>
      <w:r>
        <w:rPr/>
        <w:t>Its</w:t>
      </w:r>
      <w:r>
        <w:rPr>
          <w:spacing w:val="22"/>
        </w:rPr>
        <w:t> </w:t>
      </w:r>
      <w:r>
        <w:rPr/>
        <w:t>Socioeconomic</w:t>
      </w:r>
      <w:r>
        <w:rPr>
          <w:spacing w:val="20"/>
        </w:rPr>
        <w:t> </w:t>
      </w:r>
      <w:r>
        <w:rPr/>
        <w:t>Impact.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i/>
          <w:sz w:val="24"/>
        </w:rPr>
        <w:t>World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> </w:t>
      </w:r>
      <w:r>
        <w:rPr>
          <w:sz w:val="24"/>
        </w:rPr>
        <w:t>(9),</w:t>
      </w:r>
      <w:r>
        <w:rPr>
          <w:spacing w:val="-1"/>
          <w:sz w:val="24"/>
        </w:rPr>
        <w:t> </w:t>
      </w:r>
      <w:r>
        <w:rPr>
          <w:sz w:val="24"/>
        </w:rPr>
        <w:t>1477–1495</w:t>
      </w:r>
    </w:p>
    <w:p>
      <w:pPr>
        <w:pStyle w:val="BodyText"/>
        <w:spacing w:before="161"/>
        <w:ind w:left="840" w:right="126" w:hanging="720"/>
        <w:jc w:val="both"/>
      </w:pPr>
      <w:r>
        <w:rPr/>
        <w:t>Torre R., &amp; Myrskyla, M. (2011). Income Inequality and Population Health: A Panel Data on 21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Countries,</w:t>
      </w:r>
      <w:r>
        <w:rPr>
          <w:spacing w:val="1"/>
        </w:rPr>
        <w:t> </w:t>
      </w:r>
      <w:r>
        <w:rPr>
          <w:i/>
        </w:rPr>
        <w:t>MPIDR</w:t>
      </w:r>
      <w:r>
        <w:rPr>
          <w:i/>
          <w:spacing w:val="1"/>
        </w:rPr>
        <w:t> </w:t>
      </w:r>
      <w:r>
        <w:rPr>
          <w:i/>
        </w:rPr>
        <w:t>Working Paper</w:t>
      </w:r>
      <w:r>
        <w:rPr>
          <w:i/>
          <w:spacing w:val="1"/>
        </w:rPr>
        <w:t> </w:t>
      </w:r>
      <w:r>
        <w:rPr/>
        <w:t>006</w:t>
      </w:r>
    </w:p>
    <w:p>
      <w:pPr>
        <w:spacing w:before="158"/>
        <w:ind w:left="840" w:right="122" w:hanging="720"/>
        <w:jc w:val="both"/>
        <w:rPr>
          <w:sz w:val="24"/>
        </w:rPr>
      </w:pPr>
      <w:r>
        <w:rPr>
          <w:sz w:val="24"/>
        </w:rPr>
        <w:t>Truesdale, B.C., &amp; Jencks C. (2016). The Health Effects of Income Inequality: Averages and</w:t>
      </w:r>
      <w:r>
        <w:rPr>
          <w:spacing w:val="1"/>
          <w:sz w:val="24"/>
        </w:rPr>
        <w:t> </w:t>
      </w:r>
      <w:r>
        <w:rPr>
          <w:sz w:val="24"/>
        </w:rPr>
        <w:t>Disparities.</w:t>
      </w:r>
      <w:r>
        <w:rPr>
          <w:spacing w:val="-1"/>
          <w:sz w:val="24"/>
        </w:rPr>
        <w:t> </w:t>
      </w:r>
      <w:r>
        <w:rPr>
          <w:i/>
          <w:sz w:val="24"/>
        </w:rPr>
        <w:t>Annual Review of Public Health, 37, </w:t>
      </w:r>
      <w:r>
        <w:rPr>
          <w:sz w:val="24"/>
        </w:rPr>
        <w:t>413-430</w:t>
      </w:r>
    </w:p>
    <w:p>
      <w:pPr>
        <w:spacing w:line="273" w:lineRule="auto" w:before="164"/>
        <w:ind w:left="840" w:right="121" w:hanging="720"/>
        <w:jc w:val="both"/>
        <w:rPr>
          <w:sz w:val="24"/>
        </w:rPr>
      </w:pPr>
      <w:r>
        <w:rPr>
          <w:sz w:val="24"/>
        </w:rPr>
        <w:t>Tunmen, S. &amp; Zeydanli, T. (2014). </w:t>
      </w:r>
      <w:r>
        <w:rPr>
          <w:i/>
          <w:sz w:val="24"/>
        </w:rPr>
        <w:t>Home Ownership and Job Satisfaction. Social Indicators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-1"/>
          <w:sz w:val="24"/>
        </w:rPr>
        <w:t> </w:t>
      </w:r>
      <w:hyperlink r:id="rId182">
        <w:r>
          <w:rPr>
            <w:color w:val="0462C1"/>
            <w:sz w:val="24"/>
            <w:u w:val="single" w:color="0462C1"/>
          </w:rPr>
          <w:t>http://doi.10.1007/s11205-013-0338-3</w:t>
        </w:r>
      </w:hyperlink>
    </w:p>
    <w:p>
      <w:pPr>
        <w:spacing w:before="163"/>
        <w:ind w:left="840" w:right="120" w:hanging="720"/>
        <w:jc w:val="both"/>
        <w:rPr>
          <w:sz w:val="24"/>
        </w:rPr>
      </w:pPr>
      <w:r>
        <w:rPr>
          <w:sz w:val="24"/>
        </w:rPr>
        <w:t>United Nations (2020). </w:t>
      </w:r>
      <w:r>
        <w:rPr>
          <w:i/>
          <w:sz w:val="24"/>
        </w:rPr>
        <w:t>Inequality in a Rapidly Changing World</w:t>
      </w:r>
      <w:r>
        <w:rPr>
          <w:sz w:val="24"/>
        </w:rPr>
        <w:t>. Department of Economic and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Affairs. United</w:t>
      </w:r>
      <w:r>
        <w:rPr>
          <w:spacing w:val="1"/>
          <w:sz w:val="24"/>
        </w:rPr>
        <w:t> </w:t>
      </w:r>
      <w:r>
        <w:rPr>
          <w:sz w:val="24"/>
        </w:rPr>
        <w:t>Nations.</w:t>
      </w:r>
    </w:p>
    <w:p>
      <w:pPr>
        <w:spacing w:before="161"/>
        <w:ind w:left="840" w:right="117" w:hanging="720"/>
        <w:jc w:val="both"/>
        <w:rPr>
          <w:sz w:val="24"/>
        </w:rPr>
      </w:pPr>
      <w:r>
        <w:rPr>
          <w:sz w:val="24"/>
        </w:rPr>
        <w:t>United Nations (2018). </w:t>
      </w:r>
      <w:r>
        <w:rPr>
          <w:i/>
          <w:sz w:val="24"/>
        </w:rPr>
        <w:t>World Economic Situation and Prospects 2018</w:t>
      </w:r>
      <w:r>
        <w:rPr>
          <w:sz w:val="24"/>
        </w:rPr>
        <w:t>. United Nations, New</w:t>
      </w:r>
      <w:r>
        <w:rPr>
          <w:spacing w:val="1"/>
          <w:sz w:val="24"/>
        </w:rPr>
        <w:t> </w:t>
      </w:r>
      <w:r>
        <w:rPr>
          <w:sz w:val="24"/>
        </w:rPr>
        <w:t>York.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1320" w:right="1320"/>
        </w:sectPr>
      </w:pPr>
    </w:p>
    <w:p>
      <w:pPr>
        <w:spacing w:before="72"/>
        <w:ind w:left="840" w:right="116" w:hanging="720"/>
        <w:jc w:val="both"/>
        <w:rPr>
          <w:sz w:val="24"/>
        </w:rPr>
      </w:pP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i/>
          <w:sz w:val="24"/>
        </w:rPr>
        <w:t>Income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sub-Saharan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Africa.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Divergence, Determinants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Consequences.</w:t>
      </w:r>
      <w:r>
        <w:rPr>
          <w:i/>
          <w:spacing w:val="2"/>
          <w:sz w:val="24"/>
        </w:rPr>
        <w:t> </w:t>
      </w:r>
      <w:r>
        <w:rPr>
          <w:sz w:val="24"/>
        </w:rPr>
        <w:t>UNDP, New</w:t>
      </w:r>
      <w:r>
        <w:rPr>
          <w:spacing w:val="-1"/>
          <w:sz w:val="24"/>
        </w:rPr>
        <w:t> </w:t>
      </w:r>
      <w:r>
        <w:rPr>
          <w:sz w:val="24"/>
        </w:rPr>
        <w:t>York</w:t>
      </w:r>
    </w:p>
    <w:p>
      <w:pPr>
        <w:spacing w:line="379" w:lineRule="auto" w:before="161"/>
        <w:ind w:left="120" w:right="114" w:firstLine="0"/>
        <w:jc w:val="both"/>
        <w:rPr>
          <w:sz w:val="24"/>
        </w:rPr>
      </w:pPr>
      <w:r>
        <w:rPr>
          <w:sz w:val="24"/>
        </w:rPr>
        <w:t>United</w:t>
      </w:r>
      <w:r>
        <w:rPr>
          <w:spacing w:val="-15"/>
          <w:sz w:val="24"/>
        </w:rPr>
        <w:t> </w:t>
      </w:r>
      <w:r>
        <w:rPr>
          <w:sz w:val="24"/>
        </w:rPr>
        <w:t>Nations</w:t>
      </w:r>
      <w:r>
        <w:rPr>
          <w:spacing w:val="-13"/>
          <w:sz w:val="24"/>
        </w:rPr>
        <w:t> </w:t>
      </w:r>
      <w:r>
        <w:rPr>
          <w:sz w:val="24"/>
        </w:rPr>
        <w:t>(2016a).</w:t>
      </w:r>
      <w:r>
        <w:rPr>
          <w:spacing w:val="-11"/>
          <w:sz w:val="24"/>
        </w:rPr>
        <w:t> </w:t>
      </w:r>
      <w:r>
        <w:rPr>
          <w:i/>
          <w:sz w:val="24"/>
        </w:rPr>
        <w:t>UNDP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2015.</w:t>
      </w:r>
      <w:r>
        <w:rPr>
          <w:i/>
          <w:spacing w:val="-12"/>
          <w:sz w:val="24"/>
        </w:rPr>
        <w:t> </w:t>
      </w:r>
      <w:r>
        <w:rPr>
          <w:sz w:val="24"/>
        </w:rPr>
        <w:t>UNDP,</w:t>
      </w:r>
      <w:r>
        <w:rPr>
          <w:spacing w:val="-14"/>
          <w:sz w:val="24"/>
        </w:rPr>
        <w:t> </w:t>
      </w:r>
      <w:r>
        <w:rPr>
          <w:sz w:val="24"/>
        </w:rPr>
        <w:t>New</w:t>
      </w:r>
      <w:r>
        <w:rPr>
          <w:spacing w:val="-14"/>
          <w:sz w:val="24"/>
        </w:rPr>
        <w:t> </w:t>
      </w:r>
      <w:r>
        <w:rPr>
          <w:sz w:val="24"/>
        </w:rPr>
        <w:t>York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United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Nations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Development</w:t>
      </w:r>
      <w:r>
        <w:rPr>
          <w:spacing w:val="-11"/>
          <w:sz w:val="24"/>
        </w:rPr>
        <w:t> </w:t>
      </w:r>
      <w:r>
        <w:rPr>
          <w:sz w:val="24"/>
        </w:rPr>
        <w:t>Programme</w:t>
      </w:r>
      <w:r>
        <w:rPr>
          <w:spacing w:val="-11"/>
          <w:sz w:val="24"/>
        </w:rPr>
        <w:t> </w:t>
      </w:r>
      <w:r>
        <w:rPr>
          <w:sz w:val="24"/>
        </w:rPr>
        <w:t>(2016b).</w:t>
      </w:r>
      <w:r>
        <w:rPr>
          <w:spacing w:val="-11"/>
          <w:sz w:val="24"/>
        </w:rPr>
        <w:t> </w:t>
      </w:r>
      <w:r>
        <w:rPr>
          <w:i/>
          <w:sz w:val="24"/>
        </w:rPr>
        <w:t>UNDP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2016.</w:t>
      </w:r>
      <w:r>
        <w:rPr>
          <w:i/>
          <w:spacing w:val="-10"/>
          <w:sz w:val="24"/>
        </w:rPr>
        <w:t> </w:t>
      </w:r>
      <w:r>
        <w:rPr>
          <w:sz w:val="24"/>
        </w:rPr>
        <w:t>UNDP</w:t>
      </w:r>
      <w:r>
        <w:rPr>
          <w:spacing w:val="-58"/>
          <w:sz w:val="24"/>
        </w:rPr>
        <w:t> </w:t>
      </w:r>
      <w:r>
        <w:rPr>
          <w:sz w:val="24"/>
        </w:rPr>
        <w:t>United</w:t>
      </w:r>
      <w:r>
        <w:rPr>
          <w:spacing w:val="-13"/>
          <w:sz w:val="24"/>
        </w:rPr>
        <w:t> </w:t>
      </w:r>
      <w:r>
        <w:rPr>
          <w:sz w:val="24"/>
        </w:rPr>
        <w:t>Nations</w:t>
      </w:r>
      <w:r>
        <w:rPr>
          <w:spacing w:val="-12"/>
          <w:sz w:val="24"/>
        </w:rPr>
        <w:t> </w:t>
      </w:r>
      <w:r>
        <w:rPr>
          <w:sz w:val="24"/>
        </w:rPr>
        <w:t>(2014).</w:t>
      </w:r>
      <w:r>
        <w:rPr>
          <w:spacing w:val="-12"/>
          <w:sz w:val="24"/>
        </w:rPr>
        <w:t> </w:t>
      </w:r>
      <w:r>
        <w:rPr>
          <w:i/>
          <w:sz w:val="24"/>
        </w:rPr>
        <w:t>2014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Indicator</w:t>
      </w:r>
      <w:r>
        <w:rPr>
          <w:i/>
          <w:spacing w:val="-9"/>
          <w:sz w:val="24"/>
        </w:rPr>
        <w:t> </w:t>
      </w:r>
      <w:hyperlink r:id="rId183">
        <w:r>
          <w:rPr>
            <w:sz w:val="24"/>
            <w:u w:val="single"/>
          </w:rPr>
          <w:t>http://hdr.undp.org/en/data</w:t>
        </w:r>
      </w:hyperlink>
    </w:p>
    <w:p>
      <w:pPr>
        <w:pStyle w:val="BodyText"/>
        <w:ind w:left="120"/>
        <w:jc w:val="both"/>
      </w:pPr>
      <w:r>
        <w:rPr>
          <w:spacing w:val="-1"/>
        </w:rPr>
        <w:t>UNICEF</w:t>
      </w:r>
      <w:r>
        <w:rPr>
          <w:spacing w:val="-17"/>
        </w:rPr>
        <w:t> </w:t>
      </w:r>
      <w:r>
        <w:rPr>
          <w:spacing w:val="-1"/>
        </w:rPr>
        <w:t>(2020).</w:t>
      </w:r>
      <w:r>
        <w:rPr>
          <w:spacing w:val="-15"/>
        </w:rPr>
        <w:t> </w:t>
      </w:r>
      <w:r>
        <w:rPr/>
        <w:t>Programme</w:t>
      </w:r>
      <w:r>
        <w:rPr>
          <w:spacing w:val="-16"/>
        </w:rPr>
        <w:t> </w:t>
      </w:r>
      <w:r>
        <w:rPr/>
        <w:t>Guidance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Early</w:t>
      </w:r>
      <w:r>
        <w:rPr>
          <w:spacing w:val="-16"/>
        </w:rPr>
        <w:t> </w:t>
      </w:r>
      <w:r>
        <w:rPr/>
        <w:t>Life</w:t>
      </w:r>
      <w:r>
        <w:rPr>
          <w:spacing w:val="-16"/>
        </w:rPr>
        <w:t> </w:t>
      </w:r>
      <w:r>
        <w:rPr/>
        <w:t>Prevention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Non-Communicable</w:t>
      </w:r>
      <w:r>
        <w:rPr>
          <w:spacing w:val="-15"/>
        </w:rPr>
        <w:t> </w:t>
      </w:r>
      <w:r>
        <w:rPr/>
        <w:t>Diseases.</w:t>
      </w:r>
    </w:p>
    <w:p>
      <w:pPr>
        <w:pStyle w:val="BodyText"/>
        <w:ind w:left="840"/>
      </w:pPr>
      <w:r>
        <w:rPr/>
        <w:t>New</w:t>
      </w:r>
      <w:r>
        <w:rPr>
          <w:spacing w:val="-1"/>
        </w:rPr>
        <w:t> </w:t>
      </w:r>
      <w:r>
        <w:rPr/>
        <w:t>York, USA</w:t>
      </w:r>
    </w:p>
    <w:p>
      <w:pPr>
        <w:spacing w:before="158"/>
        <w:ind w:left="120" w:right="0" w:firstLine="0"/>
        <w:jc w:val="left"/>
        <w:rPr>
          <w:sz w:val="24"/>
        </w:rPr>
      </w:pPr>
      <w:r>
        <w:rPr>
          <w:sz w:val="24"/>
        </w:rPr>
        <w:t>UNICEF</w:t>
      </w:r>
      <w:r>
        <w:rPr>
          <w:spacing w:val="-4"/>
          <w:sz w:val="24"/>
        </w:rPr>
        <w:t> </w:t>
      </w:r>
      <w:r>
        <w:rPr>
          <w:sz w:val="24"/>
        </w:rPr>
        <w:t>(2018).</w:t>
      </w:r>
      <w:r>
        <w:rPr>
          <w:spacing w:val="-1"/>
          <w:sz w:val="24"/>
        </w:rPr>
        <w:t> </w:t>
      </w:r>
      <w:r>
        <w:rPr>
          <w:i/>
          <w:sz w:val="24"/>
        </w:rPr>
        <w:t>Maternal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Newborn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Health.</w:t>
      </w:r>
      <w:r>
        <w:rPr>
          <w:i/>
          <w:spacing w:val="1"/>
          <w:sz w:val="24"/>
        </w:rPr>
        <w:t> </w:t>
      </w:r>
      <w:r>
        <w:rPr>
          <w:sz w:val="24"/>
        </w:rPr>
        <w:t>UNICEF</w:t>
      </w:r>
      <w:r>
        <w:rPr>
          <w:spacing w:val="-3"/>
          <w:sz w:val="24"/>
        </w:rPr>
        <w:t> </w:t>
      </w:r>
      <w:r>
        <w:rPr>
          <w:sz w:val="24"/>
        </w:rPr>
        <w:t>Nigeria</w:t>
      </w:r>
    </w:p>
    <w:p>
      <w:pPr>
        <w:spacing w:before="161"/>
        <w:ind w:left="840" w:right="121" w:hanging="720"/>
        <w:jc w:val="both"/>
        <w:rPr>
          <w:sz w:val="24"/>
        </w:rPr>
      </w:pPr>
      <w:r>
        <w:rPr>
          <w:sz w:val="24"/>
        </w:rPr>
        <w:t>UNICEF (2016). </w:t>
      </w:r>
      <w:r>
        <w:rPr>
          <w:i/>
          <w:sz w:val="24"/>
        </w:rPr>
        <w:t>Why Income Inequalities Matter for Young People’s Health: A Look at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Evidence.</w:t>
      </w:r>
      <w:r>
        <w:rPr>
          <w:i/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Paper-2016-06</w:t>
      </w:r>
    </w:p>
    <w:p>
      <w:pPr>
        <w:pStyle w:val="BodyText"/>
        <w:spacing w:line="376" w:lineRule="auto" w:before="161"/>
        <w:ind w:left="120" w:right="3507"/>
      </w:pPr>
      <w:r>
        <w:rPr/>
        <w:t>UNICEF (2015). </w:t>
      </w:r>
      <w:r>
        <w:rPr>
          <w:i/>
        </w:rPr>
        <w:t>At a Glance: Nigeria</w:t>
      </w:r>
      <w:r>
        <w:rPr/>
        <w:t>. UNICEF. New York</w:t>
      </w:r>
      <w:r>
        <w:rPr>
          <w:spacing w:val="1"/>
        </w:rPr>
        <w:t> </w:t>
      </w:r>
      <w:r>
        <w:rPr/>
        <w:t>UNICEF</w:t>
      </w:r>
      <w:r>
        <w:rPr>
          <w:spacing w:val="-4"/>
        </w:rPr>
        <w:t> </w:t>
      </w:r>
      <w:r>
        <w:rPr/>
        <w:t>(2012),</w:t>
      </w:r>
      <w:r>
        <w:rPr>
          <w:spacing w:val="-2"/>
        </w:rPr>
        <w:t> </w:t>
      </w:r>
      <w:r>
        <w:rPr/>
        <w:t>UNICEF</w:t>
      </w:r>
      <w:r>
        <w:rPr>
          <w:spacing w:val="-3"/>
        </w:rPr>
        <w:t> </w:t>
      </w:r>
      <w:r>
        <w:rPr/>
        <w:t>Reports on</w:t>
      </w:r>
      <w:r>
        <w:rPr>
          <w:spacing w:val="-1"/>
        </w:rPr>
        <w:t> </w:t>
      </w:r>
      <w:r>
        <w:rPr/>
        <w:t>Child</w:t>
      </w:r>
      <w:r>
        <w:rPr>
          <w:spacing w:val="-2"/>
        </w:rPr>
        <w:t> </w:t>
      </w:r>
      <w:r>
        <w:rPr/>
        <w:t>Deaths,</w:t>
      </w:r>
      <w:r>
        <w:rPr>
          <w:spacing w:val="-2"/>
        </w:rPr>
        <w:t> </w:t>
      </w:r>
      <w:r>
        <w:rPr/>
        <w:t>UNICEF</w:t>
      </w:r>
    </w:p>
    <w:p>
      <w:pPr>
        <w:spacing w:before="5"/>
        <w:ind w:left="840" w:right="120" w:hanging="720"/>
        <w:jc w:val="both"/>
        <w:rPr>
          <w:sz w:val="24"/>
        </w:rPr>
      </w:pPr>
      <w:r>
        <w:rPr>
          <w:sz w:val="24"/>
        </w:rPr>
        <w:t>Usman,</w:t>
      </w:r>
      <w:r>
        <w:rPr>
          <w:spacing w:val="-9"/>
          <w:sz w:val="24"/>
        </w:rPr>
        <w:t> </w:t>
      </w:r>
      <w:r>
        <w:rPr>
          <w:sz w:val="24"/>
        </w:rPr>
        <w:t>Z.A.,</w:t>
      </w:r>
      <w:r>
        <w:rPr>
          <w:spacing w:val="-9"/>
          <w:sz w:val="24"/>
        </w:rPr>
        <w:t> </w:t>
      </w:r>
      <w:r>
        <w:rPr>
          <w:sz w:val="24"/>
        </w:rPr>
        <w:t>Ritter,</w:t>
      </w:r>
      <w:r>
        <w:rPr>
          <w:spacing w:val="-7"/>
          <w:sz w:val="24"/>
        </w:rPr>
        <w:t> </w:t>
      </w:r>
      <w:r>
        <w:rPr>
          <w:sz w:val="24"/>
        </w:rPr>
        <w:t>K.,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10"/>
          <w:sz w:val="24"/>
        </w:rPr>
        <w:t> </w:t>
      </w:r>
      <w:r>
        <w:rPr>
          <w:sz w:val="24"/>
        </w:rPr>
        <w:t>Vinogradov,</w:t>
      </w:r>
      <w:r>
        <w:rPr>
          <w:spacing w:val="-8"/>
          <w:sz w:val="24"/>
        </w:rPr>
        <w:t> </w:t>
      </w:r>
      <w:r>
        <w:rPr>
          <w:sz w:val="24"/>
        </w:rPr>
        <w:t>S.A.</w:t>
      </w:r>
      <w:r>
        <w:rPr>
          <w:spacing w:val="-9"/>
          <w:sz w:val="24"/>
        </w:rPr>
        <w:t> </w:t>
      </w:r>
      <w:r>
        <w:rPr>
          <w:sz w:val="24"/>
        </w:rPr>
        <w:t>(2016).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Dynamics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Income</w:t>
      </w:r>
      <w:r>
        <w:rPr>
          <w:spacing w:val="-6"/>
          <w:sz w:val="24"/>
        </w:rPr>
        <w:t> </w:t>
      </w:r>
      <w:r>
        <w:rPr>
          <w:sz w:val="24"/>
        </w:rPr>
        <w:t>Inequality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Rural</w:t>
      </w:r>
      <w:r>
        <w:rPr>
          <w:spacing w:val="-57"/>
          <w:sz w:val="24"/>
        </w:rPr>
        <w:t> </w:t>
      </w:r>
      <w:r>
        <w:rPr>
          <w:sz w:val="24"/>
        </w:rPr>
        <w:t>Areas of Nigeria.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Agricultural Extension, Economics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 Sociology.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11</w:t>
      </w:r>
      <w:r>
        <w:rPr>
          <w:i/>
          <w:spacing w:val="-1"/>
          <w:sz w:val="24"/>
        </w:rPr>
        <w:t> </w:t>
      </w:r>
      <w:r>
        <w:rPr>
          <w:sz w:val="24"/>
        </w:rPr>
        <w:t>(4), 1-13</w:t>
      </w:r>
    </w:p>
    <w:p>
      <w:pPr>
        <w:pStyle w:val="BodyText"/>
        <w:spacing w:before="161"/>
        <w:ind w:left="120"/>
        <w:jc w:val="both"/>
      </w:pPr>
      <w:r>
        <w:rPr/>
        <w:t>Vespa,</w:t>
      </w:r>
      <w:r>
        <w:rPr>
          <w:spacing w:val="26"/>
        </w:rPr>
        <w:t> </w:t>
      </w:r>
      <w:r>
        <w:rPr/>
        <w:t>J.,</w:t>
      </w:r>
      <w:r>
        <w:rPr>
          <w:spacing w:val="30"/>
        </w:rPr>
        <w:t> </w:t>
      </w:r>
      <w:r>
        <w:rPr/>
        <w:t>&amp;</w:t>
      </w:r>
      <w:r>
        <w:rPr>
          <w:spacing w:val="24"/>
        </w:rPr>
        <w:t> </w:t>
      </w:r>
      <w:r>
        <w:rPr/>
        <w:t>Painter,</w:t>
      </w:r>
      <w:r>
        <w:rPr>
          <w:spacing w:val="29"/>
        </w:rPr>
        <w:t> </w:t>
      </w:r>
      <w:r>
        <w:rPr/>
        <w:t>M.A.</w:t>
      </w:r>
      <w:r>
        <w:rPr>
          <w:spacing w:val="28"/>
        </w:rPr>
        <w:t> </w:t>
      </w:r>
      <w:r>
        <w:rPr/>
        <w:t>(2011).</w:t>
      </w:r>
      <w:r>
        <w:rPr>
          <w:spacing w:val="28"/>
        </w:rPr>
        <w:t> </w:t>
      </w:r>
      <w:r>
        <w:rPr/>
        <w:t>Cohabitation</w:t>
      </w:r>
      <w:r>
        <w:rPr>
          <w:spacing w:val="29"/>
        </w:rPr>
        <w:t> </w:t>
      </w:r>
      <w:r>
        <w:rPr/>
        <w:t>history,</w:t>
      </w:r>
      <w:r>
        <w:rPr>
          <w:spacing w:val="27"/>
        </w:rPr>
        <w:t> </w:t>
      </w:r>
      <w:r>
        <w:rPr/>
        <w:t>Marriage,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Wealth</w:t>
      </w:r>
      <w:r>
        <w:rPr>
          <w:spacing w:val="26"/>
        </w:rPr>
        <w:t> </w:t>
      </w:r>
      <w:r>
        <w:rPr/>
        <w:t>Accumulation.</w:t>
      </w:r>
    </w:p>
    <w:p>
      <w:pPr>
        <w:spacing w:before="0"/>
        <w:ind w:left="840" w:right="0" w:firstLine="0"/>
        <w:jc w:val="left"/>
        <w:rPr>
          <w:sz w:val="24"/>
        </w:rPr>
      </w:pPr>
      <w:r>
        <w:rPr>
          <w:i/>
          <w:sz w:val="24"/>
        </w:rPr>
        <w:t>Demography,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48, </w:t>
      </w:r>
      <w:r>
        <w:rPr>
          <w:sz w:val="24"/>
        </w:rPr>
        <w:t>(3),</w:t>
      </w:r>
      <w:r>
        <w:rPr>
          <w:spacing w:val="-2"/>
          <w:sz w:val="24"/>
        </w:rPr>
        <w:t> </w:t>
      </w:r>
      <w:r>
        <w:rPr>
          <w:sz w:val="24"/>
        </w:rPr>
        <w:t>983-1004</w:t>
      </w:r>
    </w:p>
    <w:p>
      <w:pPr>
        <w:pStyle w:val="BodyText"/>
        <w:spacing w:before="158"/>
        <w:ind w:left="120"/>
        <w:jc w:val="both"/>
      </w:pPr>
      <w:r>
        <w:rPr/>
        <w:t>Vicante,</w:t>
      </w:r>
      <w:r>
        <w:rPr>
          <w:spacing w:val="33"/>
        </w:rPr>
        <w:t> </w:t>
      </w:r>
      <w:r>
        <w:rPr/>
        <w:t>P.C.</w:t>
      </w:r>
      <w:r>
        <w:rPr>
          <w:spacing w:val="33"/>
        </w:rPr>
        <w:t> </w:t>
      </w:r>
      <w:r>
        <w:rPr/>
        <w:t>(2010).</w:t>
      </w:r>
      <w:r>
        <w:rPr>
          <w:spacing w:val="34"/>
        </w:rPr>
        <w:t> </w:t>
      </w:r>
      <w:r>
        <w:rPr/>
        <w:t>Does</w:t>
      </w:r>
      <w:r>
        <w:rPr>
          <w:spacing w:val="34"/>
        </w:rPr>
        <w:t> </w:t>
      </w:r>
      <w:r>
        <w:rPr/>
        <w:t>oil</w:t>
      </w:r>
      <w:r>
        <w:rPr>
          <w:spacing w:val="34"/>
        </w:rPr>
        <w:t> </w:t>
      </w:r>
      <w:r>
        <w:rPr/>
        <w:t>Corrupt?</w:t>
      </w:r>
      <w:r>
        <w:rPr>
          <w:spacing w:val="35"/>
        </w:rPr>
        <w:t> </w:t>
      </w:r>
      <w:r>
        <w:rPr/>
        <w:t>Evidence</w:t>
      </w:r>
      <w:r>
        <w:rPr>
          <w:spacing w:val="32"/>
        </w:rPr>
        <w:t> </w:t>
      </w:r>
      <w:r>
        <w:rPr/>
        <w:t>from</w:t>
      </w:r>
      <w:r>
        <w:rPr>
          <w:spacing w:val="35"/>
        </w:rPr>
        <w:t> </w:t>
      </w:r>
      <w:r>
        <w:rPr/>
        <w:t>a</w:t>
      </w:r>
      <w:r>
        <w:rPr>
          <w:spacing w:val="32"/>
        </w:rPr>
        <w:t> </w:t>
      </w:r>
      <w:r>
        <w:rPr/>
        <w:t>natural</w:t>
      </w:r>
      <w:r>
        <w:rPr>
          <w:spacing w:val="34"/>
        </w:rPr>
        <w:t> </w:t>
      </w:r>
      <w:r>
        <w:rPr/>
        <w:t>Experiment</w:t>
      </w:r>
      <w:r>
        <w:rPr>
          <w:spacing w:val="35"/>
        </w:rPr>
        <w:t> </w:t>
      </w:r>
      <w:r>
        <w:rPr/>
        <w:t>in</w:t>
      </w:r>
      <w:r>
        <w:rPr>
          <w:spacing w:val="31"/>
        </w:rPr>
        <w:t> </w:t>
      </w:r>
      <w:r>
        <w:rPr/>
        <w:t>West</w:t>
      </w:r>
      <w:r>
        <w:rPr>
          <w:spacing w:val="35"/>
        </w:rPr>
        <w:t> </w:t>
      </w:r>
      <w:r>
        <w:rPr/>
        <w:t>Africa.</w:t>
      </w:r>
    </w:p>
    <w:p>
      <w:pPr>
        <w:spacing w:before="1"/>
        <w:ind w:left="8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Economics, 92,</w:t>
      </w:r>
      <w:r>
        <w:rPr>
          <w:i/>
          <w:spacing w:val="-1"/>
          <w:sz w:val="24"/>
        </w:rPr>
        <w:t> </w:t>
      </w:r>
      <w:r>
        <w:rPr>
          <w:sz w:val="24"/>
        </w:rPr>
        <w:t>28-38</w:t>
      </w:r>
    </w:p>
    <w:p>
      <w:pPr>
        <w:spacing w:before="161"/>
        <w:ind w:left="840" w:right="122" w:hanging="720"/>
        <w:jc w:val="both"/>
        <w:rPr>
          <w:sz w:val="24"/>
        </w:rPr>
      </w:pPr>
      <w:r>
        <w:rPr>
          <w:sz w:val="24"/>
        </w:rPr>
        <w:t>Wagstaff, A. &amp; van-Doorslaer, E. (2000). Income Inequality and health: What does the literature</w:t>
      </w:r>
      <w:r>
        <w:rPr>
          <w:spacing w:val="1"/>
          <w:sz w:val="24"/>
        </w:rPr>
        <w:t> </w:t>
      </w:r>
      <w:r>
        <w:rPr>
          <w:sz w:val="24"/>
        </w:rPr>
        <w:t>tell</w:t>
      </w:r>
      <w:r>
        <w:rPr>
          <w:spacing w:val="-1"/>
          <w:sz w:val="24"/>
        </w:rPr>
        <w:t> </w:t>
      </w:r>
      <w:r>
        <w:rPr>
          <w:sz w:val="24"/>
        </w:rPr>
        <w:t>us?</w:t>
      </w:r>
      <w:r>
        <w:rPr>
          <w:spacing w:val="3"/>
          <w:sz w:val="24"/>
        </w:rPr>
        <w:t> </w:t>
      </w:r>
      <w:r>
        <w:rPr>
          <w:i/>
          <w:sz w:val="24"/>
        </w:rPr>
        <w:t>Annual Review 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21, </w:t>
      </w:r>
      <w:r>
        <w:rPr>
          <w:sz w:val="24"/>
        </w:rPr>
        <w:t>543-567</w:t>
      </w:r>
    </w:p>
    <w:p>
      <w:pPr>
        <w:pStyle w:val="BodyText"/>
        <w:spacing w:before="158"/>
        <w:ind w:left="840" w:right="124" w:hanging="720"/>
        <w:jc w:val="both"/>
      </w:pPr>
      <w:r>
        <w:rPr/>
        <w:t>Weich, S., Lewis, G., &amp; Jenkins, S. (2001). Income Inequality and the prevalence of common</w:t>
      </w:r>
      <w:r>
        <w:rPr>
          <w:spacing w:val="1"/>
        </w:rPr>
        <w:t> </w:t>
      </w:r>
      <w:r>
        <w:rPr/>
        <w:t>Mental</w:t>
      </w:r>
      <w:r>
        <w:rPr>
          <w:spacing w:val="-1"/>
        </w:rPr>
        <w:t> </w:t>
      </w:r>
      <w:r>
        <w:rPr/>
        <w:t>Health Disorders in Britain,</w:t>
      </w:r>
      <w:r>
        <w:rPr>
          <w:spacing w:val="1"/>
        </w:rPr>
        <w:t> </w:t>
      </w:r>
      <w:r>
        <w:rPr>
          <w:i/>
        </w:rPr>
        <w:t>British Journal</w:t>
      </w:r>
      <w:r>
        <w:rPr>
          <w:i/>
          <w:spacing w:val="-1"/>
        </w:rPr>
        <w:t> </w:t>
      </w:r>
      <w:r>
        <w:rPr>
          <w:i/>
        </w:rPr>
        <w:t>of Psychiatry</w:t>
      </w:r>
      <w:r>
        <w:rPr/>
        <w:t>,</w:t>
      </w:r>
      <w:r>
        <w:rPr>
          <w:spacing w:val="-1"/>
        </w:rPr>
        <w:t> </w:t>
      </w:r>
      <w:r>
        <w:rPr>
          <w:i/>
        </w:rPr>
        <w:t>178, </w:t>
      </w:r>
      <w:r>
        <w:rPr/>
        <w:t>(2),</w:t>
      </w:r>
      <w:r>
        <w:rPr>
          <w:spacing w:val="1"/>
        </w:rPr>
        <w:t> </w:t>
      </w:r>
      <w:r>
        <w:rPr/>
        <w:t>22-27</w:t>
      </w:r>
    </w:p>
    <w:p>
      <w:pPr>
        <w:pStyle w:val="BodyText"/>
        <w:spacing w:before="161"/>
        <w:ind w:left="120"/>
        <w:jc w:val="both"/>
      </w:pPr>
      <w:r>
        <w:rPr/>
        <w:t>Wickson,</w:t>
      </w:r>
      <w:r>
        <w:rPr>
          <w:spacing w:val="-2"/>
        </w:rPr>
        <w:t> </w:t>
      </w:r>
      <w:r>
        <w:rPr/>
        <w:t>(1901).</w:t>
      </w:r>
      <w:r>
        <w:rPr>
          <w:spacing w:val="1"/>
        </w:rPr>
        <w:t> </w:t>
      </w:r>
      <w:r>
        <w:rPr/>
        <w:t>Lectures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Political</w:t>
      </w:r>
      <w:r>
        <w:rPr>
          <w:spacing w:val="-2"/>
        </w:rPr>
        <w:t> </w:t>
      </w:r>
      <w:r>
        <w:rPr/>
        <w:t>Economy,</w:t>
      </w:r>
      <w:r>
        <w:rPr>
          <w:spacing w:val="1"/>
        </w:rPr>
        <w:t> </w:t>
      </w:r>
      <w:r>
        <w:rPr/>
        <w:t>pp.</w:t>
      </w:r>
      <w:r>
        <w:rPr>
          <w:spacing w:val="-2"/>
        </w:rPr>
        <w:t> </w:t>
      </w:r>
      <w:r>
        <w:rPr/>
        <w:t>172-184</w:t>
      </w:r>
    </w:p>
    <w:p>
      <w:pPr>
        <w:spacing w:before="161"/>
        <w:ind w:left="840" w:right="116" w:hanging="720"/>
        <w:jc w:val="both"/>
        <w:rPr>
          <w:sz w:val="24"/>
        </w:rPr>
      </w:pPr>
      <w:r>
        <w:rPr>
          <w:sz w:val="24"/>
        </w:rPr>
        <w:t>Wikman, A., Marklund, S., &amp; Alexanderson, K. (2005). Illness, Disease, and Sickness absence: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Empirical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Differences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Concepts</w:t>
      </w:r>
      <w:r>
        <w:rPr>
          <w:spacing w:val="-2"/>
          <w:sz w:val="24"/>
        </w:rPr>
        <w:t> </w:t>
      </w:r>
      <w:r>
        <w:rPr>
          <w:sz w:val="24"/>
        </w:rPr>
        <w:t>of Ill-health.</w:t>
      </w:r>
      <w:r>
        <w:rPr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Epidemiology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Health.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59, </w:t>
      </w:r>
      <w:r>
        <w:rPr>
          <w:sz w:val="24"/>
        </w:rPr>
        <w:t>450-454</w:t>
      </w:r>
    </w:p>
    <w:p>
      <w:pPr>
        <w:spacing w:before="159"/>
        <w:ind w:left="840" w:right="120" w:hanging="720"/>
        <w:jc w:val="both"/>
        <w:rPr>
          <w:sz w:val="24"/>
        </w:rPr>
      </w:pPr>
      <w:r>
        <w:rPr>
          <w:sz w:val="24"/>
        </w:rPr>
        <w:t>Wilkinson, R.G. (1992). </w:t>
      </w:r>
      <w:r>
        <w:rPr>
          <w:i/>
          <w:sz w:val="24"/>
        </w:rPr>
        <w:t>Income Distribution and Life Expectancy</w:t>
      </w:r>
      <w:r>
        <w:rPr>
          <w:sz w:val="24"/>
        </w:rPr>
        <w:t>. British Medical Journal. 304</w:t>
      </w:r>
      <w:r>
        <w:rPr>
          <w:spacing w:val="1"/>
          <w:sz w:val="24"/>
        </w:rPr>
        <w:t> </w:t>
      </w:r>
      <w:r>
        <w:rPr>
          <w:sz w:val="24"/>
        </w:rPr>
        <w:t>(6820),</w:t>
      </w:r>
      <w:r>
        <w:rPr>
          <w:spacing w:val="-1"/>
          <w:sz w:val="24"/>
        </w:rPr>
        <w:t> </w:t>
      </w:r>
      <w:r>
        <w:rPr>
          <w:sz w:val="24"/>
        </w:rPr>
        <w:t>165-168</w:t>
      </w:r>
    </w:p>
    <w:p>
      <w:pPr>
        <w:spacing w:before="161"/>
        <w:ind w:left="120" w:right="0" w:firstLine="0"/>
        <w:jc w:val="both"/>
        <w:rPr>
          <w:sz w:val="24"/>
        </w:rPr>
      </w:pPr>
      <w:r>
        <w:rPr>
          <w:sz w:val="24"/>
        </w:rPr>
        <w:t>-------------------</w:t>
      </w:r>
      <w:r>
        <w:rPr>
          <w:spacing w:val="-2"/>
          <w:sz w:val="24"/>
        </w:rPr>
        <w:t> </w:t>
      </w:r>
      <w:r>
        <w:rPr>
          <w:sz w:val="24"/>
        </w:rPr>
        <w:t>(1994).</w:t>
      </w:r>
      <w:r>
        <w:rPr>
          <w:spacing w:val="-1"/>
          <w:sz w:val="24"/>
        </w:rPr>
        <w:t> </w:t>
      </w:r>
      <w:r>
        <w:rPr>
          <w:i/>
          <w:sz w:val="24"/>
        </w:rPr>
        <w:t>Unhealthy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Societies: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 Afflictions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Inequality.</w:t>
      </w:r>
      <w:r>
        <w:rPr>
          <w:i/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Routledge</w:t>
      </w:r>
    </w:p>
    <w:p>
      <w:pPr>
        <w:pStyle w:val="BodyText"/>
        <w:spacing w:before="161"/>
        <w:ind w:left="106" w:right="108"/>
        <w:jc w:val="center"/>
      </w:pPr>
      <w:r>
        <w:rPr/>
        <w:t>Wilkinson,</w:t>
      </w:r>
      <w:r>
        <w:rPr>
          <w:spacing w:val="25"/>
        </w:rPr>
        <w:t> </w:t>
      </w:r>
      <w:r>
        <w:rPr/>
        <w:t>R.G.,</w:t>
      </w:r>
      <w:r>
        <w:rPr>
          <w:spacing w:val="26"/>
        </w:rPr>
        <w:t> </w:t>
      </w:r>
      <w:r>
        <w:rPr/>
        <w:t>&amp;</w:t>
      </w:r>
      <w:r>
        <w:rPr>
          <w:spacing w:val="23"/>
        </w:rPr>
        <w:t> </w:t>
      </w:r>
      <w:r>
        <w:rPr/>
        <w:t>Pickett,</w:t>
      </w:r>
      <w:r>
        <w:rPr>
          <w:spacing w:val="25"/>
        </w:rPr>
        <w:t> </w:t>
      </w:r>
      <w:r>
        <w:rPr/>
        <w:t>K.E.</w:t>
      </w:r>
      <w:r>
        <w:rPr>
          <w:spacing w:val="25"/>
        </w:rPr>
        <w:t> </w:t>
      </w:r>
      <w:r>
        <w:rPr/>
        <w:t>(2006).</w:t>
      </w:r>
      <w:r>
        <w:rPr>
          <w:spacing w:val="29"/>
        </w:rPr>
        <w:t> </w:t>
      </w:r>
      <w:r>
        <w:rPr/>
        <w:t>Income</w:t>
      </w:r>
      <w:r>
        <w:rPr>
          <w:spacing w:val="29"/>
        </w:rPr>
        <w:t> </w:t>
      </w:r>
      <w:r>
        <w:rPr/>
        <w:t>Inequality</w:t>
      </w:r>
      <w:r>
        <w:rPr>
          <w:spacing w:val="20"/>
        </w:rPr>
        <w:t> </w:t>
      </w:r>
      <w:r>
        <w:rPr/>
        <w:t>and</w:t>
      </w:r>
      <w:r>
        <w:rPr>
          <w:spacing w:val="25"/>
        </w:rPr>
        <w:t> </w:t>
      </w:r>
      <w:r>
        <w:rPr/>
        <w:t>Population</w:t>
      </w:r>
      <w:r>
        <w:rPr>
          <w:spacing w:val="25"/>
        </w:rPr>
        <w:t> </w:t>
      </w:r>
      <w:r>
        <w:rPr/>
        <w:t>Health: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Review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Explanation of</w:t>
      </w:r>
      <w:r>
        <w:rPr>
          <w:spacing w:val="-1"/>
        </w:rPr>
        <w:t> </w:t>
      </w:r>
      <w:r>
        <w:rPr/>
        <w:t>the Evidence.</w:t>
      </w:r>
      <w:r>
        <w:rPr>
          <w:spacing w:val="1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and Medicine,</w:t>
      </w:r>
      <w:r>
        <w:rPr>
          <w:i/>
          <w:spacing w:val="1"/>
        </w:rPr>
        <w:t> </w:t>
      </w:r>
      <w:r>
        <w:rPr>
          <w:i/>
        </w:rPr>
        <w:t>62 </w:t>
      </w:r>
      <w:r>
        <w:rPr/>
        <w:t>(7),</w:t>
      </w:r>
      <w:r>
        <w:rPr>
          <w:spacing w:val="-1"/>
        </w:rPr>
        <w:t> </w:t>
      </w:r>
      <w:r>
        <w:rPr/>
        <w:t>1768-1784</w:t>
      </w:r>
    </w:p>
    <w:p>
      <w:pPr>
        <w:spacing w:line="379" w:lineRule="auto" w:before="158"/>
        <w:ind w:left="120" w:right="119" w:hanging="29"/>
        <w:jc w:val="center"/>
        <w:rPr>
          <w:sz w:val="24"/>
        </w:rPr>
      </w:pPr>
      <w:r>
        <w:rPr>
          <w:sz w:val="24"/>
        </w:rPr>
        <w:t>Wilkinson, R.G. (2010). </w:t>
      </w:r>
      <w:r>
        <w:rPr>
          <w:i/>
          <w:sz w:val="24"/>
        </w:rPr>
        <w:t>The Spirit Level: Why Equality Is Better for Everyone</w:t>
      </w:r>
      <w:r>
        <w:rPr>
          <w:sz w:val="24"/>
        </w:rPr>
        <w:t>. London: Penguin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William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R.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(2017).</w:t>
      </w:r>
      <w:r>
        <w:rPr>
          <w:spacing w:val="-15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Logistic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Regression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(Brief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Overview).</w:t>
      </w:r>
      <w:r>
        <w:rPr>
          <w:i/>
          <w:spacing w:val="-12"/>
          <w:sz w:val="24"/>
        </w:rPr>
        <w:t> </w:t>
      </w:r>
      <w:r>
        <w:rPr>
          <w:sz w:val="24"/>
        </w:rPr>
        <w:t>University</w:t>
      </w:r>
      <w:r>
        <w:rPr>
          <w:spacing w:val="-19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Notre</w:t>
      </w:r>
      <w:r>
        <w:rPr>
          <w:spacing w:val="-13"/>
          <w:sz w:val="24"/>
        </w:rPr>
        <w:t> </w:t>
      </w:r>
      <w:r>
        <w:rPr>
          <w:sz w:val="24"/>
        </w:rPr>
        <w:t>Dame.</w:t>
      </w:r>
    </w:p>
    <w:p>
      <w:pPr>
        <w:spacing w:after="0" w:line="379" w:lineRule="auto"/>
        <w:jc w:val="center"/>
        <w:rPr>
          <w:sz w:val="24"/>
        </w:rPr>
        <w:sectPr>
          <w:pgSz w:w="12240" w:h="15840"/>
          <w:pgMar w:header="0" w:footer="935" w:top="1360" w:bottom="1200" w:left="1320" w:right="1320"/>
        </w:sectPr>
      </w:pPr>
    </w:p>
    <w:p>
      <w:pPr>
        <w:spacing w:before="72"/>
        <w:ind w:left="120" w:right="0" w:firstLine="0"/>
        <w:jc w:val="left"/>
        <w:rPr>
          <w:sz w:val="24"/>
        </w:rPr>
      </w:pP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Federation</w:t>
      </w:r>
      <w:r>
        <w:rPr>
          <w:spacing w:val="-1"/>
          <w:sz w:val="24"/>
        </w:rPr>
        <w:t> </w:t>
      </w:r>
      <w:r>
        <w:rPr>
          <w:sz w:val="24"/>
        </w:rPr>
        <w:t>(2017).</w:t>
      </w:r>
      <w:r>
        <w:rPr>
          <w:spacing w:val="3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Federation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Summit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Khartoum,</w:t>
      </w:r>
      <w:r>
        <w:rPr>
          <w:spacing w:val="-1"/>
          <w:sz w:val="24"/>
        </w:rPr>
        <w:t> </w:t>
      </w:r>
      <w:r>
        <w:rPr>
          <w:sz w:val="24"/>
        </w:rPr>
        <w:t>Sudan</w:t>
      </w:r>
    </w:p>
    <w:p>
      <w:pPr>
        <w:pStyle w:val="BodyText"/>
        <w:spacing w:line="430" w:lineRule="atLeast" w:before="7"/>
        <w:ind w:left="120" w:right="115"/>
      </w:pPr>
      <w:r>
        <w:rPr/>
        <w:t>World Health Organization (2020). The Top 10 Causes of Death. WHO Geneva, Switzerland</w:t>
      </w:r>
      <w:r>
        <w:rPr>
          <w:spacing w:val="1"/>
        </w:rPr>
        <w:t> </w:t>
      </w:r>
      <w:r>
        <w:rPr/>
        <w:t>World</w:t>
      </w:r>
      <w:r>
        <w:rPr>
          <w:spacing w:val="26"/>
        </w:rPr>
        <w:t> </w:t>
      </w:r>
      <w:r>
        <w:rPr/>
        <w:t>Health</w:t>
      </w:r>
      <w:r>
        <w:rPr>
          <w:spacing w:val="26"/>
        </w:rPr>
        <w:t> </w:t>
      </w:r>
      <w:r>
        <w:rPr/>
        <w:t>Organization</w:t>
      </w:r>
      <w:r>
        <w:rPr>
          <w:spacing w:val="26"/>
        </w:rPr>
        <w:t> </w:t>
      </w:r>
      <w:r>
        <w:rPr/>
        <w:t>(2015).</w:t>
      </w:r>
      <w:r>
        <w:rPr>
          <w:spacing w:val="32"/>
        </w:rPr>
        <w:t> </w:t>
      </w:r>
      <w:r>
        <w:rPr>
          <w:i/>
        </w:rPr>
        <w:t>WHO</w:t>
      </w:r>
      <w:r>
        <w:rPr>
          <w:i/>
          <w:spacing w:val="27"/>
        </w:rPr>
        <w:t> </w:t>
      </w:r>
      <w:r>
        <w:rPr>
          <w:i/>
        </w:rPr>
        <w:t>Africa</w:t>
      </w:r>
      <w:r>
        <w:rPr>
          <w:i/>
          <w:spacing w:val="28"/>
        </w:rPr>
        <w:t> </w:t>
      </w:r>
      <w:r>
        <w:rPr>
          <w:i/>
        </w:rPr>
        <w:t>Region:</w:t>
      </w:r>
      <w:r>
        <w:rPr>
          <w:i/>
          <w:spacing w:val="27"/>
        </w:rPr>
        <w:t> </w:t>
      </w:r>
      <w:r>
        <w:rPr>
          <w:i/>
        </w:rPr>
        <w:t>Nigeria.</w:t>
      </w:r>
      <w:r>
        <w:rPr>
          <w:i/>
          <w:spacing w:val="29"/>
        </w:rPr>
        <w:t> </w:t>
      </w:r>
      <w:r>
        <w:rPr/>
        <w:t>World</w:t>
      </w:r>
      <w:r>
        <w:rPr>
          <w:spacing w:val="26"/>
        </w:rPr>
        <w:t> </w:t>
      </w:r>
      <w:r>
        <w:rPr/>
        <w:t>Health</w:t>
      </w:r>
      <w:r>
        <w:rPr>
          <w:spacing w:val="27"/>
        </w:rPr>
        <w:t> </w:t>
      </w:r>
      <w:r>
        <w:rPr/>
        <w:t>Organization.</w:t>
      </w:r>
    </w:p>
    <w:p>
      <w:pPr>
        <w:pStyle w:val="BodyText"/>
        <w:spacing w:before="4"/>
        <w:ind w:left="840"/>
      </w:pPr>
      <w:r>
        <w:rPr/>
        <w:t>Geneva</w:t>
      </w:r>
    </w:p>
    <w:p>
      <w:pPr>
        <w:spacing w:before="161"/>
        <w:ind w:left="120" w:right="0" w:firstLine="0"/>
        <w:jc w:val="left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(2018a).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top 10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causes of Death Fact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Sheets.</w:t>
      </w:r>
      <w:r>
        <w:rPr>
          <w:i/>
          <w:spacing w:val="1"/>
          <w:sz w:val="24"/>
        </w:rPr>
        <w:t> </w:t>
      </w:r>
      <w:r>
        <w:rPr>
          <w:sz w:val="24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May, 2018,</w:t>
      </w:r>
      <w:r>
        <w:rPr>
          <w:spacing w:val="-1"/>
          <w:sz w:val="24"/>
        </w:rPr>
        <w:t> </w:t>
      </w:r>
      <w:r>
        <w:rPr>
          <w:sz w:val="24"/>
        </w:rPr>
        <w:t>WHO, Geneva</w:t>
      </w:r>
    </w:p>
    <w:p>
      <w:pPr>
        <w:pStyle w:val="BodyText"/>
        <w:spacing w:before="161"/>
        <w:ind w:left="120"/>
      </w:pPr>
      <w:r>
        <w:rPr/>
        <w:t>------</w:t>
      </w:r>
      <w:r>
        <w:rPr>
          <w:spacing w:val="-4"/>
        </w:rPr>
        <w:t> </w:t>
      </w:r>
      <w:r>
        <w:rPr/>
        <w:t>(2018b).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Heart</w:t>
      </w:r>
      <w:r>
        <w:rPr>
          <w:spacing w:val="-1"/>
        </w:rPr>
        <w:t> </w:t>
      </w:r>
      <w:r>
        <w:rPr/>
        <w:t>Initiative.</w:t>
      </w:r>
      <w:r>
        <w:rPr>
          <w:spacing w:val="-1"/>
        </w:rPr>
        <w:t> </w:t>
      </w:r>
      <w:r>
        <w:rPr>
          <w:u w:val="single"/>
        </w:rPr>
        <w:t>www.who/int/global_hearts</w:t>
      </w:r>
    </w:p>
    <w:p>
      <w:pPr>
        <w:spacing w:before="158"/>
        <w:ind w:left="120" w:right="0" w:firstLine="0"/>
        <w:jc w:val="left"/>
        <w:rPr>
          <w:sz w:val="24"/>
        </w:rPr>
      </w:pPr>
      <w:r>
        <w:rPr>
          <w:sz w:val="24"/>
        </w:rPr>
        <w:t>-----</w:t>
      </w:r>
      <w:r>
        <w:rPr>
          <w:spacing w:val="-2"/>
          <w:sz w:val="24"/>
        </w:rPr>
        <w:t> </w:t>
      </w:r>
      <w:r>
        <w:rPr>
          <w:sz w:val="24"/>
        </w:rPr>
        <w:t>(2018c). </w:t>
      </w:r>
      <w:r>
        <w:rPr>
          <w:i/>
          <w:sz w:val="24"/>
        </w:rPr>
        <w:t>WHO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Statistics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2018: Monitoring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SDGs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WHO,</w:t>
      </w:r>
      <w:r>
        <w:rPr>
          <w:spacing w:val="-1"/>
          <w:sz w:val="24"/>
        </w:rPr>
        <w:t> </w:t>
      </w:r>
      <w:r>
        <w:rPr>
          <w:sz w:val="24"/>
        </w:rPr>
        <w:t>Geneva</w:t>
      </w:r>
    </w:p>
    <w:p>
      <w:pPr>
        <w:spacing w:before="161"/>
        <w:ind w:left="120" w:right="0" w:firstLine="0"/>
        <w:jc w:val="left"/>
        <w:rPr>
          <w:sz w:val="24"/>
        </w:rPr>
      </w:pPr>
      <w:r>
        <w:rPr>
          <w:sz w:val="24"/>
        </w:rPr>
        <w:t>-----</w:t>
      </w:r>
      <w:r>
        <w:rPr>
          <w:spacing w:val="-3"/>
          <w:sz w:val="24"/>
        </w:rPr>
        <w:t> </w:t>
      </w:r>
      <w:r>
        <w:rPr>
          <w:sz w:val="24"/>
        </w:rPr>
        <w:t>(2017a).</w:t>
      </w:r>
      <w:r>
        <w:rPr>
          <w:spacing w:val="-2"/>
          <w:sz w:val="24"/>
        </w:rPr>
        <w:t> </w:t>
      </w:r>
      <w:r>
        <w:rPr>
          <w:i/>
          <w:sz w:val="24"/>
        </w:rPr>
        <w:t>Fact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Sheet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Cholera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Organization,</w:t>
      </w:r>
      <w:r>
        <w:rPr>
          <w:spacing w:val="-1"/>
          <w:sz w:val="24"/>
        </w:rPr>
        <w:t> </w:t>
      </w:r>
      <w:r>
        <w:rPr>
          <w:sz w:val="24"/>
        </w:rPr>
        <w:t>Geneva, Switzerland</w:t>
      </w:r>
    </w:p>
    <w:p>
      <w:pPr>
        <w:spacing w:before="162"/>
        <w:ind w:left="120" w:right="0" w:firstLine="0"/>
        <w:jc w:val="left"/>
        <w:rPr>
          <w:sz w:val="24"/>
        </w:rPr>
      </w:pPr>
      <w:r>
        <w:rPr>
          <w:sz w:val="24"/>
        </w:rPr>
        <w:t>-----</w:t>
      </w:r>
      <w:r>
        <w:rPr>
          <w:spacing w:val="-3"/>
          <w:sz w:val="24"/>
        </w:rPr>
        <w:t> </w:t>
      </w:r>
      <w:r>
        <w:rPr>
          <w:sz w:val="24"/>
        </w:rPr>
        <w:t>(2017b).</w:t>
      </w:r>
      <w:r>
        <w:rPr>
          <w:spacing w:val="-2"/>
          <w:sz w:val="24"/>
        </w:rPr>
        <w:t> </w:t>
      </w:r>
      <w:r>
        <w:rPr>
          <w:i/>
          <w:sz w:val="24"/>
        </w:rPr>
        <w:t>Levels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Mortality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2017.</w:t>
      </w:r>
      <w:r>
        <w:rPr>
          <w:i/>
          <w:spacing w:val="2"/>
          <w:sz w:val="24"/>
        </w:rPr>
        <w:t> </w:t>
      </w:r>
      <w:r>
        <w:rPr>
          <w:sz w:val="24"/>
        </w:rPr>
        <w:t>Geneva,</w:t>
      </w:r>
      <w:r>
        <w:rPr>
          <w:spacing w:val="-1"/>
          <w:sz w:val="24"/>
        </w:rPr>
        <w:t> </w:t>
      </w:r>
      <w:r>
        <w:rPr>
          <w:sz w:val="24"/>
        </w:rPr>
        <w:t>Switzerland</w:t>
      </w:r>
    </w:p>
    <w:p>
      <w:pPr>
        <w:spacing w:before="158"/>
        <w:ind w:left="120" w:right="0" w:firstLine="0"/>
        <w:jc w:val="left"/>
        <w:rPr>
          <w:sz w:val="24"/>
        </w:rPr>
      </w:pPr>
      <w:r>
        <w:rPr>
          <w:sz w:val="24"/>
        </w:rPr>
        <w:t>-----</w:t>
      </w:r>
      <w:r>
        <w:rPr>
          <w:spacing w:val="-2"/>
          <w:sz w:val="24"/>
        </w:rPr>
        <w:t> </w:t>
      </w:r>
      <w:r>
        <w:rPr>
          <w:sz w:val="24"/>
        </w:rPr>
        <w:t>(2017c).</w:t>
      </w:r>
      <w:r>
        <w:rPr>
          <w:spacing w:val="-2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Optimization,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Macronutrients.</w:t>
      </w:r>
      <w:r>
        <w:rPr>
          <w:i/>
          <w:spacing w:val="2"/>
          <w:sz w:val="24"/>
        </w:rPr>
        <w:t> </w:t>
      </w:r>
      <w:r>
        <w:rPr>
          <w:sz w:val="24"/>
        </w:rPr>
        <w:t>WHO,</w:t>
      </w:r>
      <w:r>
        <w:rPr>
          <w:spacing w:val="-1"/>
          <w:sz w:val="24"/>
        </w:rPr>
        <w:t> </w:t>
      </w:r>
      <w:r>
        <w:rPr>
          <w:sz w:val="24"/>
        </w:rPr>
        <w:t>Geneva,</w:t>
      </w:r>
      <w:r>
        <w:rPr>
          <w:spacing w:val="1"/>
          <w:sz w:val="24"/>
        </w:rPr>
        <w:t> </w:t>
      </w:r>
      <w:r>
        <w:rPr>
          <w:sz w:val="24"/>
        </w:rPr>
        <w:t>Switzerland</w:t>
      </w:r>
    </w:p>
    <w:p>
      <w:pPr>
        <w:pStyle w:val="BodyText"/>
        <w:spacing w:before="161"/>
        <w:ind w:left="840" w:hanging="720"/>
      </w:pPr>
      <w:r>
        <w:rPr/>
        <w:t>------(2016).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Conceptual</w:t>
      </w:r>
      <w:r>
        <w:rPr>
          <w:spacing w:val="20"/>
        </w:rPr>
        <w:t> </w:t>
      </w:r>
      <w:r>
        <w:rPr/>
        <w:t>Framework</w:t>
      </w:r>
      <w:r>
        <w:rPr>
          <w:spacing w:val="22"/>
        </w:rPr>
        <w:t> </w:t>
      </w:r>
      <w:r>
        <w:rPr/>
        <w:t>for</w:t>
      </w:r>
      <w:r>
        <w:rPr>
          <w:spacing w:val="18"/>
        </w:rPr>
        <w:t> </w:t>
      </w:r>
      <w:r>
        <w:rPr/>
        <w:t>Action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Social</w:t>
      </w:r>
      <w:r>
        <w:rPr>
          <w:spacing w:val="20"/>
        </w:rPr>
        <w:t> </w:t>
      </w:r>
      <w:r>
        <w:rPr/>
        <w:t>Determinants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Health:</w:t>
      </w:r>
      <w:r>
        <w:rPr>
          <w:spacing w:val="19"/>
        </w:rPr>
        <w:t> </w:t>
      </w:r>
      <w:r>
        <w:rPr/>
        <w:t>social</w:t>
      </w:r>
      <w:r>
        <w:rPr>
          <w:spacing w:val="-57"/>
        </w:rPr>
        <w:t> </w:t>
      </w:r>
      <w:r>
        <w:rPr/>
        <w:t>determinants</w:t>
      </w:r>
      <w:r>
        <w:rPr>
          <w:spacing w:val="-1"/>
        </w:rPr>
        <w:t> </w:t>
      </w:r>
      <w:r>
        <w:rPr/>
        <w:t>of health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Discussion Paper 2.</w:t>
      </w:r>
    </w:p>
    <w:p>
      <w:pPr>
        <w:spacing w:line="379" w:lineRule="auto" w:before="161"/>
        <w:ind w:left="120" w:right="607" w:firstLine="0"/>
        <w:jc w:val="both"/>
        <w:rPr>
          <w:sz w:val="24"/>
        </w:rPr>
      </w:pPr>
      <w:r>
        <w:rPr>
          <w:sz w:val="24"/>
        </w:rPr>
        <w:t>WHO/UNICEF (2010). </w:t>
      </w:r>
      <w:r>
        <w:rPr>
          <w:i/>
          <w:sz w:val="24"/>
        </w:rPr>
        <w:t>Progress on Sanitation and Drinking Water. </w:t>
      </w:r>
      <w:r>
        <w:rPr>
          <w:sz w:val="24"/>
        </w:rPr>
        <w:t>WHO/UNICEF Report</w:t>
      </w:r>
      <w:r>
        <w:rPr>
          <w:spacing w:val="-58"/>
          <w:sz w:val="24"/>
        </w:rPr>
        <w:t> </w:t>
      </w:r>
      <w:r>
        <w:rPr>
          <w:sz w:val="24"/>
        </w:rPr>
        <w:t>World Health Organization (2006), </w:t>
      </w:r>
      <w:r>
        <w:rPr>
          <w:i/>
          <w:sz w:val="24"/>
        </w:rPr>
        <w:t>Working Together for Health</w:t>
      </w:r>
      <w:r>
        <w:rPr>
          <w:sz w:val="24"/>
        </w:rPr>
        <w:t>: The World Health Report</w:t>
      </w:r>
      <w:r>
        <w:rPr>
          <w:spacing w:val="-57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Bank (2019).</w:t>
      </w:r>
      <w:r>
        <w:rPr>
          <w:spacing w:val="3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 Indicators.</w:t>
      </w:r>
      <w:r>
        <w:rPr>
          <w:i/>
          <w:spacing w:val="1"/>
          <w:sz w:val="24"/>
        </w:rPr>
        <w:t> </w:t>
      </w:r>
      <w:r>
        <w:rPr>
          <w:sz w:val="24"/>
        </w:rPr>
        <w:t>Washington DC: World</w:t>
      </w:r>
      <w:r>
        <w:rPr>
          <w:spacing w:val="-1"/>
          <w:sz w:val="24"/>
        </w:rPr>
        <w:t> </w:t>
      </w:r>
      <w:r>
        <w:rPr>
          <w:sz w:val="24"/>
        </w:rPr>
        <w:t>Bank</w:t>
      </w:r>
    </w:p>
    <w:p>
      <w:pPr>
        <w:spacing w:before="0"/>
        <w:ind w:left="120" w:right="0" w:firstLine="0"/>
        <w:jc w:val="both"/>
        <w:rPr>
          <w:sz w:val="20"/>
        </w:rPr>
      </w:pPr>
      <w:r>
        <w:rPr>
          <w:sz w:val="24"/>
        </w:rPr>
        <w:t>---------------</w:t>
      </w:r>
      <w:r>
        <w:rPr>
          <w:spacing w:val="-1"/>
          <w:sz w:val="24"/>
        </w:rPr>
        <w:t> </w:t>
      </w:r>
      <w:r>
        <w:rPr>
          <w:sz w:val="24"/>
        </w:rPr>
        <w:t>(2016).</w:t>
      </w:r>
      <w:r>
        <w:rPr>
          <w:spacing w:val="-2"/>
          <w:sz w:val="24"/>
        </w:rPr>
        <w:t> </w:t>
      </w:r>
      <w:r>
        <w:rPr>
          <w:i/>
          <w:sz w:val="24"/>
        </w:rPr>
        <w:t>Poverty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Decade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Washington,</w:t>
      </w:r>
      <w:r>
        <w:rPr>
          <w:spacing w:val="-1"/>
          <w:sz w:val="24"/>
        </w:rPr>
        <w:t> </w:t>
      </w:r>
      <w:r>
        <w:rPr>
          <w:sz w:val="24"/>
        </w:rPr>
        <w:t>DC,</w:t>
      </w:r>
      <w:r>
        <w:rPr>
          <w:spacing w:val="-10"/>
          <w:sz w:val="24"/>
        </w:rPr>
        <w:t> </w:t>
      </w:r>
      <w:r>
        <w:rPr>
          <w:sz w:val="20"/>
        </w:rPr>
        <w:t>USA</w:t>
      </w:r>
    </w:p>
    <w:p>
      <w:pPr>
        <w:spacing w:before="182"/>
        <w:ind w:left="120" w:right="0" w:firstLine="0"/>
        <w:jc w:val="both"/>
        <w:rPr>
          <w:sz w:val="24"/>
        </w:rPr>
      </w:pPr>
      <w:r>
        <w:rPr>
          <w:sz w:val="24"/>
        </w:rPr>
        <w:t>-------------- (2015).</w:t>
      </w:r>
      <w:r>
        <w:rPr>
          <w:spacing w:val="-2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Delivery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Bank,</w:t>
      </w:r>
      <w:r>
        <w:rPr>
          <w:spacing w:val="1"/>
          <w:sz w:val="24"/>
        </w:rPr>
        <w:t> </w:t>
      </w:r>
      <w:r>
        <w:rPr>
          <w:sz w:val="24"/>
        </w:rPr>
        <w:t>Washington,</w:t>
      </w:r>
      <w:r>
        <w:rPr>
          <w:spacing w:val="-1"/>
          <w:sz w:val="24"/>
        </w:rPr>
        <w:t> </w:t>
      </w:r>
      <w:r>
        <w:rPr>
          <w:sz w:val="24"/>
        </w:rPr>
        <w:t>DC,</w:t>
      </w:r>
      <w:r>
        <w:rPr>
          <w:spacing w:val="-1"/>
          <w:sz w:val="24"/>
        </w:rPr>
        <w:t> </w:t>
      </w:r>
      <w:r>
        <w:rPr>
          <w:sz w:val="24"/>
        </w:rPr>
        <w:t>USA</w:t>
      </w:r>
    </w:p>
    <w:p>
      <w:pPr>
        <w:spacing w:before="161"/>
        <w:ind w:left="120" w:right="0" w:firstLine="0"/>
        <w:jc w:val="both"/>
        <w:rPr>
          <w:sz w:val="24"/>
        </w:rPr>
      </w:pPr>
      <w:r>
        <w:rPr>
          <w:sz w:val="24"/>
        </w:rPr>
        <w:t>-------------- (2014).</w:t>
      </w:r>
      <w:r>
        <w:rPr>
          <w:spacing w:val="-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Indicators. </w:t>
      </w:r>
      <w:r>
        <w:rPr>
          <w:sz w:val="24"/>
        </w:rPr>
        <w:t>Washington</w:t>
      </w:r>
      <w:r>
        <w:rPr>
          <w:spacing w:val="-2"/>
          <w:sz w:val="24"/>
        </w:rPr>
        <w:t> </w:t>
      </w:r>
      <w:r>
        <w:rPr>
          <w:sz w:val="24"/>
        </w:rPr>
        <w:t>DC:</w:t>
      </w:r>
      <w:r>
        <w:rPr>
          <w:spacing w:val="-2"/>
          <w:sz w:val="24"/>
        </w:rPr>
        <w:t> </w:t>
      </w:r>
      <w:r>
        <w:rPr>
          <w:sz w:val="24"/>
        </w:rPr>
        <w:t>World</w:t>
      </w:r>
      <w:r>
        <w:rPr>
          <w:spacing w:val="-2"/>
          <w:sz w:val="24"/>
        </w:rPr>
        <w:t> </w:t>
      </w:r>
      <w:r>
        <w:rPr>
          <w:sz w:val="24"/>
        </w:rPr>
        <w:t>Bank</w:t>
      </w:r>
    </w:p>
    <w:p>
      <w:pPr>
        <w:spacing w:before="159"/>
        <w:ind w:left="120" w:right="0" w:firstLine="0"/>
        <w:jc w:val="left"/>
        <w:rPr>
          <w:i/>
          <w:sz w:val="24"/>
        </w:rPr>
      </w:pPr>
      <w:r>
        <w:rPr>
          <w:sz w:val="24"/>
        </w:rPr>
        <w:t>-------------</w:t>
      </w:r>
      <w:r>
        <w:rPr>
          <w:spacing w:val="36"/>
          <w:sz w:val="24"/>
        </w:rPr>
        <w:t> </w:t>
      </w:r>
      <w:r>
        <w:rPr>
          <w:sz w:val="24"/>
        </w:rPr>
        <w:t>(2004),</w:t>
      </w:r>
      <w:r>
        <w:rPr>
          <w:spacing w:val="3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Millennium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Goals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Health: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Rising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Challenges,</w:t>
      </w:r>
    </w:p>
    <w:p>
      <w:pPr>
        <w:pStyle w:val="BodyText"/>
        <w:ind w:left="840"/>
      </w:pPr>
      <w:r>
        <w:rPr/>
        <w:t>Washington</w:t>
      </w:r>
    </w:p>
    <w:p>
      <w:pPr>
        <w:pStyle w:val="BodyText"/>
        <w:spacing w:before="160"/>
        <w:ind w:left="840" w:right="121" w:hanging="720"/>
      </w:pPr>
      <w:r>
        <w:rPr/>
        <w:t>World</w:t>
      </w:r>
      <w:r>
        <w:rPr>
          <w:spacing w:val="33"/>
        </w:rPr>
        <w:t> </w:t>
      </w:r>
      <w:r>
        <w:rPr/>
        <w:t>Economic</w:t>
      </w:r>
      <w:r>
        <w:rPr>
          <w:spacing w:val="33"/>
        </w:rPr>
        <w:t> </w:t>
      </w:r>
      <w:r>
        <w:rPr/>
        <w:t>Forum</w:t>
      </w:r>
      <w:r>
        <w:rPr>
          <w:spacing w:val="36"/>
        </w:rPr>
        <w:t> </w:t>
      </w:r>
      <w:r>
        <w:rPr/>
        <w:t>(2018).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Inclusive</w:t>
      </w:r>
      <w:r>
        <w:rPr>
          <w:spacing w:val="35"/>
        </w:rPr>
        <w:t> </w:t>
      </w:r>
      <w:r>
        <w:rPr/>
        <w:t>Development</w:t>
      </w:r>
      <w:r>
        <w:rPr>
          <w:spacing w:val="37"/>
        </w:rPr>
        <w:t> </w:t>
      </w:r>
      <w:r>
        <w:rPr/>
        <w:t>Index</w:t>
      </w:r>
      <w:r>
        <w:rPr>
          <w:spacing w:val="36"/>
        </w:rPr>
        <w:t> </w:t>
      </w:r>
      <w:r>
        <w:rPr/>
        <w:t>2018:</w:t>
      </w:r>
      <w:r>
        <w:rPr>
          <w:spacing w:val="35"/>
        </w:rPr>
        <w:t> </w:t>
      </w:r>
      <w:r>
        <w:rPr/>
        <w:t>Summary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Data</w:t>
      </w:r>
      <w:r>
        <w:rPr>
          <w:spacing w:val="-57"/>
        </w:rPr>
        <w:t> </w:t>
      </w:r>
      <w:r>
        <w:rPr/>
        <w:t>Highlights.</w:t>
      </w:r>
      <w:r>
        <w:rPr>
          <w:spacing w:val="-1"/>
        </w:rPr>
        <w:t> </w:t>
      </w:r>
      <w:r>
        <w:rPr/>
        <w:t>Geneva, Switzerland</w:t>
      </w:r>
      <w:r>
        <w:rPr>
          <w:spacing w:val="2"/>
        </w:rPr>
        <w:t> </w:t>
      </w:r>
      <w:hyperlink r:id="rId184">
        <w:r>
          <w:rPr>
            <w:u w:val="single"/>
          </w:rPr>
          <w:t>www.weforum.org</w:t>
        </w:r>
      </w:hyperlink>
    </w:p>
    <w:p>
      <w:pPr>
        <w:pStyle w:val="BodyText"/>
        <w:spacing w:line="376" w:lineRule="auto" w:before="161"/>
        <w:ind w:left="120" w:right="2054"/>
      </w:pPr>
      <w:r>
        <w:rPr/>
        <w:t>World Inequality Report (2018). Inequality Report. </w:t>
      </w:r>
      <w:hyperlink r:id="rId185">
        <w:r>
          <w:rPr>
            <w:u w:val="single"/>
          </w:rPr>
          <w:t>www.wir2018.wid.world</w:t>
        </w:r>
      </w:hyperlink>
      <w:r>
        <w:rPr>
          <w:spacing w:val="-58"/>
        </w:rPr>
        <w:t> </w:t>
      </w:r>
      <w:r>
        <w:rPr/>
        <w:t>World Life</w:t>
      </w:r>
      <w:r>
        <w:rPr>
          <w:spacing w:val="-3"/>
        </w:rPr>
        <w:t> </w:t>
      </w:r>
      <w:r>
        <w:rPr/>
        <w:t>Expectancy</w:t>
      </w:r>
      <w:r>
        <w:rPr>
          <w:spacing w:val="-3"/>
        </w:rPr>
        <w:t> </w:t>
      </w:r>
      <w:r>
        <w:rPr/>
        <w:t>(2017).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Expectancy,</w:t>
      </w:r>
      <w:r>
        <w:rPr>
          <w:spacing w:val="5"/>
        </w:rPr>
        <w:t> </w:t>
      </w:r>
      <w:hyperlink r:id="rId186">
        <w:r>
          <w:rPr>
            <w:u w:val="single"/>
          </w:rPr>
          <w:t>www.geoba.se</w:t>
        </w:r>
      </w:hyperlink>
    </w:p>
    <w:p>
      <w:pPr>
        <w:pStyle w:val="BodyText"/>
        <w:spacing w:before="5"/>
        <w:ind w:left="840" w:hanging="720"/>
      </w:pPr>
      <w:r>
        <w:rPr/>
        <w:t>Wright,</w:t>
      </w:r>
      <w:r>
        <w:rPr>
          <w:spacing w:val="4"/>
        </w:rPr>
        <w:t> </w:t>
      </w:r>
      <w:r>
        <w:rPr/>
        <w:t>A.,</w:t>
      </w:r>
      <w:r>
        <w:rPr>
          <w:spacing w:val="3"/>
        </w:rPr>
        <w:t> </w:t>
      </w:r>
      <w:r>
        <w:rPr/>
        <w:t>Smith,</w:t>
      </w:r>
      <w:r>
        <w:rPr>
          <w:spacing w:val="4"/>
        </w:rPr>
        <w:t> </w:t>
      </w:r>
      <w:r>
        <w:rPr/>
        <w:t>K.E,</w:t>
      </w:r>
      <w:r>
        <w:rPr>
          <w:spacing w:val="4"/>
        </w:rPr>
        <w:t> </w:t>
      </w:r>
      <w:r>
        <w:rPr/>
        <w:t>&amp;</w:t>
      </w:r>
      <w:r>
        <w:rPr>
          <w:spacing w:val="1"/>
        </w:rPr>
        <w:t> </w:t>
      </w:r>
      <w:r>
        <w:rPr/>
        <w:t>Hellowell,</w:t>
      </w:r>
      <w:r>
        <w:rPr>
          <w:spacing w:val="3"/>
        </w:rPr>
        <w:t> </w:t>
      </w:r>
      <w:r>
        <w:rPr/>
        <w:t>M.</w:t>
      </w:r>
      <w:r>
        <w:rPr>
          <w:spacing w:val="5"/>
        </w:rPr>
        <w:t> </w:t>
      </w:r>
      <w:r>
        <w:rPr/>
        <w:t>(2017).</w:t>
      </w:r>
      <w:r>
        <w:rPr>
          <w:spacing w:val="5"/>
        </w:rPr>
        <w:t> </w:t>
      </w:r>
      <w:r>
        <w:rPr/>
        <w:t>Policy</w:t>
      </w:r>
      <w:r>
        <w:rPr>
          <w:spacing w:val="-1"/>
        </w:rPr>
        <w:t> </w:t>
      </w:r>
      <w:r>
        <w:rPr/>
        <w:t>Lessons</w:t>
      </w:r>
      <w:r>
        <w:rPr>
          <w:spacing w:val="4"/>
        </w:rPr>
        <w:t> </w:t>
      </w:r>
      <w:r>
        <w:rPr/>
        <w:t>from</w:t>
      </w:r>
      <w:r>
        <w:rPr>
          <w:spacing w:val="4"/>
        </w:rPr>
        <w:t> </w:t>
      </w:r>
      <w:r>
        <w:rPr/>
        <w:t>Health</w:t>
      </w:r>
      <w:r>
        <w:rPr>
          <w:spacing w:val="3"/>
        </w:rPr>
        <w:t> </w:t>
      </w:r>
      <w:r>
        <w:rPr/>
        <w:t>Taxes:</w:t>
      </w:r>
      <w:r>
        <w:rPr>
          <w:spacing w:val="5"/>
        </w:rPr>
        <w:t> </w:t>
      </w:r>
      <w:r>
        <w:rPr/>
        <w:t>A Systemic</w:t>
      </w:r>
      <w:r>
        <w:rPr>
          <w:spacing w:val="-57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 Empirical Studies. </w:t>
      </w:r>
      <w:r>
        <w:rPr>
          <w:i/>
        </w:rPr>
        <w:t>BMC Public</w:t>
      </w:r>
      <w:r>
        <w:rPr>
          <w:i/>
          <w:spacing w:val="-1"/>
        </w:rPr>
        <w:t> </w:t>
      </w:r>
      <w:r>
        <w:rPr>
          <w:i/>
        </w:rPr>
        <w:t>Health.</w:t>
      </w:r>
      <w:r>
        <w:rPr>
          <w:i/>
          <w:spacing w:val="2"/>
        </w:rPr>
        <w:t> </w:t>
      </w:r>
      <w:r>
        <w:rPr/>
        <w:t>ISSN: 1471-2458</w:t>
      </w:r>
    </w:p>
    <w:p>
      <w:pPr>
        <w:spacing w:before="161"/>
        <w:ind w:left="840" w:right="113" w:hanging="720"/>
        <w:jc w:val="left"/>
        <w:rPr>
          <w:sz w:val="24"/>
        </w:rPr>
      </w:pPr>
      <w:r>
        <w:rPr>
          <w:sz w:val="24"/>
        </w:rPr>
        <w:t>Yiengprugsawan,</w:t>
      </w:r>
      <w:r>
        <w:rPr>
          <w:spacing w:val="12"/>
          <w:sz w:val="24"/>
        </w:rPr>
        <w:t> </w:t>
      </w:r>
      <w:r>
        <w:rPr>
          <w:sz w:val="24"/>
        </w:rPr>
        <w:t>V.,</w:t>
      </w:r>
      <w:r>
        <w:rPr>
          <w:spacing w:val="15"/>
          <w:sz w:val="24"/>
        </w:rPr>
        <w:t> </w:t>
      </w:r>
      <w:r>
        <w:rPr>
          <w:sz w:val="24"/>
        </w:rPr>
        <w:t>Lim,</w:t>
      </w:r>
      <w:r>
        <w:rPr>
          <w:spacing w:val="16"/>
          <w:sz w:val="24"/>
        </w:rPr>
        <w:t> </w:t>
      </w:r>
      <w:r>
        <w:rPr>
          <w:sz w:val="24"/>
        </w:rPr>
        <w:t>Y.,</w:t>
      </w:r>
      <w:r>
        <w:rPr>
          <w:spacing w:val="12"/>
          <w:sz w:val="24"/>
        </w:rPr>
        <w:t> </w:t>
      </w:r>
      <w:r>
        <w:rPr>
          <w:sz w:val="24"/>
        </w:rPr>
        <w:t>&amp;</w:t>
      </w:r>
      <w:r>
        <w:rPr>
          <w:spacing w:val="11"/>
          <w:sz w:val="24"/>
        </w:rPr>
        <w:t> </w:t>
      </w:r>
      <w:r>
        <w:rPr>
          <w:sz w:val="24"/>
        </w:rPr>
        <w:t>Sleigh,</w:t>
      </w:r>
      <w:r>
        <w:rPr>
          <w:spacing w:val="13"/>
          <w:sz w:val="24"/>
        </w:rPr>
        <w:t> </w:t>
      </w:r>
      <w:r>
        <w:rPr>
          <w:sz w:val="24"/>
        </w:rPr>
        <w:t>A.C.</w:t>
      </w:r>
      <w:r>
        <w:rPr>
          <w:spacing w:val="16"/>
          <w:sz w:val="24"/>
        </w:rPr>
        <w:t> </w:t>
      </w:r>
      <w:r>
        <w:rPr>
          <w:sz w:val="24"/>
        </w:rPr>
        <w:t>(2010).</w:t>
      </w:r>
      <w:r>
        <w:rPr>
          <w:spacing w:val="13"/>
          <w:sz w:val="24"/>
        </w:rPr>
        <w:t> </w:t>
      </w:r>
      <w:r>
        <w:rPr>
          <w:i/>
          <w:sz w:val="24"/>
        </w:rPr>
        <w:t>Decomposing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Socio-Economic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Inequality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Binary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Health Outcomes: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Improved Estimation.</w:t>
      </w:r>
      <w:r>
        <w:rPr>
          <w:i/>
          <w:spacing w:val="1"/>
          <w:sz w:val="24"/>
        </w:rPr>
        <w:t> </w:t>
      </w:r>
      <w:r>
        <w:rPr>
          <w:sz w:val="24"/>
        </w:rPr>
        <w:t>British</w:t>
      </w:r>
      <w:r>
        <w:rPr>
          <w:spacing w:val="-1"/>
          <w:sz w:val="24"/>
        </w:rPr>
        <w:t> </w:t>
      </w:r>
      <w:r>
        <w:rPr>
          <w:sz w:val="24"/>
        </w:rPr>
        <w:t>Medical Center, </w:t>
      </w:r>
      <w:r>
        <w:rPr>
          <w:i/>
          <w:sz w:val="24"/>
        </w:rPr>
        <w:t>3, </w:t>
      </w:r>
      <w:r>
        <w:rPr>
          <w:sz w:val="24"/>
        </w:rPr>
        <w:t>57</w:t>
      </w:r>
    </w:p>
    <w:p>
      <w:pPr>
        <w:spacing w:line="278" w:lineRule="auto" w:before="161"/>
        <w:ind w:left="840" w:right="117" w:hanging="720"/>
        <w:jc w:val="left"/>
        <w:rPr>
          <w:sz w:val="24"/>
        </w:rPr>
      </w:pPr>
      <w:r>
        <w:rPr>
          <w:sz w:val="24"/>
        </w:rPr>
        <w:t>Zajacova</w:t>
      </w:r>
      <w:r>
        <w:rPr>
          <w:spacing w:val="8"/>
          <w:sz w:val="24"/>
        </w:rPr>
        <w:t> </w:t>
      </w:r>
      <w:r>
        <w:rPr>
          <w:sz w:val="24"/>
        </w:rPr>
        <w:t>B.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8"/>
          <w:sz w:val="24"/>
        </w:rPr>
        <w:t> </w:t>
      </w:r>
      <w:r>
        <w:rPr>
          <w:sz w:val="24"/>
        </w:rPr>
        <w:t>Lawrence,</w:t>
      </w:r>
      <w:r>
        <w:rPr>
          <w:spacing w:val="8"/>
          <w:sz w:val="24"/>
        </w:rPr>
        <w:t> </w:t>
      </w:r>
      <w:r>
        <w:rPr>
          <w:sz w:val="24"/>
        </w:rPr>
        <w:t>E.</w:t>
      </w:r>
      <w:r>
        <w:rPr>
          <w:spacing w:val="7"/>
          <w:sz w:val="24"/>
        </w:rPr>
        <w:t> </w:t>
      </w:r>
      <w:r>
        <w:rPr>
          <w:sz w:val="24"/>
        </w:rPr>
        <w:t>(2018).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Relationship</w:t>
      </w:r>
      <w:r>
        <w:rPr>
          <w:spacing w:val="8"/>
          <w:sz w:val="24"/>
        </w:rPr>
        <w:t> </w:t>
      </w:r>
      <w:r>
        <w:rPr>
          <w:sz w:val="24"/>
        </w:rPr>
        <w:t>between</w:t>
      </w:r>
      <w:r>
        <w:rPr>
          <w:spacing w:val="7"/>
          <w:sz w:val="24"/>
        </w:rPr>
        <w:t> </w:t>
      </w:r>
      <w:r>
        <w:rPr>
          <w:sz w:val="24"/>
        </w:rPr>
        <w:t>Education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Health:</w:t>
      </w:r>
      <w:r>
        <w:rPr>
          <w:spacing w:val="7"/>
          <w:sz w:val="24"/>
        </w:rPr>
        <w:t> </w:t>
      </w:r>
      <w:r>
        <w:rPr>
          <w:sz w:val="24"/>
        </w:rPr>
        <w:t>Reducing</w:t>
      </w:r>
      <w:r>
        <w:rPr>
          <w:spacing w:val="-57"/>
          <w:sz w:val="24"/>
        </w:rPr>
        <w:t> </w:t>
      </w:r>
      <w:r>
        <w:rPr>
          <w:sz w:val="24"/>
        </w:rPr>
        <w:t>Disparities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Contextual</w:t>
      </w:r>
      <w:r>
        <w:rPr>
          <w:spacing w:val="-1"/>
          <w:sz w:val="24"/>
        </w:rPr>
        <w:t> </w:t>
      </w:r>
      <w:r>
        <w:rPr>
          <w:sz w:val="24"/>
        </w:rPr>
        <w:t>Approach.</w:t>
      </w:r>
      <w:r>
        <w:rPr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4, </w:t>
      </w:r>
      <w:r>
        <w:rPr>
          <w:sz w:val="24"/>
        </w:rPr>
        <w:t>16-28</w:t>
      </w:r>
    </w:p>
    <w:p>
      <w:pPr>
        <w:spacing w:after="0" w:line="278" w:lineRule="auto"/>
        <w:jc w:val="left"/>
        <w:rPr>
          <w:sz w:val="24"/>
        </w:rPr>
        <w:sectPr>
          <w:pgSz w:w="12240" w:h="15840"/>
          <w:pgMar w:header="0" w:footer="935" w:top="1360" w:bottom="1200" w:left="13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9"/>
        <w:ind w:left="197" w:right="0" w:firstLine="0"/>
        <w:jc w:val="left"/>
        <w:rPr>
          <w:b/>
          <w:sz w:val="144"/>
        </w:rPr>
      </w:pPr>
      <w:bookmarkStart w:name="_TOC_250000" w:id="77"/>
      <w:bookmarkEnd w:id="77"/>
      <w:r>
        <w:rPr>
          <w:b/>
          <w:sz w:val="144"/>
        </w:rPr>
        <w:t>APPENDICES</w:t>
      </w:r>
    </w:p>
    <w:p>
      <w:pPr>
        <w:spacing w:after="0"/>
        <w:jc w:val="left"/>
        <w:rPr>
          <w:sz w:val="144"/>
        </w:rPr>
        <w:sectPr>
          <w:pgSz w:w="12240" w:h="15840"/>
          <w:pgMar w:header="0" w:footer="935" w:top="1500" w:bottom="1200" w:left="1320" w:right="1320"/>
        </w:sectPr>
      </w:pPr>
    </w:p>
    <w:p>
      <w:pPr>
        <w:pStyle w:val="BodyText"/>
        <w:spacing w:before="74" w:after="28"/>
        <w:ind w:left="806"/>
      </w:pPr>
      <w:r>
        <w:rPr/>
        <w:t>APPENDIX</w:t>
      </w:r>
      <w:r>
        <w:rPr>
          <w:spacing w:val="-2"/>
        </w:rPr>
        <w:t> </w:t>
      </w:r>
      <w:r>
        <w:rPr/>
        <w:t>A: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EMPIRICAL</w:t>
      </w:r>
      <w:r>
        <w:rPr>
          <w:spacing w:val="-5"/>
        </w:rPr>
        <w:t> </w:t>
      </w:r>
      <w:r>
        <w:rPr/>
        <w:t>STUDIES</w:t>
      </w:r>
      <w:r>
        <w:rPr>
          <w:spacing w:val="-1"/>
        </w:rPr>
        <w:t> </w:t>
      </w:r>
      <w:r>
        <w:rPr/>
        <w:t>REVIEWED</w:t>
      </w:r>
      <w:r>
        <w:rPr>
          <w:spacing w:val="2"/>
        </w:rPr>
        <w:t> </w:t>
      </w:r>
      <w:r>
        <w:rPr/>
        <w:t>(Table</w:t>
      </w:r>
      <w:r>
        <w:rPr>
          <w:spacing w:val="-2"/>
        </w:rPr>
        <w:t> </w:t>
      </w:r>
      <w:r>
        <w:rPr/>
        <w:t>A1)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2019"/>
        <w:gridCol w:w="1541"/>
        <w:gridCol w:w="1179"/>
        <w:gridCol w:w="1897"/>
        <w:gridCol w:w="1601"/>
      </w:tblGrid>
      <w:tr>
        <w:trPr>
          <w:trHeight w:val="318" w:hRule="atLeast"/>
        </w:trPr>
        <w:tc>
          <w:tcPr>
            <w:tcW w:w="9353" w:type="dxa"/>
            <w:gridSpan w:val="6"/>
          </w:tcPr>
          <w:p>
            <w:pPr>
              <w:pStyle w:val="TableParagraph"/>
              <w:spacing w:line="275" w:lineRule="exact"/>
              <w:ind w:left="2315" w:right="2309"/>
              <w:jc w:val="center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PANEL/CROSS-COUNTRY</w:t>
            </w:r>
            <w:r>
              <w:rPr>
                <w:rFonts w:ascii="Times New Roman"/>
                <w:b/>
                <w:i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EVIDENCE</w:t>
            </w:r>
          </w:p>
        </w:tc>
      </w:tr>
      <w:tr>
        <w:trPr>
          <w:trHeight w:val="457" w:hRule="atLeast"/>
        </w:trPr>
        <w:tc>
          <w:tcPr>
            <w:tcW w:w="4676" w:type="dxa"/>
            <w:gridSpan w:val="3"/>
          </w:tcPr>
          <w:p>
            <w:pPr>
              <w:pStyle w:val="TableParagraph"/>
              <w:spacing w:line="222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4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</w:r>
            <w:r>
              <w:rPr>
                <w:rFonts w:ascii="Times New Roman"/>
                <w:spacing w:val="9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9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DETRIMENTAL</w:t>
            </w:r>
            <w:r>
              <w:rPr>
                <w:rFonts w:ascii="Times New Roman"/>
                <w:spacing w:val="9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</w:p>
          <w:p>
            <w:pPr>
              <w:pStyle w:val="TableParagraph"/>
              <w:spacing w:line="216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OUTCOMES</w:t>
            </w:r>
          </w:p>
        </w:tc>
        <w:tc>
          <w:tcPr>
            <w:tcW w:w="4677" w:type="dxa"/>
            <w:gridSpan w:val="3"/>
          </w:tcPr>
          <w:p>
            <w:pPr>
              <w:pStyle w:val="TableParagraph"/>
              <w:tabs>
                <w:tab w:pos="1292" w:val="left" w:leader="none"/>
                <w:tab w:pos="2733" w:val="left" w:leader="none"/>
                <w:tab w:pos="4040" w:val="left" w:leader="none"/>
              </w:tabs>
              <w:spacing w:line="222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  <w:tab/>
              <w:t>DISPARITY</w:t>
              <w:tab/>
              <w:t>RELATED</w:t>
              <w:tab/>
              <w:t>WITH</w:t>
            </w:r>
          </w:p>
          <w:p>
            <w:pPr>
              <w:pStyle w:val="TableParagraph"/>
              <w:spacing w:line="216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IMPROVED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STATUS</w:t>
            </w:r>
          </w:p>
        </w:tc>
      </w:tr>
      <w:tr>
        <w:trPr>
          <w:trHeight w:val="460" w:hRule="atLeast"/>
        </w:trPr>
        <w:tc>
          <w:tcPr>
            <w:tcW w:w="1116" w:type="dxa"/>
          </w:tcPr>
          <w:p>
            <w:pPr>
              <w:pStyle w:val="TableParagraph"/>
              <w:spacing w:line="228" w:lineRule="exact"/>
              <w:ind w:left="208" w:right="201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Sources</w:t>
            </w:r>
          </w:p>
        </w:tc>
        <w:tc>
          <w:tcPr>
            <w:tcW w:w="2019" w:type="dxa"/>
          </w:tcPr>
          <w:p>
            <w:pPr>
              <w:pStyle w:val="TableParagraph"/>
              <w:spacing w:line="230" w:lineRule="exact"/>
              <w:ind w:left="530" w:right="414" w:hanging="89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Sample/Study</w:t>
            </w:r>
            <w:r>
              <w:rPr>
                <w:rFonts w:ascii="Times New Roman"/>
                <w:b/>
                <w:i/>
                <w:spacing w:val="-47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Description</w:t>
            </w:r>
          </w:p>
        </w:tc>
        <w:tc>
          <w:tcPr>
            <w:tcW w:w="1541" w:type="dxa"/>
          </w:tcPr>
          <w:p>
            <w:pPr>
              <w:pStyle w:val="TableParagraph"/>
              <w:spacing w:line="228" w:lineRule="exact"/>
              <w:ind w:left="130" w:right="124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Main</w:t>
            </w:r>
            <w:r>
              <w:rPr>
                <w:rFonts w:ascii="Times New Roman"/>
                <w:b/>
                <w:i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Findings</w:t>
            </w:r>
          </w:p>
        </w:tc>
        <w:tc>
          <w:tcPr>
            <w:tcW w:w="1179" w:type="dxa"/>
          </w:tcPr>
          <w:p>
            <w:pPr>
              <w:pStyle w:val="TableParagraph"/>
              <w:spacing w:line="228" w:lineRule="exact"/>
              <w:ind w:left="240" w:right="233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Sources</w:t>
            </w:r>
          </w:p>
        </w:tc>
        <w:tc>
          <w:tcPr>
            <w:tcW w:w="1897" w:type="dxa"/>
          </w:tcPr>
          <w:p>
            <w:pPr>
              <w:pStyle w:val="TableParagraph"/>
              <w:spacing w:line="230" w:lineRule="exact"/>
              <w:ind w:left="469" w:right="356" w:hanging="92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Sample/Study</w:t>
            </w:r>
            <w:r>
              <w:rPr>
                <w:rFonts w:ascii="Times New Roman"/>
                <w:b/>
                <w:i/>
                <w:spacing w:val="-47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Description</w:t>
            </w:r>
          </w:p>
        </w:tc>
        <w:tc>
          <w:tcPr>
            <w:tcW w:w="1601" w:type="dxa"/>
          </w:tcPr>
          <w:p>
            <w:pPr>
              <w:pStyle w:val="TableParagraph"/>
              <w:spacing w:line="228" w:lineRule="exact"/>
              <w:ind w:left="158" w:right="156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Main</w:t>
            </w:r>
            <w:r>
              <w:rPr>
                <w:rFonts w:ascii="Times New Roman"/>
                <w:b/>
                <w:i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Findings</w:t>
            </w:r>
          </w:p>
        </w:tc>
      </w:tr>
      <w:tr>
        <w:trPr>
          <w:trHeight w:val="2071" w:hRule="atLeast"/>
        </w:trPr>
        <w:tc>
          <w:tcPr>
            <w:tcW w:w="1116" w:type="dxa"/>
          </w:tcPr>
          <w:p>
            <w:pPr>
              <w:pStyle w:val="TableParagraph"/>
              <w:ind w:left="107" w:right="15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Neumayer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Plumper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(2016)</w:t>
            </w:r>
          </w:p>
        </w:tc>
        <w:tc>
          <w:tcPr>
            <w:tcW w:w="2019" w:type="dxa"/>
          </w:tcPr>
          <w:p>
            <w:pPr>
              <w:pStyle w:val="TableParagraph"/>
              <w:ind w:left="107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</w:r>
            <w:r>
              <w:rPr>
                <w:rFonts w:ascii="Times New Roman"/>
                <w:i/>
                <w:spacing w:val="3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28</w:t>
            </w:r>
            <w:r>
              <w:rPr>
                <w:rFonts w:ascii="Times New Roman"/>
                <w:spacing w:val="3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Western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countries</w:t>
            </w:r>
          </w:p>
          <w:p>
            <w:pPr>
              <w:pStyle w:val="TableParagraph"/>
              <w:tabs>
                <w:tab w:pos="1466" w:val="left" w:leader="none"/>
              </w:tabs>
              <w:ind w:left="107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  <w:tab/>
            </w:r>
            <w:r>
              <w:rPr>
                <w:rFonts w:ascii="Times New Roman"/>
                <w:spacing w:val="-1"/>
                <w:sz w:val="20"/>
              </w:rPr>
              <w:t>Panel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Analysis</w:t>
            </w:r>
          </w:p>
        </w:tc>
        <w:tc>
          <w:tcPr>
            <w:tcW w:w="1541" w:type="dxa"/>
          </w:tcPr>
          <w:p>
            <w:pPr>
              <w:pStyle w:val="TableParagraph"/>
              <w:tabs>
                <w:tab w:pos="620" w:val="left" w:leader="none"/>
                <w:tab w:pos="1121" w:val="left" w:leader="none"/>
                <w:tab w:pos="1277" w:val="left" w:leader="none"/>
              </w:tabs>
              <w:ind w:left="107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</w:t>
              <w:tab/>
            </w:r>
            <w:r>
              <w:rPr>
                <w:rFonts w:ascii="Times New Roman"/>
                <w:spacing w:val="-1"/>
                <w:sz w:val="20"/>
              </w:rPr>
              <w:t>additional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1%</w:t>
              <w:tab/>
              <w:t>point</w:t>
              <w:tab/>
              <w:tab/>
            </w:r>
            <w:r>
              <w:rPr>
                <w:rFonts w:ascii="Times New Roman"/>
                <w:spacing w:val="-2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disparity</w:t>
              <w:tab/>
            </w:r>
            <w:r>
              <w:rPr>
                <w:rFonts w:ascii="Times New Roman"/>
                <w:spacing w:val="-1"/>
                <w:sz w:val="20"/>
              </w:rPr>
              <w:t>will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reduce </w:t>
            </w:r>
            <w:r>
              <w:rPr>
                <w:rFonts w:ascii="Times New Roman"/>
                <w:spacing w:val="-1"/>
                <w:sz w:val="20"/>
              </w:rPr>
              <w:t>longevity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0.03%</w:t>
            </w:r>
            <w:r>
              <w:rPr>
                <w:rFonts w:ascii="Times New Roman"/>
                <w:spacing w:val="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short-run;</w:t>
              <w:tab/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0.058%</w:t>
            </w:r>
            <w:r>
              <w:rPr>
                <w:rFonts w:ascii="Times New Roman"/>
                <w:spacing w:val="2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long-run.</w:t>
            </w:r>
          </w:p>
        </w:tc>
        <w:tc>
          <w:tcPr>
            <w:tcW w:w="1179" w:type="dxa"/>
          </w:tcPr>
          <w:p>
            <w:pPr>
              <w:pStyle w:val="TableParagraph"/>
              <w:ind w:left="107" w:right="9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Rebeira</w:t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et</w:t>
            </w:r>
            <w:r>
              <w:rPr>
                <w:rFonts w:ascii="Times New Roman"/>
                <w:i/>
                <w:spacing w:val="-47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al. </w:t>
            </w:r>
            <w:r>
              <w:rPr>
                <w:rFonts w:ascii="Times New Roman"/>
                <w:sz w:val="20"/>
              </w:rPr>
              <w:t>(2017)</w:t>
            </w:r>
          </w:p>
        </w:tc>
        <w:tc>
          <w:tcPr>
            <w:tcW w:w="1897" w:type="dxa"/>
          </w:tcPr>
          <w:p>
            <w:pPr>
              <w:pStyle w:val="TableParagraph"/>
              <w:tabs>
                <w:tab w:pos="1788" w:val="right" w:leader="none"/>
              </w:tabs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z w:val="20"/>
              </w:rPr>
              <w:t>10</w:t>
            </w: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developed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countries</w:t>
            </w:r>
          </w:p>
          <w:p>
            <w:pPr>
              <w:pStyle w:val="TableParagraph"/>
              <w:spacing w:before="1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Scope: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1950-2008</w:t>
            </w:r>
          </w:p>
          <w:p>
            <w:pPr>
              <w:pStyle w:val="TableParagraph"/>
              <w:tabs>
                <w:tab w:pos="1494" w:val="left" w:leader="none"/>
              </w:tabs>
              <w:ind w:left="107" w:right="10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Technique: </w:t>
            </w:r>
            <w:r>
              <w:rPr>
                <w:rFonts w:ascii="Times New Roman"/>
                <w:sz w:val="20"/>
              </w:rPr>
              <w:t>Dynamic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OLS</w:t>
              <w:tab/>
            </w:r>
            <w:r>
              <w:rPr>
                <w:rFonts w:ascii="Times New Roman"/>
                <w:spacing w:val="-1"/>
                <w:sz w:val="20"/>
              </w:rPr>
              <w:t>and</w:t>
            </w:r>
          </w:p>
          <w:p>
            <w:pPr>
              <w:pStyle w:val="TableParagraph"/>
              <w:ind w:left="107" w:right="595" w:firstLine="7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Panel</w:t>
            </w:r>
            <w:r>
              <w:rPr>
                <w:rFonts w:ascii="Times New Roman"/>
                <w:w w:val="9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Cointegration</w:t>
            </w:r>
          </w:p>
        </w:tc>
        <w:tc>
          <w:tcPr>
            <w:tcW w:w="1601" w:type="dxa"/>
          </w:tcPr>
          <w:p>
            <w:pPr>
              <w:pStyle w:val="TableParagraph"/>
              <w:tabs>
                <w:tab w:pos="871" w:val="left" w:leader="none"/>
              </w:tabs>
              <w:ind w:left="106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3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every</w:t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1-unit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rise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disparity,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mortality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risk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both</w:t>
            </w:r>
            <w:r>
              <w:rPr>
                <w:rFonts w:ascii="Times New Roman"/>
                <w:spacing w:val="4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men</w:t>
            </w:r>
            <w:r>
              <w:rPr>
                <w:rFonts w:ascii="Times New Roman"/>
                <w:spacing w:val="3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women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decrease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by</w:t>
              <w:tab/>
            </w:r>
            <w:r>
              <w:rPr>
                <w:rFonts w:ascii="Times New Roman"/>
                <w:spacing w:val="-1"/>
                <w:sz w:val="20"/>
              </w:rPr>
              <w:t>0.038%</w:t>
            </w:r>
          </w:p>
          <w:p>
            <w:pPr>
              <w:pStyle w:val="TableParagraph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points.</w:t>
            </w:r>
          </w:p>
        </w:tc>
      </w:tr>
      <w:tr>
        <w:trPr>
          <w:trHeight w:val="2068" w:hRule="atLeast"/>
        </w:trPr>
        <w:tc>
          <w:tcPr>
            <w:tcW w:w="1116" w:type="dxa"/>
          </w:tcPr>
          <w:p>
            <w:pPr>
              <w:pStyle w:val="TableParagraph"/>
              <w:ind w:left="107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Deurzen</w:t>
            </w:r>
            <w:r>
              <w:rPr>
                <w:rFonts w:ascii="Times New Roman"/>
                <w:spacing w:val="13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et</w:t>
            </w:r>
            <w:r>
              <w:rPr>
                <w:rFonts w:ascii="Times New Roman"/>
                <w:i/>
                <w:spacing w:val="-47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al. </w:t>
            </w:r>
            <w:r>
              <w:rPr>
                <w:rFonts w:ascii="Times New Roman"/>
                <w:sz w:val="20"/>
              </w:rPr>
              <w:t>(2014)</w:t>
            </w:r>
          </w:p>
        </w:tc>
        <w:tc>
          <w:tcPr>
            <w:tcW w:w="2019" w:type="dxa"/>
          </w:tcPr>
          <w:p>
            <w:pPr>
              <w:pStyle w:val="TableParagraph"/>
              <w:ind w:left="107" w:right="9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</w:r>
            <w:r>
              <w:rPr>
                <w:rFonts w:ascii="Times New Roman"/>
                <w:i/>
                <w:spacing w:val="1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52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Low-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middle-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countries</w:t>
            </w:r>
          </w:p>
          <w:p>
            <w:pPr>
              <w:pStyle w:val="TableParagraph"/>
              <w:tabs>
                <w:tab w:pos="868" w:val="left" w:leader="none"/>
              </w:tabs>
              <w:ind w:left="107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  <w:tab/>
            </w:r>
            <w:r>
              <w:rPr>
                <w:rFonts w:ascii="Times New Roman"/>
                <w:spacing w:val="-1"/>
                <w:sz w:val="20"/>
              </w:rPr>
              <w:t>Demography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Survey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Technique:</w:t>
            </w:r>
            <w:r>
              <w:rPr>
                <w:rFonts w:ascii="Times New Roman"/>
                <w:sz w:val="20"/>
              </w:rPr>
              <w:t>Multi-level</w:t>
            </w:r>
          </w:p>
          <w:p>
            <w:pPr>
              <w:pStyle w:val="TableParagraph"/>
              <w:ind w:left="107" w:right="514" w:firstLine="7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Logistic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Regression</w:t>
            </w:r>
          </w:p>
        </w:tc>
        <w:tc>
          <w:tcPr>
            <w:tcW w:w="1541" w:type="dxa"/>
          </w:tcPr>
          <w:p>
            <w:pPr>
              <w:pStyle w:val="TableParagraph"/>
              <w:tabs>
                <w:tab w:pos="1019" w:val="left" w:leader="none"/>
                <w:tab w:pos="1275" w:val="left" w:leader="none"/>
              </w:tabs>
              <w:ind w:left="107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One-unit</w:t>
              <w:tab/>
            </w:r>
            <w:r>
              <w:rPr>
                <w:rFonts w:ascii="Times New Roman"/>
                <w:spacing w:val="-1"/>
                <w:sz w:val="20"/>
              </w:rPr>
              <w:t>point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increase</w:t>
              <w:tab/>
              <w:tab/>
            </w:r>
            <w:r>
              <w:rPr>
                <w:rFonts w:ascii="Times New Roman"/>
                <w:spacing w:val="-2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Disparity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associated</w:t>
            </w:r>
            <w:r>
              <w:rPr>
                <w:rFonts w:ascii="Times New Roman"/>
                <w:spacing w:val="3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0.65%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children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deaths</w:t>
            </w:r>
          </w:p>
        </w:tc>
        <w:tc>
          <w:tcPr>
            <w:tcW w:w="1179" w:type="dxa"/>
          </w:tcPr>
          <w:p>
            <w:pPr>
              <w:pStyle w:val="TableParagraph"/>
              <w:ind w:left="107" w:right="4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Herzer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(2015)</w:t>
            </w:r>
          </w:p>
        </w:tc>
        <w:tc>
          <w:tcPr>
            <w:tcW w:w="1897" w:type="dxa"/>
          </w:tcPr>
          <w:p>
            <w:pPr>
              <w:pStyle w:val="TableParagraph"/>
              <w:tabs>
                <w:tab w:pos="1788" w:val="right" w:leader="none"/>
              </w:tabs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z w:val="20"/>
              </w:rPr>
              <w:t>19</w:t>
            </w:r>
          </w:p>
          <w:p>
            <w:pPr>
              <w:pStyle w:val="TableParagraph"/>
              <w:ind w:left="107" w:right="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developed countries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pacing w:val="-1"/>
                <w:sz w:val="20"/>
              </w:rPr>
              <w:t>Technique: </w:t>
            </w:r>
            <w:r>
              <w:rPr>
                <w:rFonts w:ascii="Times New Roman"/>
                <w:sz w:val="20"/>
              </w:rPr>
              <w:t>Dynamic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OLS</w:t>
            </w:r>
          </w:p>
        </w:tc>
        <w:tc>
          <w:tcPr>
            <w:tcW w:w="1601" w:type="dxa"/>
          </w:tcPr>
          <w:p>
            <w:pPr>
              <w:pStyle w:val="TableParagraph"/>
              <w:tabs>
                <w:tab w:pos="492" w:val="left" w:leader="none"/>
                <w:tab w:pos="955" w:val="left" w:leader="none"/>
                <w:tab w:pos="1224" w:val="left" w:leader="none"/>
                <w:tab w:pos="1332" w:val="left" w:leader="none"/>
              </w:tabs>
              <w:ind w:left="106" w:right="9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  <w:tab/>
              <w:tab/>
            </w:r>
            <w:r>
              <w:rPr>
                <w:rFonts w:ascii="Times New Roman"/>
                <w:spacing w:val="-1"/>
                <w:sz w:val="20"/>
              </w:rPr>
              <w:t>has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been</w:t>
            </w:r>
            <w:r>
              <w:rPr>
                <w:rFonts w:ascii="Times New Roman"/>
                <w:spacing w:val="3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responsible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3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about</w:t>
            </w:r>
            <w:r>
              <w:rPr>
                <w:rFonts w:ascii="Times New Roman"/>
                <w:spacing w:val="3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2.32%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  <w:tab/>
              <w:t>the</w:t>
              <w:tab/>
              <w:t>annual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increase</w:t>
              <w:tab/>
              <w:tab/>
              <w:tab/>
              <w:t>in</w:t>
            </w:r>
          </w:p>
          <w:p>
            <w:pPr>
              <w:pStyle w:val="TableParagraph"/>
              <w:tabs>
                <w:tab w:pos="1332" w:val="left" w:leader="none"/>
              </w:tabs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longevity</w:t>
              <w:tab/>
              <w:t>in</w:t>
            </w:r>
          </w:p>
          <w:p>
            <w:pPr>
              <w:pStyle w:val="TableParagraph"/>
              <w:spacing w:line="228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these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developed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countries</w:t>
            </w:r>
          </w:p>
        </w:tc>
      </w:tr>
      <w:tr>
        <w:trPr>
          <w:trHeight w:val="1380" w:hRule="atLeast"/>
        </w:trPr>
        <w:tc>
          <w:tcPr>
            <w:tcW w:w="1116" w:type="dxa"/>
          </w:tcPr>
          <w:p>
            <w:pPr>
              <w:pStyle w:val="TableParagraph"/>
              <w:ind w:left="107" w:right="16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Avendano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(2012)</w:t>
            </w:r>
          </w:p>
        </w:tc>
        <w:tc>
          <w:tcPr>
            <w:tcW w:w="2019" w:type="dxa"/>
          </w:tcPr>
          <w:p>
            <w:pPr>
              <w:pStyle w:val="TableParagraph"/>
              <w:tabs>
                <w:tab w:pos="1457" w:val="left" w:leader="none"/>
              </w:tabs>
              <w:ind w:left="107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34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countries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members of OECD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Technique:</w:t>
              <w:tab/>
            </w:r>
            <w:r>
              <w:rPr>
                <w:rFonts w:ascii="Times New Roman"/>
                <w:spacing w:val="-2"/>
                <w:sz w:val="20"/>
              </w:rPr>
              <w:t>Fixed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Effect</w:t>
            </w:r>
          </w:p>
        </w:tc>
        <w:tc>
          <w:tcPr>
            <w:tcW w:w="1541" w:type="dxa"/>
          </w:tcPr>
          <w:p>
            <w:pPr>
              <w:pStyle w:val="TableParagraph"/>
              <w:tabs>
                <w:tab w:pos="844" w:val="left" w:leader="none"/>
              </w:tabs>
              <w:ind w:left="107" w:right="96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One-point</w:t>
            </w:r>
            <w:r>
              <w:rPr>
                <w:rFonts w:ascii="Times New Roman"/>
                <w:spacing w:val="5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rise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  <w:tab/>
            </w:r>
            <w:r>
              <w:rPr>
                <w:rFonts w:ascii="Times New Roman"/>
                <w:spacing w:val="-1"/>
                <w:sz w:val="20"/>
              </w:rPr>
              <w:t>income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was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related with 7%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rise</w:t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4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infant</w:t>
            </w:r>
          </w:p>
          <w:p>
            <w:pPr>
              <w:pStyle w:val="TableParagraph"/>
              <w:spacing w:line="21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mortality</w:t>
            </w:r>
          </w:p>
        </w:tc>
        <w:tc>
          <w:tcPr>
            <w:tcW w:w="1179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sz w:val="20"/>
              </w:rPr>
              <w:t>Schell</w:t>
            </w:r>
            <w:r>
              <w:rPr>
                <w:rFonts w:ascii="Times New Roman"/>
                <w:spacing w:val="30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et</w:t>
            </w:r>
            <w:r>
              <w:rPr>
                <w:rFonts w:ascii="Times New Roman"/>
                <w:i/>
                <w:spacing w:val="30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al</w:t>
            </w: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(2014)</w:t>
            </w:r>
          </w:p>
        </w:tc>
        <w:tc>
          <w:tcPr>
            <w:tcW w:w="1897" w:type="dxa"/>
          </w:tcPr>
          <w:p>
            <w:pPr>
              <w:pStyle w:val="TableParagraph"/>
              <w:tabs>
                <w:tab w:pos="1788" w:val="right" w:leader="none"/>
              </w:tabs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z w:val="20"/>
              </w:rPr>
              <w:t>152</w:t>
            </w: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developed nations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Data:</w:t>
            </w:r>
            <w:r>
              <w:rPr>
                <w:rFonts w:ascii="Times New Roman"/>
                <w:i/>
                <w:spacing w:val="3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World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Bank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Indicator</w:t>
            </w:r>
          </w:p>
          <w:p>
            <w:pPr>
              <w:pStyle w:val="TableParagraph"/>
              <w:tabs>
                <w:tab w:pos="796" w:val="left" w:leader="none"/>
              </w:tabs>
              <w:spacing w:line="230" w:lineRule="atLeast"/>
              <w:ind w:left="107" w:right="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Test:</w:t>
              <w:tab/>
            </w:r>
            <w:r>
              <w:rPr>
                <w:rFonts w:ascii="Times New Roman"/>
                <w:spacing w:val="-1"/>
                <w:sz w:val="20"/>
              </w:rPr>
              <w:t>Multivariate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Regression</w:t>
            </w:r>
          </w:p>
        </w:tc>
        <w:tc>
          <w:tcPr>
            <w:tcW w:w="1601" w:type="dxa"/>
          </w:tcPr>
          <w:p>
            <w:pPr>
              <w:pStyle w:val="TableParagraph"/>
              <w:ind w:left="106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A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unit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increase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improve children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0.51%</w:t>
            </w:r>
          </w:p>
        </w:tc>
      </w:tr>
      <w:tr>
        <w:trPr>
          <w:trHeight w:val="1381" w:hRule="atLeast"/>
        </w:trPr>
        <w:tc>
          <w:tcPr>
            <w:tcW w:w="1116" w:type="dxa"/>
          </w:tcPr>
          <w:p>
            <w:pPr>
              <w:pStyle w:val="TableParagraph"/>
              <w:ind w:left="107" w:right="15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Torre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Myrskyla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(2011)</w:t>
            </w:r>
          </w:p>
        </w:tc>
        <w:tc>
          <w:tcPr>
            <w:tcW w:w="2019" w:type="dxa"/>
          </w:tcPr>
          <w:p>
            <w:pPr>
              <w:pStyle w:val="TableParagraph"/>
              <w:spacing w:line="237" w:lineRule="auto"/>
              <w:ind w:left="107" w:right="8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Sample: </w:t>
            </w:r>
            <w:r>
              <w:rPr>
                <w:rFonts w:ascii="Times New Roman"/>
                <w:spacing w:val="-1"/>
                <w:sz w:val="20"/>
              </w:rPr>
              <w:t>21 Developed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Nations</w:t>
            </w:r>
          </w:p>
          <w:p>
            <w:pPr>
              <w:pStyle w:val="TableParagraph"/>
              <w:tabs>
                <w:tab w:pos="1466" w:val="left" w:leader="none"/>
              </w:tabs>
              <w:ind w:left="107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  <w:tab/>
            </w:r>
            <w:r>
              <w:rPr>
                <w:rFonts w:ascii="Times New Roman"/>
                <w:spacing w:val="-1"/>
                <w:sz w:val="20"/>
              </w:rPr>
              <w:t>Panel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Analysis</w:t>
            </w:r>
          </w:p>
        </w:tc>
        <w:tc>
          <w:tcPr>
            <w:tcW w:w="1541" w:type="dxa"/>
          </w:tcPr>
          <w:p>
            <w:pPr>
              <w:pStyle w:val="TableParagraph"/>
              <w:tabs>
                <w:tab w:pos="963" w:val="left" w:leader="none"/>
                <w:tab w:pos="1121" w:val="left" w:leader="none"/>
              </w:tabs>
              <w:ind w:left="107" w:right="9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1%</w:t>
            </w:r>
            <w:r>
              <w:rPr>
                <w:rFonts w:ascii="Times New Roman"/>
                <w:spacing w:val="1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increase</w:t>
            </w:r>
            <w:r>
              <w:rPr>
                <w:rFonts w:ascii="Times New Roman"/>
                <w:spacing w:val="1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  <w:tab/>
              <w:tab/>
            </w:r>
            <w:r>
              <w:rPr>
                <w:rFonts w:ascii="Times New Roman"/>
                <w:spacing w:val="-1"/>
                <w:sz w:val="20"/>
              </w:rPr>
              <w:t>will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increase</w:t>
              <w:tab/>
            </w:r>
            <w:r>
              <w:rPr>
                <w:rFonts w:ascii="Times New Roman"/>
                <w:spacing w:val="-1"/>
                <w:sz w:val="20"/>
              </w:rPr>
              <w:t>infant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deaths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0.47%</w:t>
            </w:r>
          </w:p>
        </w:tc>
        <w:tc>
          <w:tcPr>
            <w:tcW w:w="1179" w:type="dxa"/>
          </w:tcPr>
          <w:p>
            <w:pPr>
              <w:pStyle w:val="TableParagraph"/>
              <w:spacing w:line="237" w:lineRule="auto"/>
              <w:ind w:left="107" w:right="9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Shkolnikov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et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al.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(2009)</w:t>
            </w:r>
          </w:p>
        </w:tc>
        <w:tc>
          <w:tcPr>
            <w:tcW w:w="1897" w:type="dxa"/>
          </w:tcPr>
          <w:p>
            <w:pPr>
              <w:pStyle w:val="TableParagraph"/>
              <w:tabs>
                <w:tab w:pos="1788" w:val="right" w:leader="none"/>
              </w:tabs>
              <w:spacing w:line="224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z w:val="20"/>
              </w:rPr>
              <w:t>17</w:t>
            </w:r>
          </w:p>
          <w:p>
            <w:pPr>
              <w:pStyle w:val="TableParagraph"/>
              <w:tabs>
                <w:tab w:pos="1333" w:val="left" w:leader="none"/>
              </w:tabs>
              <w:ind w:left="107" w:right="9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developed countries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Technique:</w:t>
              <w:tab/>
            </w:r>
            <w:r>
              <w:rPr>
                <w:rFonts w:ascii="Times New Roman"/>
                <w:spacing w:val="-2"/>
                <w:sz w:val="20"/>
              </w:rPr>
              <w:t>Fixed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Panel</w:t>
            </w:r>
          </w:p>
        </w:tc>
        <w:tc>
          <w:tcPr>
            <w:tcW w:w="1601" w:type="dxa"/>
          </w:tcPr>
          <w:p>
            <w:pPr>
              <w:pStyle w:val="TableParagraph"/>
              <w:tabs>
                <w:tab w:pos="901" w:val="left" w:leader="none"/>
                <w:tab w:pos="1222" w:val="left" w:leader="none"/>
              </w:tabs>
              <w:ind w:left="106" w:right="100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1-point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increase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  <w:tab/>
            </w:r>
            <w:r>
              <w:rPr>
                <w:rFonts w:ascii="Times New Roman"/>
                <w:spacing w:val="-1"/>
                <w:sz w:val="20"/>
              </w:rPr>
              <w:t>income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 would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rises</w:t>
              <w:tab/>
              <w:tab/>
            </w:r>
            <w:r>
              <w:rPr>
                <w:rFonts w:ascii="Times New Roman"/>
                <w:spacing w:val="-2"/>
                <w:sz w:val="20"/>
              </w:rPr>
              <w:t>life</w:t>
            </w:r>
          </w:p>
          <w:p>
            <w:pPr>
              <w:pStyle w:val="TableParagraph"/>
              <w:spacing w:line="230" w:lineRule="exact"/>
              <w:ind w:left="106" w:right="96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expectancy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0.065%.</w:t>
            </w:r>
          </w:p>
        </w:tc>
      </w:tr>
      <w:tr>
        <w:trPr>
          <w:trHeight w:val="1149" w:hRule="atLeast"/>
        </w:trPr>
        <w:tc>
          <w:tcPr>
            <w:tcW w:w="4676" w:type="dxa"/>
            <w:gridSpan w:val="3"/>
          </w:tcPr>
          <w:p>
            <w:pPr>
              <w:pStyle w:val="TableParagraph"/>
              <w:ind w:left="107" w:right="94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Other cross-country studies, such as, Berkman </w:t>
            </w:r>
            <w:r>
              <w:rPr>
                <w:rFonts w:ascii="Times New Roman"/>
                <w:i/>
                <w:sz w:val="20"/>
              </w:rPr>
              <w:t>et al.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(2000),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Diez-Roux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Link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(2000),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Blakely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et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al.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(2000),</w:t>
            </w:r>
            <w:r>
              <w:rPr>
                <w:rFonts w:ascii="Times New Roman"/>
                <w:spacing w:val="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Leigh</w:t>
            </w:r>
            <w:r>
              <w:rPr>
                <w:rFonts w:ascii="Times New Roman"/>
                <w:spacing w:val="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Jencks</w:t>
            </w:r>
            <w:r>
              <w:rPr>
                <w:rFonts w:ascii="Times New Roman"/>
                <w:spacing w:val="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(2007),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Babones,</w:t>
            </w:r>
            <w:r>
              <w:rPr>
                <w:rFonts w:ascii="Times New Roman"/>
                <w:spacing w:val="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(2008),</w:t>
            </w:r>
          </w:p>
          <w:p>
            <w:pPr>
              <w:pStyle w:val="TableParagraph"/>
              <w:spacing w:line="230" w:lineRule="exact"/>
              <w:ind w:left="107" w:right="102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Shkolnikov </w:t>
            </w:r>
            <w:r>
              <w:rPr>
                <w:rFonts w:ascii="Times New Roman"/>
                <w:i/>
                <w:sz w:val="20"/>
              </w:rPr>
              <w:t>et al. </w:t>
            </w:r>
            <w:r>
              <w:rPr>
                <w:rFonts w:ascii="Times New Roman"/>
                <w:sz w:val="20"/>
              </w:rPr>
              <w:t>(2009) found that income inequality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worsen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outcomes.</w:t>
            </w:r>
          </w:p>
        </w:tc>
        <w:tc>
          <w:tcPr>
            <w:tcW w:w="4677" w:type="dxa"/>
            <w:gridSpan w:val="3"/>
          </w:tcPr>
          <w:p>
            <w:pPr>
              <w:pStyle w:val="TableParagraph"/>
              <w:ind w:left="107" w:right="101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Lynch </w:t>
            </w:r>
            <w:r>
              <w:rPr>
                <w:rFonts w:ascii="Times New Roman"/>
                <w:i/>
                <w:sz w:val="20"/>
              </w:rPr>
              <w:t>et al. </w:t>
            </w:r>
            <w:r>
              <w:rPr>
                <w:rFonts w:ascii="Times New Roman"/>
                <w:sz w:val="20"/>
              </w:rPr>
              <w:t>(2000), Mellor and Milyo (2001), Shibuya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et al. </w:t>
            </w:r>
            <w:r>
              <w:rPr>
                <w:rFonts w:ascii="Times New Roman"/>
                <w:sz w:val="20"/>
              </w:rPr>
              <w:t>(2002), Gravelle and Wildman (2002), Beckfield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(2004),</w:t>
            </w:r>
            <w:r>
              <w:rPr>
                <w:rFonts w:ascii="Times New Roman"/>
                <w:spacing w:val="2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Lynch,</w:t>
            </w:r>
            <w:r>
              <w:rPr>
                <w:rFonts w:ascii="Times New Roman"/>
                <w:spacing w:val="2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Davey-Smith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2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Hilleneier</w:t>
            </w:r>
            <w:r>
              <w:rPr>
                <w:rFonts w:ascii="Times New Roman"/>
                <w:spacing w:val="2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(2004)</w:t>
            </w:r>
          </w:p>
          <w:p>
            <w:pPr>
              <w:pStyle w:val="TableParagraph"/>
              <w:spacing w:line="230" w:lineRule="exact"/>
              <w:ind w:left="107" w:right="103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found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that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rising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disparity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associated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healthy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outcomes.</w:t>
            </w:r>
          </w:p>
        </w:tc>
      </w:tr>
      <w:tr>
        <w:trPr>
          <w:trHeight w:val="229" w:hRule="atLeast"/>
        </w:trPr>
        <w:tc>
          <w:tcPr>
            <w:tcW w:w="9353" w:type="dxa"/>
            <w:gridSpan w:val="6"/>
          </w:tcPr>
          <w:p>
            <w:pPr>
              <w:pStyle w:val="TableParagraph"/>
              <w:spacing w:line="209" w:lineRule="exact"/>
              <w:ind w:left="2315" w:right="2314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COUNTRY-SPECIFIC</w:t>
            </w:r>
            <w:r>
              <w:rPr>
                <w:rFonts w:ascii="Times New Roman"/>
                <w:b/>
                <w:i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EVIDENCE</w:t>
            </w:r>
            <w:r>
              <w:rPr>
                <w:rFonts w:ascii="Times New Roman"/>
                <w:b/>
                <w:i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(excluding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Nigeria)</w:t>
            </w:r>
          </w:p>
        </w:tc>
      </w:tr>
      <w:tr>
        <w:trPr>
          <w:trHeight w:val="461" w:hRule="atLeast"/>
        </w:trPr>
        <w:tc>
          <w:tcPr>
            <w:tcW w:w="1116" w:type="dxa"/>
          </w:tcPr>
          <w:p>
            <w:pPr>
              <w:pStyle w:val="TableParagraph"/>
              <w:spacing w:line="228" w:lineRule="exact"/>
              <w:ind w:left="208" w:right="201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Sources</w:t>
            </w:r>
          </w:p>
        </w:tc>
        <w:tc>
          <w:tcPr>
            <w:tcW w:w="2019" w:type="dxa"/>
          </w:tcPr>
          <w:p>
            <w:pPr>
              <w:pStyle w:val="TableParagraph"/>
              <w:spacing w:line="228" w:lineRule="exact"/>
              <w:ind w:left="441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Sample/Study</w:t>
            </w:r>
          </w:p>
          <w:p>
            <w:pPr>
              <w:pStyle w:val="TableParagraph"/>
              <w:spacing w:line="212" w:lineRule="exact" w:before="1"/>
              <w:ind w:left="530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Description</w:t>
            </w:r>
          </w:p>
        </w:tc>
        <w:tc>
          <w:tcPr>
            <w:tcW w:w="1541" w:type="dxa"/>
          </w:tcPr>
          <w:p>
            <w:pPr>
              <w:pStyle w:val="TableParagraph"/>
              <w:spacing w:line="228" w:lineRule="exact"/>
              <w:ind w:left="130" w:right="123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Main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Results</w:t>
            </w:r>
          </w:p>
        </w:tc>
        <w:tc>
          <w:tcPr>
            <w:tcW w:w="1179" w:type="dxa"/>
          </w:tcPr>
          <w:p>
            <w:pPr>
              <w:pStyle w:val="TableParagraph"/>
              <w:spacing w:line="228" w:lineRule="exact"/>
              <w:ind w:left="240" w:right="233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Sources</w:t>
            </w:r>
          </w:p>
        </w:tc>
        <w:tc>
          <w:tcPr>
            <w:tcW w:w="1897" w:type="dxa"/>
          </w:tcPr>
          <w:p>
            <w:pPr>
              <w:pStyle w:val="TableParagraph"/>
              <w:spacing w:line="228" w:lineRule="exact"/>
              <w:ind w:left="378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Sample/Study</w:t>
            </w:r>
          </w:p>
          <w:p>
            <w:pPr>
              <w:pStyle w:val="TableParagraph"/>
              <w:spacing w:line="212" w:lineRule="exact" w:before="1"/>
              <w:ind w:left="469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Description</w:t>
            </w:r>
          </w:p>
        </w:tc>
        <w:tc>
          <w:tcPr>
            <w:tcW w:w="1601" w:type="dxa"/>
          </w:tcPr>
          <w:p>
            <w:pPr>
              <w:pStyle w:val="TableParagraph"/>
              <w:spacing w:line="228" w:lineRule="exact"/>
              <w:ind w:left="158" w:right="155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Main</w:t>
            </w:r>
            <w:r>
              <w:rPr>
                <w:rFonts w:ascii="Times New Roman"/>
                <w:b/>
                <w:i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Results</w:t>
            </w:r>
          </w:p>
        </w:tc>
      </w:tr>
      <w:tr>
        <w:trPr>
          <w:trHeight w:val="1379" w:hRule="atLeast"/>
        </w:trPr>
        <w:tc>
          <w:tcPr>
            <w:tcW w:w="111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sz w:val="20"/>
              </w:rPr>
              <w:t>Tan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et</w:t>
            </w:r>
            <w:r>
              <w:rPr>
                <w:rFonts w:ascii="Times New Roman"/>
                <w:i/>
                <w:spacing w:val="69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al.</w:t>
            </w: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(2018)</w:t>
            </w:r>
          </w:p>
        </w:tc>
        <w:tc>
          <w:tcPr>
            <w:tcW w:w="2019" w:type="dxa"/>
          </w:tcPr>
          <w:p>
            <w:pPr>
              <w:pStyle w:val="TableParagraph"/>
              <w:tabs>
                <w:tab w:pos="1267" w:val="left" w:leader="none"/>
              </w:tabs>
              <w:ind w:left="107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pacing w:val="-1"/>
                <w:sz w:val="20"/>
              </w:rPr>
              <w:t>Shaanxi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China</w:t>
            </w:r>
          </w:p>
          <w:p>
            <w:pPr>
              <w:pStyle w:val="TableParagraph"/>
              <w:ind w:left="107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</w:r>
            <w:r>
              <w:rPr>
                <w:rFonts w:ascii="Times New Roman"/>
                <w:i/>
                <w:spacing w:val="1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2008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National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Survey</w:t>
            </w:r>
          </w:p>
          <w:p>
            <w:pPr>
              <w:pStyle w:val="TableParagraph"/>
              <w:tabs>
                <w:tab w:pos="1257" w:val="left" w:leader="none"/>
              </w:tabs>
              <w:spacing w:line="230" w:lineRule="atLeast"/>
              <w:ind w:left="107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  <w:tab/>
            </w:r>
            <w:r>
              <w:rPr>
                <w:rFonts w:ascii="Times New Roman"/>
                <w:spacing w:val="-2"/>
                <w:sz w:val="20"/>
              </w:rPr>
              <w:t>Logistic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Regression</w:t>
            </w:r>
          </w:p>
        </w:tc>
        <w:tc>
          <w:tcPr>
            <w:tcW w:w="1541" w:type="dxa"/>
          </w:tcPr>
          <w:p>
            <w:pPr>
              <w:pStyle w:val="TableParagraph"/>
              <w:tabs>
                <w:tab w:pos="844" w:val="left" w:leader="none"/>
                <w:tab w:pos="1141" w:val="left" w:leader="none"/>
              </w:tabs>
              <w:ind w:left="107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One-point</w:t>
              <w:tab/>
              <w:t>rise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  <w:tab/>
            </w:r>
            <w:r>
              <w:rPr>
                <w:rFonts w:ascii="Times New Roman"/>
                <w:spacing w:val="-1"/>
                <w:sz w:val="20"/>
              </w:rPr>
              <w:t>income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reduce health by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4.8%</w:t>
            </w:r>
          </w:p>
        </w:tc>
        <w:tc>
          <w:tcPr>
            <w:tcW w:w="1179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sz w:val="20"/>
              </w:rPr>
              <w:t>Singh</w:t>
            </w:r>
            <w:r>
              <w:rPr>
                <w:rFonts w:ascii="Times New Roman"/>
                <w:spacing w:val="20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et</w:t>
            </w:r>
            <w:r>
              <w:rPr>
                <w:rFonts w:ascii="Times New Roman"/>
                <w:i/>
                <w:spacing w:val="2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al.</w:t>
            </w: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(2018)</w:t>
            </w:r>
          </w:p>
        </w:tc>
        <w:tc>
          <w:tcPr>
            <w:tcW w:w="1897" w:type="dxa"/>
          </w:tcPr>
          <w:p>
            <w:pPr>
              <w:pStyle w:val="TableParagraph"/>
              <w:tabs>
                <w:tab w:pos="1338" w:val="left" w:leader="none"/>
              </w:tabs>
              <w:ind w:left="107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pacing w:val="-1"/>
                <w:sz w:val="20"/>
              </w:rPr>
              <w:t>5,165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Australia adults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Data:</w:t>
            </w:r>
            <w:r>
              <w:rPr>
                <w:rFonts w:ascii="Times New Roman"/>
                <w:i/>
                <w:spacing w:val="3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2013</w:t>
            </w:r>
            <w:r>
              <w:rPr>
                <w:rFonts w:ascii="Times New Roman"/>
                <w:spacing w:val="3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Dental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Survey</w:t>
            </w:r>
          </w:p>
          <w:p>
            <w:pPr>
              <w:pStyle w:val="TableParagraph"/>
              <w:spacing w:line="230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</w:r>
            <w:r>
              <w:rPr>
                <w:rFonts w:ascii="Times New Roman"/>
                <w:i/>
                <w:spacing w:val="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Logistic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Regression</w:t>
            </w:r>
          </w:p>
        </w:tc>
        <w:tc>
          <w:tcPr>
            <w:tcW w:w="1601" w:type="dxa"/>
          </w:tcPr>
          <w:p>
            <w:pPr>
              <w:pStyle w:val="TableParagraph"/>
              <w:ind w:left="106" w:right="98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Adults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states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Gini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had relative odds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0.8%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better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</w:t>
            </w:r>
          </w:p>
        </w:tc>
      </w:tr>
      <w:tr>
        <w:trPr>
          <w:trHeight w:val="1149" w:hRule="atLeast"/>
        </w:trPr>
        <w:tc>
          <w:tcPr>
            <w:tcW w:w="1116" w:type="dxa"/>
          </w:tcPr>
          <w:p>
            <w:pPr>
              <w:pStyle w:val="TableParagraph"/>
              <w:tabs>
                <w:tab w:pos="861" w:val="left" w:leader="none"/>
              </w:tabs>
              <w:ind w:left="107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Massa</w:t>
              <w:tab/>
            </w:r>
            <w:r>
              <w:rPr>
                <w:rFonts w:ascii="Times New Roman"/>
                <w:i/>
                <w:spacing w:val="-3"/>
                <w:sz w:val="20"/>
              </w:rPr>
              <w:t>et</w:t>
            </w:r>
            <w:r>
              <w:rPr>
                <w:rFonts w:ascii="Times New Roman"/>
                <w:i/>
                <w:spacing w:val="-47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al</w:t>
            </w:r>
            <w:r>
              <w:rPr>
                <w:rFonts w:ascii="Times New Roman"/>
                <w:sz w:val="20"/>
              </w:rPr>
              <w:t>.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(2018)</w:t>
            </w:r>
          </w:p>
        </w:tc>
        <w:tc>
          <w:tcPr>
            <w:tcW w:w="2019" w:type="dxa"/>
          </w:tcPr>
          <w:p>
            <w:pPr>
              <w:pStyle w:val="TableParagraph"/>
              <w:ind w:left="107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27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Brazilian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capitals</w:t>
            </w:r>
          </w:p>
          <w:p>
            <w:pPr>
              <w:pStyle w:val="TableParagraph"/>
              <w:tabs>
                <w:tab w:pos="777" w:val="left" w:leader="none"/>
                <w:tab w:pos="1378" w:val="left" w:leader="none"/>
              </w:tabs>
              <w:ind w:left="107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  <w:tab/>
            </w:r>
            <w:r>
              <w:rPr>
                <w:rFonts w:ascii="Times New Roman"/>
                <w:sz w:val="20"/>
              </w:rPr>
              <w:t>2013</w:t>
              <w:tab/>
            </w:r>
            <w:r>
              <w:rPr>
                <w:rFonts w:ascii="Times New Roman"/>
                <w:spacing w:val="-1"/>
                <w:sz w:val="20"/>
              </w:rPr>
              <w:t>Health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Survey</w:t>
            </w:r>
          </w:p>
        </w:tc>
        <w:tc>
          <w:tcPr>
            <w:tcW w:w="1541" w:type="dxa"/>
          </w:tcPr>
          <w:p>
            <w:pPr>
              <w:pStyle w:val="TableParagraph"/>
              <w:ind w:left="107" w:right="96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Poorer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exist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among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</w:p>
          <w:p>
            <w:pPr>
              <w:pStyle w:val="TableParagraph"/>
              <w:spacing w:line="216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inequality</w:t>
            </w:r>
          </w:p>
        </w:tc>
        <w:tc>
          <w:tcPr>
            <w:tcW w:w="1179" w:type="dxa"/>
          </w:tcPr>
          <w:p>
            <w:pPr>
              <w:pStyle w:val="TableParagraph"/>
              <w:ind w:left="107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Adjaye-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Gbewonjo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pacing w:val="-2"/>
                <w:sz w:val="20"/>
              </w:rPr>
              <w:t>et</w:t>
            </w:r>
            <w:r>
              <w:rPr>
                <w:rFonts w:ascii="Times New Roman"/>
                <w:i/>
                <w:spacing w:val="-7"/>
                <w:sz w:val="20"/>
              </w:rPr>
              <w:t> </w:t>
            </w:r>
            <w:r>
              <w:rPr>
                <w:rFonts w:ascii="Times New Roman"/>
                <w:i/>
                <w:spacing w:val="-2"/>
                <w:sz w:val="20"/>
              </w:rPr>
              <w:t>al.</w:t>
            </w:r>
            <w:r>
              <w:rPr>
                <w:rFonts w:ascii="Times New Roman"/>
                <w:i/>
                <w:spacing w:val="-10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(2018)</w:t>
            </w:r>
          </w:p>
        </w:tc>
        <w:tc>
          <w:tcPr>
            <w:tcW w:w="1897" w:type="dxa"/>
          </w:tcPr>
          <w:p>
            <w:pPr>
              <w:pStyle w:val="TableParagraph"/>
              <w:tabs>
                <w:tab w:pos="1321" w:val="left" w:leader="none"/>
              </w:tabs>
              <w:ind w:left="107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pacing w:val="-2"/>
                <w:sz w:val="20"/>
              </w:rPr>
              <w:t>South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Africa</w:t>
            </w:r>
          </w:p>
          <w:p>
            <w:pPr>
              <w:pStyle w:val="TableParagraph"/>
              <w:tabs>
                <w:tab w:pos="1098" w:val="left" w:leader="none"/>
              </w:tabs>
              <w:ind w:left="107" w:right="10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  <w:tab/>
            </w:r>
            <w:r>
              <w:rPr>
                <w:rFonts w:ascii="Times New Roman"/>
                <w:spacing w:val="-1"/>
                <w:sz w:val="20"/>
              </w:rPr>
              <w:t>National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Survey</w:t>
            </w:r>
          </w:p>
        </w:tc>
        <w:tc>
          <w:tcPr>
            <w:tcW w:w="1601" w:type="dxa"/>
          </w:tcPr>
          <w:p>
            <w:pPr>
              <w:pStyle w:val="TableParagraph"/>
              <w:tabs>
                <w:tab w:pos="1234" w:val="left" w:leader="none"/>
              </w:tabs>
              <w:ind w:left="106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disparity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were</w:t>
              <w:tab/>
            </w:r>
            <w:r>
              <w:rPr>
                <w:rFonts w:ascii="Times New Roman"/>
                <w:spacing w:val="-1"/>
                <w:sz w:val="20"/>
              </w:rPr>
              <w:t>not</w:t>
            </w:r>
          </w:p>
          <w:p>
            <w:pPr>
              <w:pStyle w:val="TableParagraph"/>
              <w:tabs>
                <w:tab w:pos="1138" w:val="left" w:leader="none"/>
              </w:tabs>
              <w:ind w:left="106" w:right="9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significantly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related</w:t>
              <w:tab/>
            </w:r>
            <w:r>
              <w:rPr>
                <w:rFonts w:ascii="Times New Roman"/>
                <w:spacing w:val="-3"/>
                <w:sz w:val="20"/>
              </w:rPr>
              <w:t>with</w:t>
            </w:r>
          </w:p>
        </w:tc>
      </w:tr>
    </w:tbl>
    <w:p>
      <w:pPr>
        <w:spacing w:after="0"/>
        <w:jc w:val="left"/>
        <w:rPr>
          <w:rFonts w:ascii="Times New Roman"/>
          <w:sz w:val="20"/>
        </w:rPr>
        <w:sectPr>
          <w:pgSz w:w="12240" w:h="15840"/>
          <w:pgMar w:header="0" w:footer="935" w:top="1360" w:bottom="1200" w:left="1320" w:right="132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2019"/>
        <w:gridCol w:w="1541"/>
        <w:gridCol w:w="1179"/>
        <w:gridCol w:w="1897"/>
        <w:gridCol w:w="1601"/>
      </w:tblGrid>
      <w:tr>
        <w:trPr>
          <w:trHeight w:val="712" w:hRule="atLeast"/>
        </w:trPr>
        <w:tc>
          <w:tcPr>
            <w:tcW w:w="111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9" w:type="dxa"/>
          </w:tcPr>
          <w:p>
            <w:pPr>
              <w:pStyle w:val="TableParagraph"/>
              <w:tabs>
                <w:tab w:pos="1257" w:val="left" w:leader="none"/>
              </w:tabs>
              <w:ind w:left="107" w:right="9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  <w:tab/>
            </w:r>
            <w:r>
              <w:rPr>
                <w:rFonts w:ascii="Times New Roman"/>
                <w:spacing w:val="-2"/>
                <w:sz w:val="20"/>
              </w:rPr>
              <w:t>Logistic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Regression</w:t>
            </w:r>
          </w:p>
        </w:tc>
        <w:tc>
          <w:tcPr>
            <w:tcW w:w="1541" w:type="dxa"/>
          </w:tcPr>
          <w:p>
            <w:pPr>
              <w:pStyle w:val="TableParagraph"/>
              <w:tabs>
                <w:tab w:pos="1287" w:val="left" w:leader="none"/>
              </w:tabs>
              <w:ind w:left="107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resident</w:t>
              <w:tab/>
            </w:r>
            <w:r>
              <w:rPr>
                <w:rFonts w:ascii="Times New Roman"/>
                <w:spacing w:val="-3"/>
                <w:sz w:val="20"/>
              </w:rPr>
              <w:t>at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0.31%</w:t>
            </w:r>
          </w:p>
        </w:tc>
        <w:tc>
          <w:tcPr>
            <w:tcW w:w="117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97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Test:</w:t>
            </w:r>
            <w:r>
              <w:rPr>
                <w:rFonts w:ascii="Times New Roman"/>
                <w:i/>
                <w:spacing w:val="2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Fixed-Effects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Regression</w:t>
            </w:r>
          </w:p>
        </w:tc>
        <w:tc>
          <w:tcPr>
            <w:tcW w:w="1601" w:type="dxa"/>
          </w:tcPr>
          <w:p>
            <w:pPr>
              <w:pStyle w:val="TableParagraph"/>
              <w:spacing w:line="247" w:lineRule="exact"/>
              <w:ind w:left="106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0"/>
              </w:rPr>
              <w:t>changes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rFonts w:ascii="Times New Roman"/>
                <w:sz w:val="22"/>
              </w:rPr>
              <w:t>CVD</w:t>
            </w:r>
          </w:p>
          <w:p>
            <w:pPr>
              <w:pStyle w:val="TableParagraph"/>
              <w:spacing w:before="1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at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5%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level</w:t>
            </w:r>
          </w:p>
        </w:tc>
      </w:tr>
      <w:tr>
        <w:trPr>
          <w:trHeight w:val="2070" w:hRule="atLeast"/>
        </w:trPr>
        <w:tc>
          <w:tcPr>
            <w:tcW w:w="111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Liu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(2017)</w:t>
            </w:r>
          </w:p>
        </w:tc>
        <w:tc>
          <w:tcPr>
            <w:tcW w:w="2019" w:type="dxa"/>
          </w:tcPr>
          <w:p>
            <w:pPr>
              <w:pStyle w:val="TableParagraph"/>
              <w:tabs>
                <w:tab w:pos="1361" w:val="left" w:leader="none"/>
              </w:tabs>
              <w:ind w:left="107" w:right="9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pacing w:val="-1"/>
                <w:sz w:val="20"/>
              </w:rPr>
              <w:t>65,000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Canadians</w:t>
            </w:r>
          </w:p>
          <w:p>
            <w:pPr>
              <w:pStyle w:val="TableParagraph"/>
              <w:tabs>
                <w:tab w:pos="1077" w:val="left" w:leader="none"/>
              </w:tabs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  <w:tab/>
            </w:r>
            <w:r>
              <w:rPr>
                <w:rFonts w:ascii="Times New Roman"/>
                <w:sz w:val="20"/>
              </w:rPr>
              <w:t>Canadians</w:t>
            </w:r>
          </w:p>
          <w:p>
            <w:pPr>
              <w:pStyle w:val="TableParagraph"/>
              <w:tabs>
                <w:tab w:pos="1619" w:val="left" w:leader="none"/>
              </w:tabs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Census</w:t>
              <w:tab/>
              <w:t>and</w:t>
            </w:r>
          </w:p>
          <w:p>
            <w:pPr>
              <w:pStyle w:val="TableParagraph"/>
              <w:tabs>
                <w:tab w:pos="1373" w:val="left" w:leader="none"/>
              </w:tabs>
              <w:ind w:left="107" w:right="9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Community</w:t>
              <w:tab/>
            </w:r>
            <w:r>
              <w:rPr>
                <w:rFonts w:ascii="Times New Roman"/>
                <w:spacing w:val="-1"/>
                <w:sz w:val="20"/>
              </w:rPr>
              <w:t>Health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Survey</w:t>
            </w:r>
          </w:p>
          <w:p>
            <w:pPr>
              <w:pStyle w:val="TableParagraph"/>
              <w:tabs>
                <w:tab w:pos="1368" w:val="left" w:leader="none"/>
              </w:tabs>
              <w:ind w:left="107" w:right="9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  <w:tab/>
            </w:r>
            <w:r>
              <w:rPr>
                <w:rFonts w:ascii="Times New Roman"/>
                <w:spacing w:val="-1"/>
                <w:sz w:val="20"/>
              </w:rPr>
              <w:t>Binary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Logistic Regression</w:t>
            </w:r>
          </w:p>
        </w:tc>
        <w:tc>
          <w:tcPr>
            <w:tcW w:w="1541" w:type="dxa"/>
          </w:tcPr>
          <w:p>
            <w:pPr>
              <w:pStyle w:val="TableParagraph"/>
              <w:tabs>
                <w:tab w:pos="944" w:val="left" w:leader="none"/>
                <w:tab w:pos="1081" w:val="left" w:leader="none"/>
                <w:tab w:pos="1275" w:val="left" w:leader="none"/>
              </w:tabs>
              <w:ind w:left="107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About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0.00018%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poor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mental</w:t>
              <w:tab/>
            </w:r>
            <w:r>
              <w:rPr>
                <w:rFonts w:ascii="Times New Roman"/>
                <w:spacing w:val="-1"/>
                <w:sz w:val="20"/>
              </w:rPr>
              <w:t>health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related</w:t>
              <w:tab/>
              <w:tab/>
            </w:r>
            <w:r>
              <w:rPr>
                <w:rFonts w:ascii="Times New Roman"/>
                <w:spacing w:val="-2"/>
                <w:sz w:val="20"/>
              </w:rPr>
              <w:t>with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  <w:tab/>
              <w:tab/>
              <w:tab/>
            </w:r>
            <w:r>
              <w:rPr>
                <w:rFonts w:ascii="Times New Roman"/>
                <w:spacing w:val="-1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Canada</w:t>
            </w:r>
          </w:p>
        </w:tc>
        <w:tc>
          <w:tcPr>
            <w:tcW w:w="1179" w:type="dxa"/>
          </w:tcPr>
          <w:p>
            <w:pPr>
              <w:pStyle w:val="TableParagraph"/>
              <w:ind w:left="107" w:right="42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Bakkeli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(2016)</w:t>
            </w:r>
          </w:p>
        </w:tc>
        <w:tc>
          <w:tcPr>
            <w:tcW w:w="1897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China</w:t>
            </w:r>
          </w:p>
          <w:p>
            <w:pPr>
              <w:pStyle w:val="TableParagraph"/>
              <w:tabs>
                <w:tab w:pos="920" w:val="left" w:leader="none"/>
              </w:tabs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  <w:tab/>
            </w:r>
            <w:r>
              <w:rPr>
                <w:rFonts w:ascii="Times New Roman"/>
                <w:sz w:val="20"/>
              </w:rPr>
              <w:t>1989-2011</w:t>
            </w:r>
          </w:p>
          <w:p>
            <w:pPr>
              <w:pStyle w:val="TableParagraph"/>
              <w:tabs>
                <w:tab w:pos="1493" w:val="left" w:leader="none"/>
              </w:tabs>
              <w:spacing w:before="1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Health</w:t>
              <w:tab/>
              <w:t>and</w:t>
            </w:r>
          </w:p>
          <w:p>
            <w:pPr>
              <w:pStyle w:val="TableParagraph"/>
              <w:ind w:left="82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Nutrition</w:t>
            </w: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Survey</w:t>
            </w:r>
          </w:p>
          <w:p>
            <w:pPr>
              <w:pStyle w:val="TableParagraph"/>
              <w:tabs>
                <w:tab w:pos="1343" w:val="left" w:leader="none"/>
              </w:tabs>
              <w:spacing w:before="1"/>
              <w:ind w:left="107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  <w:tab/>
            </w:r>
            <w:r>
              <w:rPr>
                <w:rFonts w:ascii="Times New Roman"/>
                <w:spacing w:val="-1"/>
                <w:sz w:val="20"/>
              </w:rPr>
              <w:t>Panel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Regression</w:t>
            </w:r>
          </w:p>
        </w:tc>
        <w:tc>
          <w:tcPr>
            <w:tcW w:w="1601" w:type="dxa"/>
          </w:tcPr>
          <w:p>
            <w:pPr>
              <w:pStyle w:val="TableParagraph"/>
              <w:tabs>
                <w:tab w:pos="1003" w:val="left" w:leader="none"/>
              </w:tabs>
              <w:ind w:left="106" w:right="97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One-unit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rise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 disparity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yields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very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low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poor</w:t>
              <w:tab/>
            </w:r>
            <w:r>
              <w:rPr>
                <w:rFonts w:ascii="Times New Roman"/>
                <w:spacing w:val="-1"/>
                <w:sz w:val="20"/>
              </w:rPr>
              <w:t>health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0.002.</w:t>
            </w:r>
          </w:p>
        </w:tc>
      </w:tr>
    </w:tbl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0"/>
        <w:gridCol w:w="284"/>
        <w:gridCol w:w="2189"/>
        <w:gridCol w:w="1437"/>
        <w:gridCol w:w="770"/>
        <w:gridCol w:w="527"/>
        <w:gridCol w:w="1713"/>
        <w:gridCol w:w="1496"/>
      </w:tblGrid>
      <w:tr>
        <w:trPr>
          <w:trHeight w:val="506" w:hRule="atLeast"/>
        </w:trPr>
        <w:tc>
          <w:tcPr>
            <w:tcW w:w="1214" w:type="dxa"/>
            <w:gridSpan w:val="2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Sources</w:t>
            </w:r>
          </w:p>
        </w:tc>
        <w:tc>
          <w:tcPr>
            <w:tcW w:w="2189" w:type="dxa"/>
          </w:tcPr>
          <w:p>
            <w:pPr>
              <w:pStyle w:val="TableParagraph"/>
              <w:spacing w:line="254" w:lineRule="exact"/>
              <w:ind w:left="108" w:right="804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Sample/Study</w:t>
            </w:r>
            <w:r>
              <w:rPr>
                <w:rFonts w:ascii="Times New Roman"/>
                <w:b/>
                <w:i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Description</w:t>
            </w:r>
          </w:p>
        </w:tc>
        <w:tc>
          <w:tcPr>
            <w:tcW w:w="1437" w:type="dxa"/>
          </w:tcPr>
          <w:p>
            <w:pPr>
              <w:pStyle w:val="TableParagraph"/>
              <w:spacing w:line="251" w:lineRule="exact"/>
              <w:ind w:left="108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Main</w:t>
            </w:r>
            <w:r>
              <w:rPr>
                <w:rFonts w:ascii="Times New Roman"/>
                <w:b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Results</w:t>
            </w:r>
          </w:p>
        </w:tc>
        <w:tc>
          <w:tcPr>
            <w:tcW w:w="1297" w:type="dxa"/>
            <w:gridSpan w:val="2"/>
          </w:tcPr>
          <w:p>
            <w:pPr>
              <w:pStyle w:val="TableParagraph"/>
              <w:spacing w:line="251" w:lineRule="exact"/>
              <w:ind w:left="109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Sources</w:t>
            </w:r>
          </w:p>
        </w:tc>
        <w:tc>
          <w:tcPr>
            <w:tcW w:w="1713" w:type="dxa"/>
          </w:tcPr>
          <w:p>
            <w:pPr>
              <w:pStyle w:val="TableParagraph"/>
              <w:spacing w:line="254" w:lineRule="exact"/>
              <w:ind w:left="110" w:right="326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Sample/Study</w:t>
            </w:r>
            <w:r>
              <w:rPr>
                <w:rFonts w:ascii="Times New Roman"/>
                <w:b/>
                <w:i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Description</w:t>
            </w:r>
          </w:p>
        </w:tc>
        <w:tc>
          <w:tcPr>
            <w:tcW w:w="1496" w:type="dxa"/>
          </w:tcPr>
          <w:p>
            <w:pPr>
              <w:pStyle w:val="TableParagraph"/>
              <w:spacing w:line="251" w:lineRule="exact"/>
              <w:ind w:left="112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Main</w:t>
            </w:r>
            <w:r>
              <w:rPr>
                <w:rFonts w:ascii="Times New Roman"/>
                <w:b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Results</w:t>
            </w:r>
          </w:p>
        </w:tc>
      </w:tr>
      <w:tr>
        <w:trPr>
          <w:trHeight w:val="226" w:hRule="atLeast"/>
        </w:trPr>
        <w:tc>
          <w:tcPr>
            <w:tcW w:w="93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6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Pabayo</w:t>
            </w:r>
          </w:p>
        </w:tc>
        <w:tc>
          <w:tcPr>
            <w:tcW w:w="284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6" w:lineRule="exact"/>
              <w:ind w:left="37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et</w:t>
            </w:r>
          </w:p>
        </w:tc>
        <w:tc>
          <w:tcPr>
            <w:tcW w:w="2189" w:type="dxa"/>
            <w:tcBorders>
              <w:bottom w:val="nil"/>
            </w:tcBorders>
          </w:tcPr>
          <w:p>
            <w:pPr>
              <w:pStyle w:val="TableParagraph"/>
              <w:tabs>
                <w:tab w:pos="1077" w:val="left" w:leader="none"/>
                <w:tab w:pos="1588" w:val="left" w:leader="none"/>
              </w:tabs>
              <w:spacing w:line="206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z w:val="20"/>
              </w:rPr>
              <w:t>50</w:t>
              <w:tab/>
              <w:t>states,</w:t>
            </w:r>
          </w:p>
        </w:tc>
        <w:tc>
          <w:tcPr>
            <w:tcW w:w="1437" w:type="dxa"/>
            <w:tcBorders>
              <w:bottom w:val="nil"/>
            </w:tcBorders>
          </w:tcPr>
          <w:p>
            <w:pPr>
              <w:pStyle w:val="TableParagraph"/>
              <w:tabs>
                <w:tab w:pos="1197" w:val="left" w:leader="none"/>
              </w:tabs>
              <w:spacing w:line="206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There</w:t>
              <w:tab/>
              <w:t>is</w:t>
            </w:r>
          </w:p>
        </w:tc>
        <w:tc>
          <w:tcPr>
            <w:tcW w:w="1297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902" w:val="left" w:leader="none"/>
              </w:tabs>
              <w:spacing w:line="206" w:lineRule="exact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Herzer</w:t>
              <w:tab/>
              <w:t>and</w:t>
            </w:r>
          </w:p>
        </w:tc>
        <w:tc>
          <w:tcPr>
            <w:tcW w:w="1713" w:type="dxa"/>
            <w:tcBorders>
              <w:bottom w:val="nil"/>
            </w:tcBorders>
          </w:tcPr>
          <w:p>
            <w:pPr>
              <w:pStyle w:val="TableParagraph"/>
              <w:tabs>
                <w:tab w:pos="1609" w:val="right" w:leader="none"/>
              </w:tabs>
              <w:spacing w:line="206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z w:val="20"/>
              </w:rPr>
              <w:t>21</w:t>
            </w:r>
          </w:p>
        </w:tc>
        <w:tc>
          <w:tcPr>
            <w:tcW w:w="1496" w:type="dxa"/>
            <w:tcBorders>
              <w:bottom w:val="nil"/>
            </w:tcBorders>
          </w:tcPr>
          <w:p>
            <w:pPr>
              <w:pStyle w:val="TableParagraph"/>
              <w:spacing w:line="206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</w:p>
        </w:tc>
      </w:tr>
      <w:tr>
        <w:trPr>
          <w:trHeight w:val="230" w:hRule="atLeast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10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al. </w:t>
            </w:r>
            <w:r>
              <w:rPr>
                <w:rFonts w:ascii="Times New Roman"/>
                <w:sz w:val="20"/>
              </w:rPr>
              <w:t>(2015)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United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States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threshold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Nunnenkamp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developed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36" w:val="left" w:leader="none"/>
              </w:tabs>
              <w:spacing w:line="210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inequality</w:t>
              <w:tab/>
              <w:t>in</w:t>
            </w:r>
          </w:p>
        </w:tc>
      </w:tr>
      <w:tr>
        <w:trPr>
          <w:trHeight w:val="230" w:hRule="atLeast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</w:r>
            <w:r>
              <w:rPr>
                <w:rFonts w:ascii="Times New Roman"/>
                <w:i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2000-2007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9" w:val="left" w:leader="none"/>
              </w:tabs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effect</w:t>
              <w:tab/>
              <w:t>of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(2014)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countries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15" w:val="left" w:leader="none"/>
              </w:tabs>
              <w:spacing w:line="210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these</w:t>
              <w:tab/>
              <w:t>nations</w:t>
            </w:r>
          </w:p>
        </w:tc>
      </w:tr>
      <w:tr>
        <w:trPr>
          <w:trHeight w:val="230" w:hRule="atLeast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28" w:val="left" w:leader="none"/>
              </w:tabs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and</w:t>
              <w:tab/>
              <w:t>Well-being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2" w:val="left" w:leader="none"/>
              </w:tabs>
              <w:spacing w:line="210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Source:</w:t>
              <w:tab/>
            </w:r>
            <w:r>
              <w:rPr>
                <w:rFonts w:ascii="Times New Roman"/>
                <w:sz w:val="20"/>
              </w:rPr>
              <w:t>1981-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contributed</w:t>
            </w:r>
          </w:p>
        </w:tc>
      </w:tr>
      <w:tr>
        <w:trPr>
          <w:trHeight w:val="229" w:hRule="atLeast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Survey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27" w:val="left" w:leader="none"/>
              </w:tabs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disparity</w:t>
              <w:tab/>
              <w:t>on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2005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43" w:val="left" w:leader="none"/>
              </w:tabs>
              <w:spacing w:line="209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about</w:t>
              <w:tab/>
              <w:t>0.0079</w:t>
            </w:r>
          </w:p>
        </w:tc>
      </w:tr>
      <w:tr>
        <w:trPr>
          <w:trHeight w:val="229" w:hRule="atLeast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50" w:val="left" w:leader="none"/>
              </w:tabs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  <w:tab/>
            </w:r>
            <w:r>
              <w:rPr>
                <w:rFonts w:ascii="Times New Roman"/>
                <w:sz w:val="20"/>
              </w:rPr>
              <w:t>Cox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risk</w:t>
            </w:r>
            <w:r>
              <w:rPr>
                <w:rFonts w:ascii="Times New Roman"/>
                <w:spacing w:val="3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3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deaths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</w:r>
            <w:r>
              <w:rPr>
                <w:rFonts w:ascii="Times New Roman"/>
                <w:i/>
                <w:spacing w:val="5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Panel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61" w:val="left" w:leader="none"/>
                <w:tab w:pos="1148" w:val="left" w:leader="none"/>
              </w:tabs>
              <w:spacing w:line="209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years</w:t>
              <w:tab/>
              <w:t>to</w:t>
              <w:tab/>
              <w:t>the</w:t>
            </w:r>
          </w:p>
        </w:tc>
      </w:tr>
      <w:tr>
        <w:trPr>
          <w:trHeight w:val="230" w:hRule="atLeast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Regression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71" w:val="left" w:leader="none"/>
              </w:tabs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above</w:t>
              <w:tab/>
              <w:t>Gini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Cointegration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annual</w:t>
            </w:r>
            <w:r>
              <w:rPr>
                <w:rFonts w:ascii="Times New Roman"/>
                <w:spacing w:val="3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increase</w:t>
            </w:r>
          </w:p>
        </w:tc>
      </w:tr>
      <w:tr>
        <w:trPr>
          <w:trHeight w:val="230" w:hRule="atLeast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levels</w:t>
            </w:r>
            <w:r>
              <w:rPr>
                <w:rFonts w:ascii="Times New Roman"/>
                <w:spacing w:val="2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about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Panel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Regression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24" w:val="left" w:leader="none"/>
              </w:tabs>
              <w:spacing w:line="210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</w:t>
              <w:tab/>
              <w:t>life</w:t>
            </w:r>
          </w:p>
        </w:tc>
      </w:tr>
      <w:tr>
        <w:trPr>
          <w:trHeight w:val="232" w:hRule="atLeast"/>
        </w:trPr>
        <w:tc>
          <w:tcPr>
            <w:tcW w:w="930" w:type="dxa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0.20</w:t>
            </w:r>
          </w:p>
        </w:tc>
        <w:tc>
          <w:tcPr>
            <w:tcW w:w="1297" w:type="dxa"/>
            <w:gridSpan w:val="2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96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expectancy</w:t>
            </w:r>
          </w:p>
        </w:tc>
      </w:tr>
      <w:tr>
        <w:trPr>
          <w:trHeight w:val="227" w:hRule="atLeast"/>
        </w:trPr>
        <w:tc>
          <w:tcPr>
            <w:tcW w:w="12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Juan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(2013)</w:t>
            </w:r>
          </w:p>
        </w:tc>
        <w:tc>
          <w:tcPr>
            <w:tcW w:w="218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Ecuador</w:t>
            </w:r>
          </w:p>
        </w:tc>
        <w:tc>
          <w:tcPr>
            <w:tcW w:w="1437" w:type="dxa"/>
            <w:tcBorders>
              <w:bottom w:val="nil"/>
            </w:tcBorders>
          </w:tcPr>
          <w:p>
            <w:pPr>
              <w:pStyle w:val="TableParagraph"/>
              <w:tabs>
                <w:tab w:pos="1036" w:val="left" w:leader="none"/>
              </w:tabs>
              <w:spacing w:line="208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Maternal</w:t>
              <w:tab/>
              <w:t>and</w:t>
            </w:r>
          </w:p>
        </w:tc>
        <w:tc>
          <w:tcPr>
            <w:tcW w:w="77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8" w:lineRule="exact"/>
              <w:ind w:left="21" w:right="10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Leigh</w:t>
            </w:r>
          </w:p>
        </w:tc>
        <w:tc>
          <w:tcPr>
            <w:tcW w:w="52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8" w:lineRule="exact"/>
              <w:ind w:left="1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and</w:t>
            </w:r>
          </w:p>
        </w:tc>
        <w:tc>
          <w:tcPr>
            <w:tcW w:w="1713" w:type="dxa"/>
            <w:tcBorders>
              <w:bottom w:val="nil"/>
            </w:tcBorders>
          </w:tcPr>
          <w:p>
            <w:pPr>
              <w:pStyle w:val="TableParagraph"/>
              <w:tabs>
                <w:tab w:pos="1609" w:val="right" w:leader="none"/>
              </w:tabs>
              <w:spacing w:line="208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496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unit</w:t>
            </w:r>
            <w:r>
              <w:rPr>
                <w:rFonts w:ascii="Times New Roman"/>
                <w:spacing w:val="3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increase</w:t>
            </w:r>
          </w:p>
        </w:tc>
      </w:tr>
      <w:tr>
        <w:trPr>
          <w:trHeight w:val="229" w:hRule="atLeast"/>
        </w:trPr>
        <w:tc>
          <w:tcPr>
            <w:tcW w:w="12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04" w:val="left" w:leader="none"/>
                <w:tab w:pos="1681" w:val="left" w:leader="none"/>
              </w:tabs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  <w:tab/>
            </w:r>
            <w:r>
              <w:rPr>
                <w:rFonts w:ascii="Times New Roman"/>
                <w:sz w:val="20"/>
              </w:rPr>
              <w:t>2004,</w:t>
              <w:tab/>
              <w:t>2014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15" w:val="left" w:leader="none"/>
              </w:tabs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child</w:t>
              <w:tab/>
              <w:t>deaths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9" w:lineRule="exact"/>
              <w:ind w:left="88" w:right="10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Jencks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developed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3" w:val="left" w:leader="none"/>
              </w:tabs>
              <w:spacing w:line="209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</w:t>
              <w:tab/>
              <w:t>income</w:t>
            </w:r>
          </w:p>
        </w:tc>
      </w:tr>
      <w:tr>
        <w:trPr>
          <w:trHeight w:val="229" w:hRule="atLeast"/>
        </w:trPr>
        <w:tc>
          <w:tcPr>
            <w:tcW w:w="12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48" w:val="left" w:leader="none"/>
              </w:tabs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Maternal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  <w:tab/>
              <w:t>Child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increases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5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9" w:lineRule="exact"/>
              <w:ind w:left="89" w:righ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(2007)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countries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inequality</w:t>
            </w:r>
          </w:p>
        </w:tc>
      </w:tr>
      <w:tr>
        <w:trPr>
          <w:trHeight w:val="230" w:hRule="atLeast"/>
        </w:trPr>
        <w:tc>
          <w:tcPr>
            <w:tcW w:w="12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Survey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4.247%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</w:r>
            <w:r>
              <w:rPr>
                <w:rFonts w:ascii="Times New Roman"/>
                <w:i/>
                <w:spacing w:val="5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Panel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improve</w:t>
            </w:r>
            <w:r>
              <w:rPr>
                <w:rFonts w:ascii="Times New Roman"/>
                <w:spacing w:val="2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</w:t>
            </w:r>
          </w:p>
        </w:tc>
      </w:tr>
      <w:tr>
        <w:trPr>
          <w:trHeight w:val="230" w:hRule="atLeast"/>
        </w:trPr>
        <w:tc>
          <w:tcPr>
            <w:tcW w:w="12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28" w:val="left" w:leader="none"/>
              </w:tabs>
              <w:spacing w:line="211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  <w:tab/>
            </w:r>
            <w:r>
              <w:rPr>
                <w:rFonts w:ascii="Times New Roman"/>
                <w:sz w:val="20"/>
              </w:rPr>
              <w:t>Logistic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-11.94%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Cointegration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91" w:val="left" w:leader="none"/>
              </w:tabs>
              <w:spacing w:line="211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outcomes</w:t>
              <w:tab/>
              <w:t>by</w:t>
            </w:r>
          </w:p>
        </w:tc>
      </w:tr>
      <w:tr>
        <w:trPr>
          <w:trHeight w:val="230" w:hRule="atLeast"/>
        </w:trPr>
        <w:tc>
          <w:tcPr>
            <w:tcW w:w="12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Regression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respectively by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Panel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Regression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0.043%</w:t>
            </w:r>
          </w:p>
        </w:tc>
      </w:tr>
      <w:tr>
        <w:trPr>
          <w:trHeight w:val="230" w:hRule="atLeast"/>
        </w:trPr>
        <w:tc>
          <w:tcPr>
            <w:tcW w:w="12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1-unit</w:t>
            </w:r>
            <w:r>
              <w:rPr>
                <w:rFonts w:ascii="Times New Roman"/>
                <w:spacing w:val="4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rise</w:t>
            </w:r>
            <w:r>
              <w:rPr>
                <w:rFonts w:ascii="Times New Roman"/>
                <w:spacing w:val="9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2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2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70" w:val="left" w:leader="none"/>
              </w:tabs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inequality</w:t>
              <w:tab/>
              <w:t>in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214" w:type="dxa"/>
            <w:gridSpan w:val="2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Ecuador</w:t>
            </w:r>
          </w:p>
        </w:tc>
        <w:tc>
          <w:tcPr>
            <w:tcW w:w="770" w:type="dxa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7" w:type="dxa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9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149" w:hRule="atLeast"/>
        </w:trPr>
        <w:tc>
          <w:tcPr>
            <w:tcW w:w="4840" w:type="dxa"/>
            <w:gridSpan w:val="4"/>
          </w:tcPr>
          <w:p>
            <w:pPr>
              <w:pStyle w:val="TableParagraph"/>
              <w:ind w:left="107" w:right="98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Other literature includes, Weich </w:t>
            </w:r>
            <w:r>
              <w:rPr>
                <w:rFonts w:ascii="Times New Roman"/>
                <w:i/>
                <w:sz w:val="20"/>
              </w:rPr>
              <w:t>et al. </w:t>
            </w:r>
            <w:r>
              <w:rPr>
                <w:rFonts w:ascii="Times New Roman"/>
                <w:sz w:val="20"/>
              </w:rPr>
              <w:t>(2001) for Britain;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Lynch </w:t>
            </w:r>
            <w:r>
              <w:rPr>
                <w:rFonts w:ascii="Times New Roman"/>
                <w:i/>
                <w:sz w:val="20"/>
              </w:rPr>
              <w:t>et al. </w:t>
            </w:r>
            <w:r>
              <w:rPr>
                <w:rFonts w:ascii="Times New Roman"/>
                <w:sz w:val="20"/>
              </w:rPr>
              <w:t>(2004) for United States; Wilkinson (2008)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Britain.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all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evidenced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that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rising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worsen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outcomes.</w:t>
            </w:r>
          </w:p>
        </w:tc>
        <w:tc>
          <w:tcPr>
            <w:tcW w:w="4506" w:type="dxa"/>
            <w:gridSpan w:val="4"/>
          </w:tcPr>
          <w:p>
            <w:pPr>
              <w:pStyle w:val="TableParagraph"/>
              <w:ind w:left="109" w:right="89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While Mellor and Milyo (2001) for United States;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Barafi (2012) for Brazil; Bhattacharjee </w:t>
            </w:r>
            <w:r>
              <w:rPr>
                <w:rFonts w:ascii="Times New Roman"/>
                <w:i/>
                <w:sz w:val="20"/>
              </w:rPr>
              <w:t>et al. </w:t>
            </w:r>
            <w:r>
              <w:rPr>
                <w:rFonts w:ascii="Times New Roman"/>
                <w:sz w:val="20"/>
              </w:rPr>
              <w:t>(2014)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for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Scotland;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Dotollenaere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et</w:t>
            </w:r>
            <w:r>
              <w:rPr>
                <w:rFonts w:ascii="Times New Roman"/>
                <w:i/>
                <w:spacing w:val="-1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al.</w:t>
            </w:r>
            <w:r>
              <w:rPr>
                <w:rFonts w:ascii="Times New Roman"/>
                <w:i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(2018)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Britain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found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that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rising</w:t>
            </w:r>
            <w:r>
              <w:rPr>
                <w:rFonts w:ascii="Times New Roman"/>
                <w:i/>
                <w:spacing w:val="3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3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</w:r>
            <w:r>
              <w:rPr>
                <w:rFonts w:ascii="Times New Roman"/>
                <w:spacing w:val="2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associated</w:t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with</w:t>
            </w:r>
          </w:p>
          <w:p>
            <w:pPr>
              <w:pStyle w:val="TableParagraph"/>
              <w:spacing w:line="215" w:lineRule="exact"/>
              <w:ind w:left="109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healthy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outcomes.</w:t>
            </w:r>
          </w:p>
        </w:tc>
      </w:tr>
      <w:tr>
        <w:trPr>
          <w:trHeight w:val="253" w:hRule="atLeast"/>
        </w:trPr>
        <w:tc>
          <w:tcPr>
            <w:tcW w:w="9346" w:type="dxa"/>
            <w:gridSpan w:val="8"/>
          </w:tcPr>
          <w:p>
            <w:pPr>
              <w:pStyle w:val="TableParagraph"/>
              <w:spacing w:line="233" w:lineRule="exact" w:before="1"/>
              <w:ind w:left="3004" w:right="2990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AFRICA</w:t>
            </w:r>
            <w:r>
              <w:rPr>
                <w:rFonts w:ascii="Times New Roman"/>
                <w:b/>
                <w:i/>
                <w:spacing w:val="-4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AND</w:t>
            </w:r>
            <w:r>
              <w:rPr>
                <w:rFonts w:ascii="Times New Roman"/>
                <w:b/>
                <w:i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NIGERIA STUDIES</w:t>
            </w:r>
          </w:p>
        </w:tc>
      </w:tr>
      <w:tr>
        <w:trPr>
          <w:trHeight w:val="506" w:hRule="atLeast"/>
        </w:trPr>
        <w:tc>
          <w:tcPr>
            <w:tcW w:w="1214" w:type="dxa"/>
            <w:gridSpan w:val="2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Sources</w:t>
            </w:r>
          </w:p>
        </w:tc>
        <w:tc>
          <w:tcPr>
            <w:tcW w:w="2189" w:type="dxa"/>
          </w:tcPr>
          <w:p>
            <w:pPr>
              <w:pStyle w:val="TableParagraph"/>
              <w:spacing w:line="252" w:lineRule="exact"/>
              <w:ind w:left="108" w:right="804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Sample/Study</w:t>
            </w:r>
            <w:r>
              <w:rPr>
                <w:rFonts w:ascii="Times New Roman"/>
                <w:b/>
                <w:i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Description</w:t>
            </w:r>
          </w:p>
        </w:tc>
        <w:tc>
          <w:tcPr>
            <w:tcW w:w="1437" w:type="dxa"/>
          </w:tcPr>
          <w:p>
            <w:pPr>
              <w:pStyle w:val="TableParagraph"/>
              <w:spacing w:line="251" w:lineRule="exact"/>
              <w:ind w:left="108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Results</w:t>
            </w:r>
          </w:p>
        </w:tc>
        <w:tc>
          <w:tcPr>
            <w:tcW w:w="1297" w:type="dxa"/>
            <w:gridSpan w:val="2"/>
          </w:tcPr>
          <w:p>
            <w:pPr>
              <w:pStyle w:val="TableParagraph"/>
              <w:spacing w:line="251" w:lineRule="exact"/>
              <w:ind w:left="109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Sources</w:t>
            </w:r>
          </w:p>
        </w:tc>
        <w:tc>
          <w:tcPr>
            <w:tcW w:w="1713" w:type="dxa"/>
          </w:tcPr>
          <w:p>
            <w:pPr>
              <w:pStyle w:val="TableParagraph"/>
              <w:spacing w:line="252" w:lineRule="exact"/>
              <w:ind w:left="110" w:right="326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Sample/Study</w:t>
            </w:r>
            <w:r>
              <w:rPr>
                <w:rFonts w:ascii="Times New Roman"/>
                <w:b/>
                <w:i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Description</w:t>
            </w:r>
          </w:p>
        </w:tc>
        <w:tc>
          <w:tcPr>
            <w:tcW w:w="1496" w:type="dxa"/>
          </w:tcPr>
          <w:p>
            <w:pPr>
              <w:pStyle w:val="TableParagraph"/>
              <w:spacing w:line="251" w:lineRule="exact"/>
              <w:ind w:left="112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Results</w:t>
            </w:r>
          </w:p>
        </w:tc>
      </w:tr>
      <w:tr>
        <w:trPr>
          <w:trHeight w:val="228" w:hRule="atLeast"/>
        </w:trPr>
        <w:tc>
          <w:tcPr>
            <w:tcW w:w="93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8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Karimo</w:t>
            </w:r>
          </w:p>
        </w:tc>
        <w:tc>
          <w:tcPr>
            <w:tcW w:w="284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8" w:lineRule="exact"/>
              <w:ind w:left="37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et</w:t>
            </w:r>
          </w:p>
        </w:tc>
        <w:tc>
          <w:tcPr>
            <w:tcW w:w="2189" w:type="dxa"/>
            <w:tcBorders>
              <w:bottom w:val="nil"/>
            </w:tcBorders>
          </w:tcPr>
          <w:p>
            <w:pPr>
              <w:pStyle w:val="TableParagraph"/>
              <w:tabs>
                <w:tab w:pos="1092" w:val="left" w:leader="none"/>
                <w:tab w:pos="1682" w:val="left" w:leader="none"/>
              </w:tabs>
              <w:spacing w:line="208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z w:val="20"/>
              </w:rPr>
              <w:t>Six</w:t>
              <w:tab/>
              <w:t>Geo-</w:t>
            </w:r>
          </w:p>
        </w:tc>
        <w:tc>
          <w:tcPr>
            <w:tcW w:w="1437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burden</w:t>
            </w:r>
          </w:p>
        </w:tc>
        <w:tc>
          <w:tcPr>
            <w:tcW w:w="129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Alawode</w:t>
            </w:r>
            <w:r>
              <w:rPr>
                <w:rFonts w:ascii="Times New Roman"/>
                <w:spacing w:val="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</w:p>
        </w:tc>
        <w:tc>
          <w:tcPr>
            <w:tcW w:w="1713" w:type="dxa"/>
            <w:tcBorders>
              <w:bottom w:val="nil"/>
            </w:tcBorders>
          </w:tcPr>
          <w:p>
            <w:pPr>
              <w:pStyle w:val="TableParagraph"/>
              <w:tabs>
                <w:tab w:pos="1606" w:val="right" w:leader="none"/>
              </w:tabs>
              <w:spacing w:line="208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Sample:</w:t>
              <w:tab/>
              <w:t>200</w:t>
            </w:r>
          </w:p>
        </w:tc>
        <w:tc>
          <w:tcPr>
            <w:tcW w:w="1496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Unequal</w:t>
            </w:r>
          </w:p>
        </w:tc>
      </w:tr>
      <w:tr>
        <w:trPr>
          <w:trHeight w:val="230" w:hRule="atLeast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11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al. </w:t>
            </w:r>
            <w:r>
              <w:rPr>
                <w:rFonts w:ascii="Times New Roman"/>
                <w:sz w:val="20"/>
              </w:rPr>
              <w:t>(2017)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political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zones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74" w:val="left" w:leader="none"/>
              </w:tabs>
              <w:spacing w:line="211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relates</w:t>
              <w:tab/>
              <w:t>with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Lawal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(2014)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18" w:val="left" w:leader="none"/>
              </w:tabs>
              <w:spacing w:line="211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households</w:t>
              <w:tab/>
              <w:t>from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distribution</w:t>
            </w:r>
          </w:p>
        </w:tc>
      </w:tr>
      <w:tr>
        <w:trPr>
          <w:trHeight w:val="230" w:hRule="atLeast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</w:r>
            <w:r>
              <w:rPr>
                <w:rFonts w:ascii="Times New Roman"/>
                <w:i/>
                <w:spacing w:val="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2010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Harmonized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adults’</w:t>
            </w:r>
            <w:r>
              <w:rPr>
                <w:rFonts w:ascii="Times New Roman" w:hAnsi="Times New Roman"/>
                <w:spacing w:val="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illness.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7" w:val="left" w:leader="none"/>
              </w:tabs>
              <w:spacing w:line="210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Akinyele</w:t>
              <w:tab/>
              <w:t>LGA,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Gini-coef.</w:t>
            </w:r>
          </w:p>
        </w:tc>
      </w:tr>
      <w:tr>
        <w:trPr>
          <w:trHeight w:val="229" w:hRule="atLeast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Nigeria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Living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Standard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61" w:val="left" w:leader="none"/>
              </w:tabs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Further,</w:t>
              <w:tab/>
              <w:t>50%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Oyo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State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0.24 rises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</w:p>
        </w:tc>
      </w:tr>
      <w:tr>
        <w:trPr>
          <w:trHeight w:val="229" w:hRule="atLeast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Survey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4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elders</w:t>
            </w:r>
            <w:r>
              <w:rPr>
                <w:rFonts w:ascii="Times New Roman"/>
                <w:spacing w:val="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have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Test:</w:t>
            </w:r>
            <w:r>
              <w:rPr>
                <w:rFonts w:ascii="Times New Roman"/>
                <w:spacing w:val="7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Descriptive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26" w:val="left" w:leader="none"/>
              </w:tabs>
              <w:spacing w:line="209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likelihood</w:t>
              <w:tab/>
              <w:t>of</w:t>
            </w:r>
          </w:p>
        </w:tc>
      </w:tr>
      <w:tr>
        <w:trPr>
          <w:trHeight w:val="230" w:hRule="atLeast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28" w:val="left" w:leader="none"/>
              </w:tabs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  <w:tab/>
            </w:r>
            <w:r>
              <w:rPr>
                <w:rFonts w:ascii="Times New Roman"/>
                <w:sz w:val="20"/>
              </w:rPr>
              <w:t>Logistic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unmet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17" w:val="left" w:leader="none"/>
              </w:tabs>
              <w:spacing w:line="210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Statistics</w:t>
              <w:tab/>
              <w:t>and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92" w:val="left" w:leader="none"/>
              </w:tabs>
              <w:spacing w:line="210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having</w:t>
              <w:tab/>
              <w:t>good</w:t>
            </w:r>
          </w:p>
        </w:tc>
      </w:tr>
      <w:tr>
        <w:trPr>
          <w:trHeight w:val="230" w:hRule="atLeast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Regression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healthcare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due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Multinomial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3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status</w:t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</w:p>
        </w:tc>
      </w:tr>
      <w:tr>
        <w:trPr>
          <w:trHeight w:val="232" w:hRule="atLeast"/>
        </w:trPr>
        <w:tc>
          <w:tcPr>
            <w:tcW w:w="930" w:type="dxa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poverty.</w:t>
            </w:r>
          </w:p>
        </w:tc>
        <w:tc>
          <w:tcPr>
            <w:tcW w:w="1297" w:type="dxa"/>
            <w:gridSpan w:val="2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Logistic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Analysis</w:t>
            </w:r>
          </w:p>
        </w:tc>
        <w:tc>
          <w:tcPr>
            <w:tcW w:w="1496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Oyo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State</w:t>
            </w:r>
          </w:p>
        </w:tc>
      </w:tr>
      <w:tr>
        <w:trPr>
          <w:trHeight w:val="227" w:hRule="atLeast"/>
        </w:trPr>
        <w:tc>
          <w:tcPr>
            <w:tcW w:w="12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Lawanson</w:t>
            </w:r>
          </w:p>
        </w:tc>
        <w:tc>
          <w:tcPr>
            <w:tcW w:w="2189" w:type="dxa"/>
            <w:tcBorders>
              <w:bottom w:val="nil"/>
            </w:tcBorders>
          </w:tcPr>
          <w:p>
            <w:pPr>
              <w:pStyle w:val="TableParagraph"/>
              <w:tabs>
                <w:tab w:pos="1534" w:val="left" w:leader="none"/>
              </w:tabs>
              <w:spacing w:line="208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z w:val="20"/>
              </w:rPr>
              <w:t>19,158</w:t>
            </w:r>
          </w:p>
        </w:tc>
        <w:tc>
          <w:tcPr>
            <w:tcW w:w="1437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Uneven</w:t>
            </w:r>
          </w:p>
        </w:tc>
        <w:tc>
          <w:tcPr>
            <w:tcW w:w="1297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699" w:val="left" w:leader="none"/>
              </w:tabs>
              <w:spacing w:line="208" w:lineRule="exact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Orji,</w:t>
              <w:tab/>
              <w:t>Ogbu,</w:t>
            </w:r>
          </w:p>
        </w:tc>
        <w:tc>
          <w:tcPr>
            <w:tcW w:w="1713" w:type="dxa"/>
            <w:tcBorders>
              <w:bottom w:val="nil"/>
            </w:tcBorders>
          </w:tcPr>
          <w:p>
            <w:pPr>
              <w:pStyle w:val="TableParagraph"/>
              <w:tabs>
                <w:tab w:pos="1061" w:val="left" w:leader="none"/>
              </w:tabs>
              <w:spacing w:line="208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z w:val="20"/>
              </w:rPr>
              <w:t>30,855</w:t>
            </w:r>
          </w:p>
        </w:tc>
        <w:tc>
          <w:tcPr>
            <w:tcW w:w="1496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</w:p>
        </w:tc>
      </w:tr>
      <w:tr>
        <w:trPr>
          <w:trHeight w:val="229" w:hRule="atLeast"/>
        </w:trPr>
        <w:tc>
          <w:tcPr>
            <w:tcW w:w="12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and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households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and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households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26" w:val="left" w:leader="none"/>
              </w:tabs>
              <w:spacing w:line="209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inequality</w:t>
              <w:tab/>
              <w:t>has</w:t>
            </w:r>
          </w:p>
        </w:tc>
      </w:tr>
      <w:tr>
        <w:trPr>
          <w:trHeight w:val="229" w:hRule="atLeast"/>
        </w:trPr>
        <w:tc>
          <w:tcPr>
            <w:tcW w:w="12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Opeloyeru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30" w:val="left" w:leader="none"/>
                <w:tab w:pos="1482" w:val="left" w:leader="none"/>
              </w:tabs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  <w:tab/>
            </w:r>
            <w:r>
              <w:rPr>
                <w:rFonts w:ascii="Times New Roman"/>
                <w:sz w:val="20"/>
              </w:rPr>
              <w:t>2010</w:t>
              <w:tab/>
              <w:t>Nigeria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distribution</w:t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Okechukwu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22" w:val="left" w:leader="none"/>
              </w:tabs>
              <w:spacing w:line="209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  <w:tab/>
            </w:r>
            <w:r>
              <w:rPr>
                <w:rFonts w:ascii="Times New Roman"/>
                <w:sz w:val="20"/>
              </w:rPr>
              <w:t>National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48" w:val="left" w:leader="none"/>
              </w:tabs>
              <w:spacing w:line="209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  <w:tab/>
              <w:t>significant</w:t>
            </w:r>
          </w:p>
        </w:tc>
      </w:tr>
      <w:tr>
        <w:trPr>
          <w:trHeight w:val="230" w:hRule="atLeast"/>
        </w:trPr>
        <w:tc>
          <w:tcPr>
            <w:tcW w:w="12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(2016)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Living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Standard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Survey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0.4%</w:t>
            </w:r>
            <w:r>
              <w:rPr>
                <w:rFonts w:ascii="Times New Roman"/>
                <w:spacing w:val="4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Gini</w:t>
            </w:r>
            <w:r>
              <w:rPr>
                <w:rFonts w:ascii="Times New Roman"/>
                <w:spacing w:val="4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co-</w:t>
            </w:r>
          </w:p>
        </w:tc>
        <w:tc>
          <w:tcPr>
            <w:tcW w:w="12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(2013)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Demographic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</w:p>
        </w:tc>
        <w:tc>
          <w:tcPr>
            <w:tcW w:w="149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91" w:val="left" w:leader="none"/>
              </w:tabs>
              <w:spacing w:line="210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impact</w:t>
              <w:tab/>
              <w:t>on</w:t>
            </w:r>
          </w:p>
        </w:tc>
      </w:tr>
      <w:tr>
        <w:trPr>
          <w:trHeight w:val="232" w:hRule="atLeast"/>
        </w:trPr>
        <w:tc>
          <w:tcPr>
            <w:tcW w:w="1214" w:type="dxa"/>
            <w:gridSpan w:val="2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efficient</w:t>
            </w:r>
          </w:p>
        </w:tc>
        <w:tc>
          <w:tcPr>
            <w:tcW w:w="1297" w:type="dxa"/>
            <w:gridSpan w:val="2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96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health</w:t>
            </w:r>
          </w:p>
        </w:tc>
      </w:tr>
    </w:tbl>
    <w:p>
      <w:pPr>
        <w:spacing w:after="0" w:line="213" w:lineRule="exact"/>
        <w:jc w:val="left"/>
        <w:rPr>
          <w:rFonts w:ascii="Times New Roman"/>
          <w:sz w:val="20"/>
        </w:rPr>
        <w:sectPr>
          <w:pgSz w:w="12240" w:h="15840"/>
          <w:pgMar w:header="0" w:footer="935" w:top="1440" w:bottom="1120" w:left="1320" w:right="1320"/>
        </w:sect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2189"/>
        <w:gridCol w:w="1437"/>
        <w:gridCol w:w="1298"/>
        <w:gridCol w:w="1713"/>
        <w:gridCol w:w="1496"/>
      </w:tblGrid>
      <w:tr>
        <w:trPr>
          <w:trHeight w:val="1149" w:hRule="atLeast"/>
        </w:trPr>
        <w:tc>
          <w:tcPr>
            <w:tcW w:w="121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89" w:type="dxa"/>
          </w:tcPr>
          <w:p>
            <w:pPr>
              <w:pStyle w:val="TableParagraph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w w:val="95"/>
                <w:sz w:val="20"/>
              </w:rPr>
              <w:t>Technique:</w:t>
            </w:r>
            <w:r>
              <w:rPr>
                <w:rFonts w:ascii="Times New Roman"/>
                <w:w w:val="95"/>
                <w:sz w:val="20"/>
              </w:rPr>
              <w:t>Descriptive</w:t>
            </w:r>
            <w:r>
              <w:rPr>
                <w:rFonts w:ascii="Times New Roman"/>
                <w:spacing w:val="1"/>
                <w:w w:val="9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Analysis</w:t>
            </w:r>
          </w:p>
        </w:tc>
        <w:tc>
          <w:tcPr>
            <w:tcW w:w="1437" w:type="dxa"/>
          </w:tcPr>
          <w:p>
            <w:pPr>
              <w:pStyle w:val="TableParagraph"/>
              <w:ind w:left="108" w:right="97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accounted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poor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Nigeria</w:t>
            </w:r>
          </w:p>
        </w:tc>
        <w:tc>
          <w:tcPr>
            <w:tcW w:w="1298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ind w:left="109" w:right="89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sz w:val="20"/>
              </w:rPr>
              <w:t>Household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Survey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 2008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Technique:</w:t>
            </w:r>
          </w:p>
          <w:p>
            <w:pPr>
              <w:pStyle w:val="TableParagraph"/>
              <w:spacing w:line="228" w:lineRule="exact"/>
              <w:ind w:left="109" w:right="7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Multilevel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Logistic</w:t>
            </w:r>
          </w:p>
        </w:tc>
        <w:tc>
          <w:tcPr>
            <w:tcW w:w="1496" w:type="dxa"/>
          </w:tcPr>
          <w:p>
            <w:pPr>
              <w:pStyle w:val="TableParagraph"/>
              <w:ind w:left="111" w:right="91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outcomes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Nigeria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5%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significant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level</w:t>
            </w:r>
          </w:p>
        </w:tc>
      </w:tr>
      <w:tr>
        <w:trPr>
          <w:trHeight w:val="2070" w:hRule="atLeast"/>
        </w:trPr>
        <w:tc>
          <w:tcPr>
            <w:tcW w:w="1214" w:type="dxa"/>
          </w:tcPr>
          <w:p>
            <w:pPr>
              <w:pStyle w:val="TableParagraph"/>
              <w:ind w:left="107" w:right="2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Fatukasi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Ayeomoni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(2015)</w:t>
            </w:r>
          </w:p>
        </w:tc>
        <w:tc>
          <w:tcPr>
            <w:tcW w:w="2189" w:type="dxa"/>
          </w:tcPr>
          <w:p>
            <w:pPr>
              <w:pStyle w:val="TableParagraph"/>
              <w:tabs>
                <w:tab w:pos="1060" w:val="left" w:leader="none"/>
              </w:tabs>
              <w:ind w:left="108" w:right="9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  <w:tab/>
            </w:r>
            <w:r>
              <w:rPr>
                <w:rFonts w:ascii="Times New Roman"/>
                <w:spacing w:val="-1"/>
                <w:sz w:val="20"/>
              </w:rPr>
              <w:t>International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Monetary</w:t>
            </w:r>
            <w:r>
              <w:rPr>
                <w:rFonts w:ascii="Times New Roman"/>
                <w:spacing w:val="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Fund</w:t>
            </w:r>
            <w:r>
              <w:rPr>
                <w:rFonts w:ascii="Times New Roman"/>
                <w:spacing w:val="2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(1980-</w:t>
            </w:r>
          </w:p>
          <w:p>
            <w:pPr>
              <w:pStyle w:val="TableParagraph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2014)</w:t>
            </w:r>
          </w:p>
          <w:p>
            <w:pPr>
              <w:pStyle w:val="TableParagraph"/>
              <w:tabs>
                <w:tab w:pos="1789" w:val="left" w:leader="none"/>
              </w:tabs>
              <w:ind w:left="108" w:right="9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Cointegration</w:t>
              <w:tab/>
            </w:r>
            <w:r>
              <w:rPr>
                <w:rFonts w:ascii="Times New Roman"/>
                <w:spacing w:val="-2"/>
                <w:sz w:val="20"/>
              </w:rPr>
              <w:t>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Dynamic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Ordinary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Least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Square</w:t>
            </w:r>
          </w:p>
        </w:tc>
        <w:tc>
          <w:tcPr>
            <w:tcW w:w="1437" w:type="dxa"/>
          </w:tcPr>
          <w:p>
            <w:pPr>
              <w:pStyle w:val="TableParagraph"/>
              <w:tabs>
                <w:tab w:pos="1172" w:val="left" w:leader="none"/>
              </w:tabs>
              <w:ind w:left="108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1%</w:t>
            </w:r>
            <w:r>
              <w:rPr>
                <w:rFonts w:ascii="Times New Roman"/>
                <w:spacing w:val="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increase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will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increase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mortalities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0.18%</w:t>
              <w:tab/>
            </w:r>
            <w:r>
              <w:rPr>
                <w:rFonts w:ascii="Times New Roman"/>
                <w:spacing w:val="-2"/>
                <w:sz w:val="20"/>
              </w:rPr>
              <w:t>in</w:t>
            </w:r>
          </w:p>
          <w:p>
            <w:pPr>
              <w:pStyle w:val="TableParagraph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Nigeria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1%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signif.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level</w:t>
            </w:r>
          </w:p>
        </w:tc>
        <w:tc>
          <w:tcPr>
            <w:tcW w:w="1298" w:type="dxa"/>
          </w:tcPr>
          <w:p>
            <w:pPr>
              <w:pStyle w:val="TableParagraph"/>
              <w:ind w:left="109" w:right="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Nilsson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Bergh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(2012)</w:t>
            </w:r>
          </w:p>
        </w:tc>
        <w:tc>
          <w:tcPr>
            <w:tcW w:w="1713" w:type="dxa"/>
          </w:tcPr>
          <w:p>
            <w:pPr>
              <w:pStyle w:val="TableParagraph"/>
              <w:tabs>
                <w:tab w:pos="1060" w:val="left" w:leader="none"/>
              </w:tabs>
              <w:ind w:left="109" w:right="9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pacing w:val="-1"/>
                <w:sz w:val="20"/>
              </w:rPr>
              <w:t>19,340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households</w:t>
            </w:r>
          </w:p>
          <w:p>
            <w:pPr>
              <w:pStyle w:val="TableParagraph"/>
              <w:tabs>
                <w:tab w:pos="1608" w:val="right" w:leader="none"/>
              </w:tabs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  <w:tab/>
            </w:r>
            <w:r>
              <w:rPr>
                <w:rFonts w:ascii="Times New Roman"/>
                <w:sz w:val="20"/>
              </w:rPr>
              <w:t>2004</w:t>
            </w:r>
          </w:p>
          <w:p>
            <w:pPr>
              <w:pStyle w:val="TableParagraph"/>
              <w:tabs>
                <w:tab w:pos="1073" w:val="left" w:leader="none"/>
              </w:tabs>
              <w:ind w:left="109" w:right="9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Zambia</w:t>
              <w:tab/>
            </w:r>
            <w:r>
              <w:rPr>
                <w:rFonts w:ascii="Times New Roman"/>
                <w:spacing w:val="-1"/>
                <w:sz w:val="20"/>
              </w:rPr>
              <w:t>Living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Condition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Monitoring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Survey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Technique:  </w:t>
            </w:r>
            <w:r>
              <w:rPr>
                <w:rFonts w:ascii="Times New Roman"/>
                <w:i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OLS,</w:t>
            </w:r>
          </w:p>
          <w:p>
            <w:pPr>
              <w:pStyle w:val="TableParagraph"/>
              <w:spacing w:line="217" w:lineRule="exact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2SLS</w:t>
            </w:r>
          </w:p>
        </w:tc>
        <w:tc>
          <w:tcPr>
            <w:tcW w:w="1496" w:type="dxa"/>
          </w:tcPr>
          <w:p>
            <w:pPr>
              <w:pStyle w:val="TableParagraph"/>
              <w:tabs>
                <w:tab w:pos="938" w:val="left" w:leader="none"/>
                <w:tab w:pos="1236" w:val="left" w:leader="none"/>
              </w:tabs>
              <w:ind w:left="111" w:right="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Higher</w:t>
            </w:r>
            <w:r>
              <w:rPr>
                <w:rFonts w:ascii="Times New Roman"/>
                <w:spacing w:val="2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robustly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associated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0.65%</w:t>
              <w:tab/>
            </w:r>
            <w:r>
              <w:rPr>
                <w:rFonts w:ascii="Times New Roman"/>
                <w:spacing w:val="-1"/>
                <w:sz w:val="20"/>
              </w:rPr>
              <w:t>better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children</w:t>
            </w:r>
            <w:r>
              <w:rPr>
                <w:rFonts w:ascii="Times New Roman"/>
                <w:spacing w:val="2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outcomes</w:t>
              <w:tab/>
              <w:tab/>
            </w:r>
            <w:r>
              <w:rPr>
                <w:rFonts w:ascii="Times New Roman"/>
                <w:spacing w:val="-2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Zambia</w:t>
            </w:r>
          </w:p>
        </w:tc>
      </w:tr>
      <w:tr>
        <w:trPr>
          <w:trHeight w:val="2299" w:hRule="atLeast"/>
        </w:trPr>
        <w:tc>
          <w:tcPr>
            <w:tcW w:w="1214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Fagbemigbe</w:t>
            </w:r>
          </w:p>
          <w:p>
            <w:pPr>
              <w:pStyle w:val="TableParagraph"/>
              <w:spacing w:before="1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et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al. </w:t>
            </w:r>
            <w:r>
              <w:rPr>
                <w:rFonts w:ascii="Times New Roman"/>
                <w:sz w:val="20"/>
              </w:rPr>
              <w:t>(2015)</w:t>
            </w:r>
          </w:p>
        </w:tc>
        <w:tc>
          <w:tcPr>
            <w:tcW w:w="2189" w:type="dxa"/>
          </w:tcPr>
          <w:p>
            <w:pPr>
              <w:pStyle w:val="TableParagraph"/>
              <w:tabs>
                <w:tab w:pos="1534" w:val="left" w:leader="none"/>
              </w:tabs>
              <w:ind w:left="108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  <w:tab/>
            </w:r>
            <w:r>
              <w:rPr>
                <w:rFonts w:ascii="Times New Roman"/>
                <w:spacing w:val="-1"/>
                <w:sz w:val="20"/>
              </w:rPr>
              <w:t>30,855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households</w:t>
            </w:r>
          </w:p>
          <w:p>
            <w:pPr>
              <w:pStyle w:val="TableParagraph"/>
              <w:tabs>
                <w:tab w:pos="784" w:val="left" w:leader="none"/>
                <w:tab w:pos="1393" w:val="left" w:leader="none"/>
                <w:tab w:pos="1789" w:val="left" w:leader="none"/>
              </w:tabs>
              <w:ind w:left="108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Data:</w:t>
              <w:tab/>
            </w:r>
            <w:r>
              <w:rPr>
                <w:rFonts w:ascii="Times New Roman"/>
                <w:sz w:val="20"/>
              </w:rPr>
              <w:t>2012</w:t>
              <w:tab/>
            </w:r>
            <w:r>
              <w:rPr>
                <w:rFonts w:ascii="Times New Roman"/>
                <w:spacing w:val="-1"/>
                <w:sz w:val="20"/>
              </w:rPr>
              <w:t>National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HIV/AIDS</w:t>
              <w:tab/>
              <w:tab/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Reproductive Survey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Technique:</w:t>
            </w:r>
            <w:r>
              <w:rPr>
                <w:rFonts w:ascii="Times New Roman"/>
                <w:i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Chi-square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ANOVA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Analysis</w:t>
            </w:r>
          </w:p>
        </w:tc>
        <w:tc>
          <w:tcPr>
            <w:tcW w:w="1437" w:type="dxa"/>
          </w:tcPr>
          <w:p>
            <w:pPr>
              <w:pStyle w:val="TableParagraph"/>
              <w:tabs>
                <w:tab w:pos="1094" w:val="left" w:leader="none"/>
              </w:tabs>
              <w:ind w:left="108" w:right="10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Wealth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differences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account</w:t>
              <w:tab/>
            </w:r>
            <w:r>
              <w:rPr>
                <w:rFonts w:ascii="Times New Roman"/>
                <w:spacing w:val="-3"/>
                <w:sz w:val="20"/>
              </w:rPr>
              <w:t>for</w:t>
            </w:r>
          </w:p>
          <w:p>
            <w:pPr>
              <w:pStyle w:val="TableParagraph"/>
              <w:tabs>
                <w:tab w:pos="837" w:val="left" w:leader="none"/>
                <w:tab w:pos="971" w:val="left" w:leader="none"/>
              </w:tabs>
              <w:ind w:left="108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lower</w:t>
              <w:tab/>
            </w:r>
            <w:r>
              <w:rPr>
                <w:rFonts w:ascii="Times New Roman"/>
                <w:spacing w:val="-1"/>
                <w:sz w:val="20"/>
              </w:rPr>
              <w:t>health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across</w:t>
              <w:tab/>
              <w:tab/>
            </w:r>
            <w:r>
              <w:rPr>
                <w:rFonts w:ascii="Times New Roman"/>
                <w:spacing w:val="-2"/>
                <w:sz w:val="20"/>
              </w:rPr>
              <w:t>geo-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political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zones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Nigeria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5%</w:t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significant</w:t>
            </w:r>
          </w:p>
          <w:p>
            <w:pPr>
              <w:pStyle w:val="TableParagraph"/>
              <w:spacing w:line="215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level</w:t>
            </w:r>
          </w:p>
        </w:tc>
        <w:tc>
          <w:tcPr>
            <w:tcW w:w="1298" w:type="dxa"/>
          </w:tcPr>
          <w:p>
            <w:pPr>
              <w:pStyle w:val="TableParagraph"/>
              <w:spacing w:line="223" w:lineRule="exact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Pulok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(2012)</w:t>
            </w:r>
          </w:p>
        </w:tc>
        <w:tc>
          <w:tcPr>
            <w:tcW w:w="1713" w:type="dxa"/>
          </w:tcPr>
          <w:p>
            <w:pPr>
              <w:pStyle w:val="TableParagraph"/>
              <w:ind w:left="109" w:right="6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Sample:</w:t>
            </w:r>
            <w:r>
              <w:rPr>
                <w:rFonts w:ascii="Times New Roman"/>
                <w:sz w:val="20"/>
              </w:rPr>
              <w:t>31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Developing</w:t>
            </w:r>
            <w:r>
              <w:rPr>
                <w:rFonts w:ascii="Times New Roman"/>
                <w:w w:val="9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Nations</w:t>
            </w:r>
          </w:p>
          <w:p>
            <w:pPr>
              <w:pStyle w:val="TableParagraph"/>
              <w:ind w:left="109" w:right="9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Data: </w:t>
            </w:r>
            <w:r>
              <w:rPr>
                <w:rFonts w:ascii="Times New Roman" w:hAnsi="Times New Roman"/>
                <w:sz w:val="20"/>
              </w:rPr>
              <w:t>World Bank</w:t>
            </w:r>
            <w:r>
              <w:rPr>
                <w:rFonts w:ascii="Times New Roman" w:hAnsi="Times New Roman"/>
                <w:spacing w:val="-4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Indicator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WDI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(2010)</w:t>
            </w:r>
          </w:p>
          <w:p>
            <w:pPr>
              <w:pStyle w:val="TableParagraph"/>
              <w:tabs>
                <w:tab w:pos="930" w:val="left" w:leader="none"/>
              </w:tabs>
              <w:ind w:left="109" w:right="92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sz w:val="20"/>
              </w:rPr>
              <w:t>Technique: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Fixed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  <w:tab/>
            </w:r>
            <w:r>
              <w:rPr>
                <w:rFonts w:ascii="Times New Roman"/>
                <w:spacing w:val="-1"/>
                <w:sz w:val="20"/>
              </w:rPr>
              <w:t>Random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Regression</w:t>
            </w:r>
          </w:p>
        </w:tc>
        <w:tc>
          <w:tcPr>
            <w:tcW w:w="1496" w:type="dxa"/>
          </w:tcPr>
          <w:p>
            <w:pPr>
              <w:pStyle w:val="TableParagraph"/>
              <w:tabs>
                <w:tab w:pos="876" w:val="left" w:leader="none"/>
                <w:tab w:pos="1125" w:val="left" w:leader="none"/>
              </w:tabs>
              <w:ind w:left="111" w:right="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  <w:tab/>
            </w:r>
            <w:r>
              <w:rPr>
                <w:rFonts w:ascii="Times New Roman"/>
                <w:spacing w:val="-1"/>
                <w:sz w:val="20"/>
              </w:rPr>
              <w:t>has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been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responsible</w:t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about</w:t>
              <w:tab/>
            </w:r>
            <w:r>
              <w:rPr>
                <w:rFonts w:ascii="Times New Roman"/>
                <w:spacing w:val="-1"/>
                <w:sz w:val="20"/>
              </w:rPr>
              <w:t>0.14%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improvement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3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status</w:t>
            </w:r>
            <w:r>
              <w:rPr>
                <w:rFonts w:ascii="Times New Roman"/>
                <w:spacing w:val="3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developing</w:t>
            </w:r>
          </w:p>
          <w:p>
            <w:pPr>
              <w:pStyle w:val="TableParagraph"/>
              <w:spacing w:line="228" w:lineRule="exact"/>
              <w:ind w:left="111" w:right="13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countries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include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Nigeria</w:t>
            </w:r>
          </w:p>
        </w:tc>
      </w:tr>
    </w:tbl>
    <w:p>
      <w:pPr>
        <w:spacing w:after="0" w:line="228" w:lineRule="exact"/>
        <w:jc w:val="left"/>
        <w:rPr>
          <w:rFonts w:ascii="Times New Roman"/>
          <w:sz w:val="20"/>
        </w:rPr>
        <w:sectPr>
          <w:pgSz w:w="12240" w:h="15840"/>
          <w:pgMar w:header="0" w:footer="935" w:top="1440" w:bottom="1120" w:left="1320" w:right="1320"/>
        </w:sectPr>
      </w:pPr>
    </w:p>
    <w:p>
      <w:pPr>
        <w:pStyle w:val="Heading4"/>
        <w:spacing w:before="79"/>
        <w:ind w:left="1368" w:right="1372"/>
        <w:jc w:val="center"/>
      </w:pPr>
      <w:r>
        <w:rPr/>
        <w:t>APPENDIX</w:t>
      </w:r>
      <w:r>
        <w:rPr>
          <w:spacing w:val="-3"/>
        </w:rPr>
        <w:t> </w:t>
      </w:r>
      <w:r>
        <w:rPr/>
        <w:t>B:</w:t>
      </w:r>
      <w:r>
        <w:rPr>
          <w:spacing w:val="-2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GINI</w:t>
      </w:r>
      <w:r>
        <w:rPr>
          <w:spacing w:val="-1"/>
        </w:rPr>
        <w:t> </w:t>
      </w:r>
      <w:r>
        <w:rPr/>
        <w:t>COEFFICIENT</w:t>
      </w:r>
    </w:p>
    <w:p>
      <w:pPr>
        <w:pStyle w:val="BodyText"/>
        <w:spacing w:line="276" w:lineRule="auto" w:before="36"/>
        <w:ind w:left="120" w:right="118"/>
        <w:jc w:val="both"/>
      </w:pPr>
      <w:r>
        <w:rPr/>
        <w:t>The</w:t>
      </w:r>
      <w:r>
        <w:rPr>
          <w:spacing w:val="-5"/>
        </w:rPr>
        <w:t> </w:t>
      </w:r>
      <w:r>
        <w:rPr/>
        <w:t>Gini</w:t>
      </w:r>
      <w:r>
        <w:rPr>
          <w:spacing w:val="-2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measure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inequality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income</w:t>
      </w:r>
      <w:r>
        <w:rPr>
          <w:spacing w:val="-4"/>
        </w:rPr>
        <w:t> </w:t>
      </w:r>
      <w:r>
        <w:rPr/>
        <w:t>distribution.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Italian</w:t>
      </w:r>
      <w:r>
        <w:rPr>
          <w:spacing w:val="-5"/>
        </w:rPr>
        <w:t> </w:t>
      </w:r>
      <w:r>
        <w:rPr/>
        <w:t>statistician</w:t>
      </w:r>
      <w:r>
        <w:rPr>
          <w:spacing w:val="-4"/>
        </w:rPr>
        <w:t> </w:t>
      </w:r>
      <w:r>
        <w:rPr/>
        <w:t>Corrado</w:t>
      </w:r>
      <w:r>
        <w:rPr>
          <w:spacing w:val="-5"/>
        </w:rPr>
        <w:t> </w:t>
      </w:r>
      <w:r>
        <w:rPr/>
        <w:t>Gini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1912.</w:t>
      </w:r>
      <w:r>
        <w:rPr>
          <w:spacing w:val="-5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often</w:t>
      </w:r>
      <w:r>
        <w:rPr>
          <w:spacing w:val="-4"/>
        </w:rPr>
        <w:t> </w:t>
      </w:r>
      <w:r>
        <w:rPr/>
        <w:t>defined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ratio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values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0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1;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used as a</w:t>
      </w:r>
      <w:r>
        <w:rPr>
          <w:spacing w:val="1"/>
        </w:rPr>
        <w:t> </w:t>
      </w:r>
      <w:r>
        <w:rPr/>
        <w:t>gauge</w:t>
      </w:r>
      <w:r>
        <w:rPr>
          <w:spacing w:val="-1"/>
        </w:rPr>
        <w:t> </w:t>
      </w:r>
      <w:r>
        <w:rPr/>
        <w:t>of economic</w:t>
      </w:r>
      <w:r>
        <w:rPr>
          <w:spacing w:val="-1"/>
        </w:rPr>
        <w:t> </w:t>
      </w:r>
      <w:r>
        <w:rPr/>
        <w:t>inequality.</w:t>
      </w:r>
    </w:p>
    <w:p>
      <w:pPr>
        <w:pStyle w:val="BodyText"/>
        <w:spacing w:before="162"/>
        <w:ind w:left="120"/>
        <w:jc w:val="both"/>
      </w:pPr>
      <w:r>
        <w:rPr/>
        <w:t>Gini-index</w:t>
      </w:r>
      <w:r>
        <w:rPr>
          <w:spacing w:val="22"/>
        </w:rPr>
        <w:t> </w:t>
      </w:r>
      <w:r>
        <w:rPr/>
        <w:t>is</w:t>
      </w:r>
      <w:r>
        <w:rPr>
          <w:spacing w:val="21"/>
        </w:rPr>
        <w:t> </w:t>
      </w:r>
      <w:r>
        <w:rPr/>
        <w:t>Gini-coefficient</w:t>
      </w:r>
      <w:r>
        <w:rPr>
          <w:spacing w:val="21"/>
        </w:rPr>
        <w:t> </w:t>
      </w:r>
      <w:r>
        <w:rPr/>
        <w:t>expressed</w:t>
      </w:r>
      <w:r>
        <w:rPr>
          <w:spacing w:val="19"/>
        </w:rPr>
        <w:t> </w:t>
      </w:r>
      <w:r>
        <w:rPr/>
        <w:t>as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percentage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equal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Gini-coefficient</w:t>
      </w:r>
      <w:r>
        <w:rPr>
          <w:spacing w:val="21"/>
        </w:rPr>
        <w:t> </w:t>
      </w:r>
      <w:r>
        <w:rPr/>
        <w:t>by</w:t>
      </w:r>
    </w:p>
    <w:p>
      <w:pPr>
        <w:pStyle w:val="ListParagraph"/>
        <w:numPr>
          <w:ilvl w:val="0"/>
          <w:numId w:val="17"/>
        </w:numPr>
        <w:tabs>
          <w:tab w:pos="601" w:val="left" w:leader="none"/>
        </w:tabs>
        <w:spacing w:line="240" w:lineRule="auto" w:before="41" w:after="0"/>
        <w:ind w:left="600" w:right="0" w:hanging="481"/>
        <w:jc w:val="left"/>
        <w:rPr>
          <w:sz w:val="24"/>
        </w:rPr>
      </w:pP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is,</w:t>
      </w:r>
    </w:p>
    <w:p>
      <w:pPr>
        <w:tabs>
          <w:tab w:pos="9046" w:val="left" w:leader="dot"/>
        </w:tabs>
        <w:spacing w:before="43"/>
        <w:ind w:left="2160" w:right="0" w:firstLine="0"/>
        <w:jc w:val="both"/>
        <w:rPr>
          <w:i/>
          <w:sz w:val="24"/>
        </w:rPr>
      </w:pPr>
      <w:r>
        <w:rPr>
          <w:i/>
          <w:sz w:val="24"/>
        </w:rPr>
        <w:t>Gini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= Gini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Coefficient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100</w:t>
      </w:r>
      <w:r>
        <w:rPr>
          <w:i/>
          <w:sz w:val="24"/>
        </w:rPr>
        <w:tab/>
      </w:r>
      <w:r>
        <w:rPr>
          <w:i/>
          <w:sz w:val="24"/>
        </w:rPr>
        <w:t>(1)</w:t>
      </w:r>
    </w:p>
    <w:p>
      <w:pPr>
        <w:pStyle w:val="BodyText"/>
        <w:spacing w:line="276" w:lineRule="auto" w:before="41"/>
        <w:ind w:left="120" w:right="119"/>
        <w:jc w:val="both"/>
      </w:pPr>
      <w:r>
        <w:rPr/>
        <w:t>Anytime the Gini-coefficient is 0, it corresponds to perfect income equality. That is, everyone in</w:t>
      </w:r>
      <w:r>
        <w:rPr>
          <w:spacing w:val="1"/>
        </w:rPr>
        <w:t> </w:t>
      </w:r>
      <w:r>
        <w:rPr/>
        <w:t>the group, society, state or nation has the same level of income. On the other hand, 1 corresponds</w:t>
      </w:r>
      <w:r>
        <w:rPr>
          <w:spacing w:val="-57"/>
        </w:rPr>
        <w:t> </w:t>
      </w:r>
      <w:r>
        <w:rPr/>
        <w:t>to perfect income inequality, i.e. one individual has all the income, while everyone has zero</w:t>
      </w:r>
      <w:r>
        <w:rPr>
          <w:spacing w:val="1"/>
        </w:rPr>
        <w:t> </w:t>
      </w:r>
      <w:r>
        <w:rPr/>
        <w:t>income.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Gini</w:t>
      </w:r>
      <w:r>
        <w:rPr>
          <w:spacing w:val="-8"/>
        </w:rPr>
        <w:t> </w:t>
      </w:r>
      <w:r>
        <w:rPr/>
        <w:t>Coefficient</w:t>
      </w:r>
      <w:r>
        <w:rPr>
          <w:spacing w:val="-8"/>
        </w:rPr>
        <w:t> </w:t>
      </w:r>
      <w:r>
        <w:rPr/>
        <w:t>can</w:t>
      </w:r>
      <w:r>
        <w:rPr>
          <w:spacing w:val="-6"/>
        </w:rPr>
        <w:t> </w:t>
      </w:r>
      <w:r>
        <w:rPr/>
        <w:t>also</w:t>
      </w:r>
      <w:r>
        <w:rPr>
          <w:spacing w:val="-7"/>
        </w:rPr>
        <w:t> </w:t>
      </w:r>
      <w:r>
        <w:rPr/>
        <w:t>be</w:t>
      </w:r>
      <w:r>
        <w:rPr>
          <w:spacing w:val="-10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measure</w:t>
      </w:r>
      <w:r>
        <w:rPr>
          <w:spacing w:val="-7"/>
        </w:rPr>
        <w:t> </w:t>
      </w:r>
      <w:r>
        <w:rPr/>
        <w:t>wealth</w:t>
      </w:r>
      <w:r>
        <w:rPr>
          <w:spacing w:val="-9"/>
        </w:rPr>
        <w:t> </w:t>
      </w:r>
      <w:r>
        <w:rPr/>
        <w:t>inequality.</w:t>
      </w:r>
      <w:r>
        <w:rPr>
          <w:spacing w:val="-5"/>
        </w:rPr>
        <w:t> </w:t>
      </w:r>
      <w:r>
        <w:rPr/>
        <w:t>This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requires</w:t>
      </w:r>
      <w:r>
        <w:rPr>
          <w:spacing w:val="-8"/>
        </w:rPr>
        <w:t> </w:t>
      </w:r>
      <w:r>
        <w:rPr/>
        <w:t>that</w:t>
      </w:r>
      <w:r>
        <w:rPr>
          <w:spacing w:val="-57"/>
        </w:rPr>
        <w:t> </w:t>
      </w:r>
      <w:r>
        <w:rPr/>
        <w:t>no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negative</w:t>
      </w:r>
      <w:r>
        <w:rPr>
          <w:spacing w:val="-8"/>
        </w:rPr>
        <w:t> </w:t>
      </w:r>
      <w:r>
        <w:rPr/>
        <w:t>net</w:t>
      </w:r>
      <w:r>
        <w:rPr>
          <w:spacing w:val="-3"/>
        </w:rPr>
        <w:t> </w:t>
      </w:r>
      <w:r>
        <w:rPr/>
        <w:t>wealth.</w:t>
      </w:r>
      <w:r>
        <w:rPr>
          <w:spacing w:val="-5"/>
        </w:rPr>
        <w:t> </w:t>
      </w:r>
      <w:r>
        <w:rPr/>
        <w:t>Hence,</w:t>
      </w:r>
      <w:r>
        <w:rPr>
          <w:spacing w:val="-6"/>
        </w:rPr>
        <w:t> </w:t>
      </w:r>
      <w:r>
        <w:rPr/>
        <w:t>using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Gini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help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quantify</w:t>
      </w:r>
      <w:r>
        <w:rPr>
          <w:spacing w:val="-11"/>
        </w:rPr>
        <w:t> </w:t>
      </w:r>
      <w:r>
        <w:rPr/>
        <w:t>differences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welfare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compensation policies and philosophies.</w:t>
      </w:r>
    </w:p>
    <w:p>
      <w:pPr>
        <w:pStyle w:val="BodyText"/>
        <w:spacing w:before="10"/>
        <w:rPr>
          <w:sz w:val="27"/>
        </w:rPr>
      </w:pPr>
    </w:p>
    <w:p>
      <w:pPr>
        <w:pStyle w:val="Heading4"/>
        <w:ind w:left="120"/>
        <w:jc w:val="left"/>
      </w:pPr>
      <w:r>
        <w:rPr/>
        <w:t>Calculation:</w:t>
      </w:r>
    </w:p>
    <w:p>
      <w:pPr>
        <w:pStyle w:val="BodyText"/>
        <w:spacing w:before="39"/>
        <w:ind w:left="120"/>
      </w:pP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population with</w:t>
      </w:r>
      <w:r>
        <w:rPr>
          <w:spacing w:val="-1"/>
        </w:rPr>
        <w:t> </w:t>
      </w:r>
      <w:r>
        <w:rPr/>
        <w:t>various income</w:t>
      </w:r>
      <w:r>
        <w:rPr>
          <w:spacing w:val="-1"/>
        </w:rPr>
        <w:t> </w:t>
      </w:r>
      <w:r>
        <w:rPr/>
        <w:t>composition,</w:t>
      </w:r>
    </w:p>
    <w:p>
      <w:pPr>
        <w:tabs>
          <w:tab w:pos="9121" w:val="left" w:leader="dot"/>
        </w:tabs>
        <w:spacing w:before="41"/>
        <w:ind w:left="2761" w:right="0" w:firstLine="0"/>
        <w:jc w:val="left"/>
        <w:rPr>
          <w:i/>
          <w:sz w:val="24"/>
        </w:rPr>
      </w:pPr>
      <w:r>
        <w:rPr>
          <w:i/>
          <w:sz w:val="24"/>
        </w:rPr>
        <w:t>Gini-Coefficient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(X)</w:t>
      </w:r>
      <w:r>
        <w:rPr>
          <w:i/>
          <w:sz w:val="24"/>
        </w:rPr>
        <w:tab/>
      </w:r>
      <w:r>
        <w:rPr>
          <w:i/>
          <w:sz w:val="24"/>
        </w:rPr>
        <w:t>(2)</w:t>
      </w:r>
    </w:p>
    <w:p>
      <w:pPr>
        <w:pStyle w:val="BodyText"/>
        <w:spacing w:before="40"/>
        <w:ind w:left="120"/>
      </w:pPr>
      <w:r>
        <w:rPr/>
        <w:t>Where</w:t>
      </w:r>
      <w:r>
        <w:rPr>
          <w:spacing w:val="-3"/>
        </w:rPr>
        <w:t> </w:t>
      </w:r>
      <w:r>
        <w:rPr/>
        <w:t>X</w:t>
      </w:r>
      <w:r>
        <w:rPr>
          <w:spacing w:val="-1"/>
        </w:rPr>
        <w:t> </w:t>
      </w:r>
      <w:r>
        <w:rPr/>
        <w:t>denotes cumulated</w:t>
      </w:r>
      <w:r>
        <w:rPr>
          <w:spacing w:val="-1"/>
        </w:rPr>
        <w:t> </w:t>
      </w:r>
      <w:r>
        <w:rPr/>
        <w:t>share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proportion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earnings.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276" w:lineRule="auto"/>
        <w:ind w:left="120" w:right="115"/>
        <w:jc w:val="both"/>
      </w:pPr>
      <w:r>
        <w:rPr/>
        <w:pict>
          <v:shape style="position:absolute;margin-left:240.649994pt;margin-top:34.83976pt;width:19.150pt;height:13.6pt;mso-position-horizontal-relative:page;mso-position-vertical-relative:paragraph;z-index:15785472" type="#_x0000_t202" filled="false" stroked="false">
            <v:textbox inset="0,0,0,0">
              <w:txbxContent>
                <w:p>
                  <w:pPr>
                    <w:spacing w:line="271" w:lineRule="exact" w:before="0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26"/>
                    </w:rPr>
                  </w:pPr>
                  <w:r>
                    <w:rPr>
                      <w:rFonts w:ascii="Cambria Math" w:hAnsi="Cambria Math" w:eastAsia="Cambria Math"/>
                      <w:spacing w:val="-11"/>
                      <w:sz w:val="26"/>
                    </w:rPr>
                    <w:t>𝟐</w:t>
                  </w:r>
                  <w:r>
                    <w:rPr>
                      <w:rFonts w:ascii="Cambria Math" w:hAnsi="Cambria Math" w:eastAsia="Cambria Math"/>
                      <w:spacing w:val="-14"/>
                      <w:sz w:val="26"/>
                    </w:rPr>
                    <w:t> </w:t>
                  </w:r>
                  <w:r>
                    <w:rPr>
                      <w:rFonts w:ascii="Cambria Math" w:hAnsi="Cambria Math" w:eastAsia="Cambria Math"/>
                      <w:spacing w:val="-10"/>
                      <w:position w:val="1"/>
                      <w:sz w:val="26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/>
        <w:t>There are different methods to compute Gini-coefficient (See Bayar, 2016). However, this study</w:t>
      </w:r>
      <w:r>
        <w:rPr>
          <w:spacing w:val="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the methodology</w:t>
      </w:r>
      <w:r>
        <w:rPr>
          <w:spacing w:val="-3"/>
        </w:rPr>
        <w:t> </w:t>
      </w:r>
      <w:r>
        <w:rPr/>
        <w:t>employed by</w:t>
      </w:r>
      <w:r>
        <w:rPr>
          <w:spacing w:val="-5"/>
        </w:rPr>
        <w:t> </w:t>
      </w:r>
      <w:r>
        <w:rPr/>
        <w:t>World Bank (2016)</w:t>
      </w:r>
      <w:r>
        <w:rPr>
          <w:spacing w:val="-1"/>
        </w:rPr>
        <w:t> </w:t>
      </w:r>
      <w:r>
        <w:rPr/>
        <w:t>and Aigbokhan (2017:19).</w:t>
      </w:r>
    </w:p>
    <w:p>
      <w:pPr>
        <w:spacing w:after="0" w:line="276" w:lineRule="auto"/>
        <w:jc w:val="both"/>
        <w:sectPr>
          <w:pgSz w:w="12240" w:h="15840"/>
          <w:pgMar w:header="0" w:footer="935" w:top="1360" w:bottom="1120" w:left="1320" w:right="132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140"/>
      </w:pPr>
      <w:r>
        <w:rPr/>
        <w:t>Gini</w:t>
      </w:r>
      <w:r>
        <w:rPr>
          <w:spacing w:val="-5"/>
        </w:rPr>
        <w:t> </w:t>
      </w:r>
      <w:r>
        <w:rPr/>
        <w:t>Coefficient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k</w:t>
      </w:r>
      <w:r>
        <w:rPr>
          <w:spacing w:val="-5"/>
        </w:rPr>
        <w:t> </w:t>
      </w:r>
      <w:r>
        <w:rPr/>
        <w:t>=</w:t>
      </w:r>
    </w:p>
    <w:p>
      <w:pPr>
        <w:spacing w:line="178" w:lineRule="exact" w:before="0"/>
        <w:ind w:left="416" w:right="0" w:firstLine="0"/>
        <w:jc w:val="left"/>
        <w:rPr>
          <w:rFonts w:ascii="Cambria Math" w:eastAsia="Cambria Math"/>
          <w:sz w:val="21"/>
        </w:rPr>
      </w:pPr>
      <w:r>
        <w:rPr/>
        <w:br w:type="column"/>
      </w:r>
      <w:r>
        <w:rPr>
          <w:rFonts w:ascii="Cambria Math" w:eastAsia="Cambria Math"/>
          <w:sz w:val="21"/>
        </w:rPr>
        <w:t>𝒏</w:t>
      </w:r>
    </w:p>
    <w:p>
      <w:pPr>
        <w:spacing w:line="202" w:lineRule="exact" w:before="0"/>
        <w:ind w:left="416" w:right="0" w:firstLine="0"/>
        <w:jc w:val="left"/>
        <w:rPr>
          <w:rFonts w:ascii="Cambria Math" w:eastAsia="Cambria Math"/>
          <w:sz w:val="21"/>
        </w:rPr>
      </w:pPr>
      <w:r>
        <w:rPr/>
        <w:pict>
          <v:rect style="position:absolute;margin-left:240.649994pt;margin-top:9.702147pt;width:56.88pt;height:1.2pt;mso-position-horizontal-relative:page;mso-position-vertical-relative:paragraph;z-index:1578444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1"/>
        </w:rPr>
        <w:t>𝒊=𝟏</w:t>
      </w:r>
    </w:p>
    <w:p>
      <w:pPr>
        <w:spacing w:line="202" w:lineRule="exact" w:before="0"/>
        <w:ind w:left="73" w:right="0" w:firstLine="0"/>
        <w:jc w:val="left"/>
        <w:rPr>
          <w:rFonts w:ascii="Cambria Math" w:hAnsi="Cambria Math" w:eastAsia="Cambria Math"/>
          <w:sz w:val="21"/>
        </w:rPr>
      </w:pPr>
      <w:r>
        <w:rPr>
          <w:rFonts w:ascii="Cambria Math" w:hAnsi="Cambria Math" w:eastAsia="Cambria Math"/>
          <w:sz w:val="26"/>
        </w:rPr>
        <w:t>𝒏</w:t>
      </w:r>
      <w:r>
        <w:rPr>
          <w:rFonts w:ascii="Cambria Math" w:hAnsi="Cambria Math" w:eastAsia="Cambria Math"/>
          <w:spacing w:val="-14"/>
          <w:sz w:val="26"/>
        </w:rPr>
        <w:t> </w:t>
      </w:r>
      <w:r>
        <w:rPr>
          <w:rFonts w:ascii="Cambria Math" w:hAnsi="Cambria Math" w:eastAsia="Cambria Math"/>
          <w:position w:val="1"/>
          <w:sz w:val="26"/>
        </w:rPr>
        <w:t>∑</w:t>
      </w:r>
      <w:r>
        <w:rPr>
          <w:rFonts w:ascii="Cambria Math" w:hAnsi="Cambria Math" w:eastAsia="Cambria Math"/>
          <w:position w:val="10"/>
          <w:sz w:val="21"/>
        </w:rPr>
        <w:t>𝒏</w:t>
      </w:r>
    </w:p>
    <w:p>
      <w:pPr>
        <w:spacing w:before="29"/>
        <w:ind w:left="1" w:right="0" w:firstLine="0"/>
        <w:jc w:val="left"/>
        <w:rPr>
          <w:rFonts w:ascii="Cambria Math" w:eastAsia="Cambria Math"/>
          <w:sz w:val="21"/>
        </w:rPr>
      </w:pPr>
      <w:r>
        <w:rPr/>
        <w:br w:type="column"/>
      </w:r>
      <w:r>
        <w:rPr>
          <w:rFonts w:ascii="Cambria Math" w:eastAsia="Cambria Math"/>
          <w:sz w:val="26"/>
        </w:rPr>
        <w:t>𝒊𝒀</w:t>
      </w:r>
      <w:r>
        <w:rPr>
          <w:rFonts w:ascii="Cambria Math" w:eastAsia="Cambria Math"/>
          <w:position w:val="-4"/>
          <w:sz w:val="21"/>
        </w:rPr>
        <w:t>𝒊</w:t>
      </w:r>
    </w:p>
    <w:p>
      <w:pPr>
        <w:spacing w:line="162" w:lineRule="exact" w:before="47"/>
        <w:ind w:left="54" w:right="0" w:firstLine="0"/>
        <w:jc w:val="left"/>
        <w:rPr>
          <w:rFonts w:ascii="Cambria Math" w:eastAsia="Cambria Math"/>
          <w:sz w:val="21"/>
        </w:rPr>
      </w:pPr>
      <w:r>
        <w:rPr>
          <w:rFonts w:ascii="Cambria Math" w:eastAsia="Cambria Math"/>
          <w:sz w:val="26"/>
        </w:rPr>
        <w:t>𝒀</w:t>
      </w:r>
      <w:r>
        <w:rPr>
          <w:rFonts w:ascii="Cambria Math" w:eastAsia="Cambria Math"/>
          <w:position w:val="-4"/>
          <w:sz w:val="21"/>
        </w:rPr>
        <w:t>𝒊</w:t>
      </w:r>
    </w:p>
    <w:p>
      <w:pPr>
        <w:spacing w:line="175" w:lineRule="auto" w:before="61"/>
        <w:ind w:left="61" w:right="0" w:firstLine="0"/>
        <w:jc w:val="left"/>
        <w:rPr>
          <w:rFonts w:ascii="Cambria Math" w:eastAsia="Cambria Math"/>
          <w:sz w:val="26"/>
        </w:rPr>
      </w:pPr>
      <w:r>
        <w:rPr/>
        <w:br w:type="column"/>
      </w:r>
      <w:r>
        <w:rPr>
          <w:b/>
          <w:position w:val="-20"/>
          <w:sz w:val="36"/>
        </w:rPr>
        <w:t>+</w:t>
      </w:r>
      <w:r>
        <w:rPr>
          <w:b/>
          <w:spacing w:val="-6"/>
          <w:position w:val="-20"/>
          <w:sz w:val="36"/>
        </w:rPr>
        <w:t> </w:t>
      </w:r>
      <w:r>
        <w:rPr>
          <w:rFonts w:ascii="Cambria Math" w:eastAsia="Cambria Math"/>
          <w:sz w:val="26"/>
        </w:rPr>
        <w:t>𝒏</w:t>
      </w:r>
      <w:r>
        <w:rPr>
          <w:rFonts w:ascii="Cambria Math" w:eastAsia="Cambria Math"/>
          <w:spacing w:val="-1"/>
          <w:sz w:val="26"/>
        </w:rPr>
        <w:t> </w:t>
      </w:r>
      <w:r>
        <w:rPr>
          <w:rFonts w:ascii="Cambria Math" w:eastAsia="Cambria Math"/>
          <w:sz w:val="26"/>
        </w:rPr>
        <w:t>+</w:t>
      </w:r>
      <w:r>
        <w:rPr>
          <w:rFonts w:ascii="Cambria Math" w:eastAsia="Cambria Math"/>
          <w:spacing w:val="-1"/>
          <w:sz w:val="26"/>
        </w:rPr>
        <w:t> </w:t>
      </w:r>
      <w:r>
        <w:rPr>
          <w:rFonts w:ascii="Cambria Math" w:eastAsia="Cambria Math"/>
          <w:sz w:val="26"/>
        </w:rPr>
        <w:t>𝟏</w:t>
      </w:r>
    </w:p>
    <w:p>
      <w:pPr>
        <w:spacing w:line="93" w:lineRule="exact" w:before="0"/>
        <w:ind w:left="582" w:right="0" w:firstLine="0"/>
        <w:jc w:val="left"/>
        <w:rPr>
          <w:rFonts w:ascii="Cambria Math" w:eastAsia="Cambria Math"/>
          <w:sz w:val="26"/>
        </w:rPr>
      </w:pPr>
      <w:r>
        <w:rPr/>
        <w:pict>
          <v:rect style="position:absolute;margin-left:316.730011pt;margin-top:-5.851244pt;width:31.344pt;height:1.2pt;mso-position-horizontal-relative:page;mso-position-vertical-relative:paragraph;z-index:-4305203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6"/>
        </w:rPr>
        <w:t>𝒏</w:t>
      </w:r>
    </w:p>
    <w:p>
      <w:pPr>
        <w:pStyle w:val="BodyText"/>
        <w:spacing w:before="5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ind w:left="1140"/>
      </w:pPr>
      <w:r>
        <w:rPr/>
        <w:t>……….(3)</w:t>
      </w:r>
    </w:p>
    <w:p>
      <w:pPr>
        <w:spacing w:after="0"/>
        <w:sectPr>
          <w:type w:val="continuous"/>
          <w:pgSz w:w="12240" w:h="15840"/>
          <w:pgMar w:top="1380" w:bottom="280" w:left="1320" w:right="1320"/>
          <w:cols w:num="5" w:equalWidth="0">
            <w:col w:w="3421" w:space="40"/>
            <w:col w:w="778" w:space="39"/>
            <w:col w:w="342" w:space="40"/>
            <w:col w:w="1023" w:space="1504"/>
            <w:col w:w="2413"/>
          </w:cols>
        </w:sectPr>
      </w:pPr>
    </w:p>
    <w:p>
      <w:pPr>
        <w:spacing w:line="211" w:lineRule="exact" w:before="0"/>
        <w:ind w:left="108" w:right="1482" w:firstLine="0"/>
        <w:jc w:val="center"/>
        <w:rPr>
          <w:rFonts w:ascii="Cambria Math" w:eastAsia="Cambria Math"/>
          <w:sz w:val="21"/>
        </w:rPr>
      </w:pPr>
      <w:r>
        <w:rPr>
          <w:rFonts w:ascii="Cambria Math" w:eastAsia="Cambria Math"/>
          <w:sz w:val="21"/>
        </w:rPr>
        <w:t>𝒊=𝟏</w:t>
      </w:r>
    </w:p>
    <w:p>
      <w:pPr>
        <w:pStyle w:val="BodyText"/>
        <w:spacing w:before="15"/>
        <w:ind w:left="108" w:right="4689"/>
        <w:jc w:val="center"/>
      </w:pPr>
      <w:r>
        <w:rPr/>
        <w:t>Where,</w:t>
      </w:r>
      <w:r>
        <w:rPr>
          <w:spacing w:val="-1"/>
        </w:rPr>
        <w:t> </w:t>
      </w:r>
      <w:r>
        <w:rPr/>
        <w:t>n =</w:t>
      </w:r>
      <w:r>
        <w:rPr>
          <w:spacing w:val="-1"/>
        </w:rPr>
        <w:t> </w:t>
      </w:r>
      <w:r>
        <w:rPr/>
        <w:t>population sample</w:t>
      </w:r>
      <w:r>
        <w:rPr>
          <w:spacing w:val="-1"/>
        </w:rPr>
        <w:t> </w:t>
      </w:r>
      <w:r>
        <w:rPr/>
        <w:t>size</w:t>
      </w:r>
    </w:p>
    <w:p>
      <w:pPr>
        <w:spacing w:before="48"/>
        <w:ind w:left="223" w:right="108" w:firstLine="0"/>
        <w:jc w:val="center"/>
        <w:rPr>
          <w:sz w:val="24"/>
        </w:rPr>
      </w:pPr>
      <w:r>
        <w:rPr>
          <w:rFonts w:ascii="Cambria Math" w:hAnsi="Cambria Math" w:eastAsia="Cambria Math"/>
          <w:sz w:val="24"/>
        </w:rPr>
        <w:t>𝑌</w:t>
      </w:r>
      <w:r>
        <w:rPr>
          <w:rFonts w:ascii="Cambria Math" w:hAnsi="Cambria Math" w:eastAsia="Cambria Math"/>
          <w:sz w:val="24"/>
          <w:vertAlign w:val="subscript"/>
        </w:rPr>
        <w:t>𝑖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income of</w:t>
      </w:r>
      <w:r>
        <w:rPr>
          <w:spacing w:val="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𝑖</w:t>
      </w:r>
      <w:r>
        <w:rPr>
          <w:rFonts w:ascii="Cambria Math" w:hAnsi="Cambria Math" w:eastAsia="Cambria Math"/>
          <w:sz w:val="24"/>
          <w:vertAlign w:val="superscript"/>
        </w:rPr>
        <w:t>𝑡ℎ</w:t>
      </w:r>
      <w:r>
        <w:rPr>
          <w:rFonts w:ascii="Cambria Math" w:hAnsi="Cambria Math" w:eastAsia="Cambria Math"/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household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state k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(where </w:t>
      </w:r>
      <w:r>
        <w:rPr>
          <w:i/>
          <w:sz w:val="24"/>
          <w:vertAlign w:val="baseline"/>
        </w:rPr>
        <w:t>k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1,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2, 3,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……., 37</w:t>
      </w:r>
      <w:r>
        <w:rPr>
          <w:sz w:val="24"/>
          <w:vertAlign w:val="baseline"/>
        </w:rPr>
        <w:t>)</w:t>
      </w:r>
    </w:p>
    <w:p>
      <w:pPr>
        <w:pStyle w:val="BodyText"/>
        <w:spacing w:line="276" w:lineRule="auto" w:before="227"/>
        <w:ind w:left="120" w:right="117"/>
        <w:jc w:val="both"/>
      </w:pPr>
      <w:r>
        <w:rPr/>
        <w:t>The Gini coefficient’s main advantage is that it is a measure of income inequality by means of a</w:t>
      </w:r>
      <w:r>
        <w:rPr>
          <w:spacing w:val="1"/>
        </w:rPr>
        <w:t> </w:t>
      </w:r>
      <w:r>
        <w:rPr/>
        <w:t>ratio</w:t>
      </w:r>
      <w:r>
        <w:rPr>
          <w:spacing w:val="-2"/>
        </w:rPr>
        <w:t> </w:t>
      </w:r>
      <w:r>
        <w:rPr/>
        <w:t>analysis,</w:t>
      </w:r>
      <w:r>
        <w:rPr>
          <w:spacing w:val="-2"/>
        </w:rPr>
        <w:t> </w:t>
      </w:r>
      <w:r>
        <w:rPr/>
        <w:t>rather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unrepresentative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most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population,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capita</w:t>
      </w:r>
      <w:r>
        <w:rPr>
          <w:spacing w:val="-58"/>
        </w:rPr>
        <w:t> </w:t>
      </w:r>
      <w:r>
        <w:rPr/>
        <w:t>income</w:t>
      </w:r>
      <w:r>
        <w:rPr>
          <w:spacing w:val="-11"/>
        </w:rPr>
        <w:t> </w:t>
      </w:r>
      <w:r>
        <w:rPr/>
        <w:t>or</w:t>
      </w:r>
      <w:r>
        <w:rPr>
          <w:spacing w:val="-9"/>
        </w:rPr>
        <w:t> </w:t>
      </w:r>
      <w:r>
        <w:rPr/>
        <w:t>GDP.</w:t>
      </w:r>
      <w:r>
        <w:rPr>
          <w:spacing w:val="-6"/>
        </w:rPr>
        <w:t> </w:t>
      </w:r>
      <w:r>
        <w:rPr/>
        <w:t>It</w:t>
      </w:r>
      <w:r>
        <w:rPr>
          <w:spacing w:val="-8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7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compare</w:t>
      </w:r>
      <w:r>
        <w:rPr>
          <w:spacing w:val="-10"/>
        </w:rPr>
        <w:t> </w:t>
      </w:r>
      <w:r>
        <w:rPr/>
        <w:t>income</w:t>
      </w:r>
      <w:r>
        <w:rPr>
          <w:spacing w:val="-11"/>
        </w:rPr>
        <w:t> </w:t>
      </w:r>
      <w:r>
        <w:rPr/>
        <w:t>distributions</w:t>
      </w:r>
      <w:r>
        <w:rPr>
          <w:spacing w:val="-8"/>
        </w:rPr>
        <w:t> </w:t>
      </w:r>
      <w:r>
        <w:rPr/>
        <w:t>across</w:t>
      </w:r>
      <w:r>
        <w:rPr>
          <w:spacing w:val="-9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population</w:t>
      </w:r>
      <w:r>
        <w:rPr>
          <w:spacing w:val="-9"/>
        </w:rPr>
        <w:t> </w:t>
      </w:r>
      <w:r>
        <w:rPr/>
        <w:t>sectors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 countries.</w:t>
      </w:r>
    </w:p>
    <w:p>
      <w:pPr>
        <w:pStyle w:val="BodyText"/>
        <w:spacing w:before="211"/>
        <w:ind w:left="120"/>
      </w:pPr>
      <w:r>
        <w:rPr/>
        <w:t>It</w:t>
      </w:r>
      <w:r>
        <w:rPr>
          <w:spacing w:val="-1"/>
        </w:rPr>
        <w:t> </w:t>
      </w:r>
      <w:r>
        <w:rPr/>
        <w:t>often satisfies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principles:</w:t>
      </w:r>
    </w:p>
    <w:p>
      <w:pPr>
        <w:pStyle w:val="ListParagraph"/>
        <w:numPr>
          <w:ilvl w:val="1"/>
          <w:numId w:val="17"/>
        </w:numPr>
        <w:tabs>
          <w:tab w:pos="1200" w:val="left" w:leader="none"/>
          <w:tab w:pos="1201" w:val="left" w:leader="none"/>
        </w:tabs>
        <w:spacing w:line="240" w:lineRule="auto" w:before="44" w:after="0"/>
        <w:ind w:left="1200" w:right="0" w:hanging="721"/>
        <w:jc w:val="left"/>
        <w:rPr>
          <w:sz w:val="24"/>
        </w:rPr>
      </w:pPr>
      <w:r>
        <w:rPr>
          <w:i/>
          <w:sz w:val="24"/>
        </w:rPr>
        <w:t>Anonymity:</w:t>
      </w:r>
      <w:r>
        <w:rPr>
          <w:i/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matter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earners</w:t>
      </w:r>
      <w:r>
        <w:rPr>
          <w:spacing w:val="-2"/>
          <w:sz w:val="24"/>
        </w:rPr>
        <w:t> </w:t>
      </w:r>
      <w:r>
        <w:rPr>
          <w:sz w:val="24"/>
        </w:rPr>
        <w:t>are.</w:t>
      </w:r>
    </w:p>
    <w:p>
      <w:pPr>
        <w:pStyle w:val="ListParagraph"/>
        <w:numPr>
          <w:ilvl w:val="1"/>
          <w:numId w:val="17"/>
        </w:numPr>
        <w:tabs>
          <w:tab w:pos="1200" w:val="left" w:leader="none"/>
          <w:tab w:pos="1201" w:val="left" w:leader="none"/>
        </w:tabs>
        <w:spacing w:line="240" w:lineRule="auto" w:before="41" w:after="0"/>
        <w:ind w:left="1200" w:right="0" w:hanging="721"/>
        <w:jc w:val="left"/>
        <w:rPr>
          <w:sz w:val="24"/>
        </w:rPr>
      </w:pPr>
      <w:r>
        <w:rPr>
          <w:i/>
          <w:sz w:val="24"/>
        </w:rPr>
        <w:t>Scale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independence:</w:t>
      </w:r>
      <w:r>
        <w:rPr>
          <w:i/>
          <w:spacing w:val="-1"/>
          <w:sz w:val="24"/>
        </w:rPr>
        <w:t> </w:t>
      </w:r>
      <w:r>
        <w:rPr>
          <w:sz w:val="24"/>
        </w:rPr>
        <w:t>Does not</w:t>
      </w:r>
      <w:r>
        <w:rPr>
          <w:spacing w:val="-1"/>
          <w:sz w:val="24"/>
        </w:rPr>
        <w:t> </w:t>
      </w:r>
      <w:r>
        <w:rPr>
          <w:sz w:val="24"/>
        </w:rPr>
        <w:t>consider the</w:t>
      </w:r>
      <w:r>
        <w:rPr>
          <w:spacing w:val="-3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economy.</w:t>
      </w:r>
    </w:p>
    <w:p>
      <w:pPr>
        <w:pStyle w:val="ListParagraph"/>
        <w:numPr>
          <w:ilvl w:val="1"/>
          <w:numId w:val="17"/>
        </w:numPr>
        <w:tabs>
          <w:tab w:pos="1200" w:val="left" w:leader="none"/>
          <w:tab w:pos="1201" w:val="left" w:leader="none"/>
        </w:tabs>
        <w:spacing w:line="240" w:lineRule="auto" w:before="41" w:after="0"/>
        <w:ind w:left="1200" w:right="0" w:hanging="721"/>
        <w:jc w:val="left"/>
        <w:rPr>
          <w:sz w:val="24"/>
        </w:rPr>
      </w:pPr>
      <w:r>
        <w:rPr>
          <w:i/>
          <w:sz w:val="24"/>
        </w:rPr>
        <w:t>Population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independence: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not matter</w:t>
      </w:r>
      <w:r>
        <w:rPr>
          <w:spacing w:val="-3"/>
          <w:sz w:val="24"/>
        </w:rPr>
        <w:t> </w:t>
      </w:r>
      <w:r>
        <w:rPr>
          <w:sz w:val="24"/>
        </w:rPr>
        <w:t>how large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population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country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80" w:bottom="280" w:left="1320" w:right="132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4"/>
        <w:spacing w:before="90"/>
        <w:ind w:left="2558" w:right="2676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BodyText"/>
        <w:spacing w:before="15" w:after="8"/>
        <w:ind w:left="2558" w:right="2681"/>
        <w:jc w:val="center"/>
      </w:pPr>
      <w:r>
        <w:rPr/>
        <w:t>TABLE</w:t>
      </w:r>
      <w:r>
        <w:rPr>
          <w:spacing w:val="-3"/>
        </w:rPr>
        <w:t> </w:t>
      </w:r>
      <w:r>
        <w:rPr/>
        <w:t>C1:</w:t>
      </w:r>
      <w:r>
        <w:rPr>
          <w:spacing w:val="-1"/>
        </w:rPr>
        <w:t> </w:t>
      </w:r>
      <w:r>
        <w:rPr/>
        <w:t>DESCRIPTION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APRIORI</w:t>
      </w:r>
      <w:r>
        <w:rPr>
          <w:spacing w:val="-6"/>
        </w:rPr>
        <w:t> </w:t>
      </w:r>
      <w:r>
        <w:rPr/>
        <w:t>EXPECTATIONS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4003"/>
        <w:gridCol w:w="1800"/>
        <w:gridCol w:w="5491"/>
      </w:tblGrid>
      <w:tr>
        <w:trPr>
          <w:trHeight w:val="230" w:hRule="atLeast"/>
        </w:trPr>
        <w:tc>
          <w:tcPr>
            <w:tcW w:w="13046" w:type="dxa"/>
            <w:gridSpan w:val="4"/>
          </w:tcPr>
          <w:p>
            <w:pPr>
              <w:pStyle w:val="TableParagraph"/>
              <w:spacing w:line="210" w:lineRule="exact"/>
              <w:ind w:left="3174" w:right="316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VARIABLES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AND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DESCRIPTIONS:</w:t>
            </w:r>
          </w:p>
        </w:tc>
      </w:tr>
      <w:tr>
        <w:trPr>
          <w:trHeight w:val="230" w:hRule="atLeast"/>
        </w:trPr>
        <w:tc>
          <w:tcPr>
            <w:tcW w:w="13046" w:type="dxa"/>
            <w:gridSpan w:val="4"/>
          </w:tcPr>
          <w:p>
            <w:pPr>
              <w:pStyle w:val="TableParagraph"/>
              <w:spacing w:line="210" w:lineRule="exact"/>
              <w:ind w:left="3174" w:right="317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DEPENDENT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VARIABLE: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Households’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Self-Reported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Health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Outcomes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(Illness)</w:t>
            </w:r>
          </w:p>
        </w:tc>
      </w:tr>
      <w:tr>
        <w:trPr>
          <w:trHeight w:val="229" w:hRule="atLeast"/>
        </w:trPr>
        <w:tc>
          <w:tcPr>
            <w:tcW w:w="1752" w:type="dxa"/>
          </w:tcPr>
          <w:p>
            <w:pPr>
              <w:pStyle w:val="TableParagraph"/>
              <w:spacing w:line="210" w:lineRule="exact"/>
              <w:ind w:right="49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Variable</w:t>
            </w:r>
          </w:p>
        </w:tc>
        <w:tc>
          <w:tcPr>
            <w:tcW w:w="4003" w:type="dxa"/>
          </w:tcPr>
          <w:p>
            <w:pPr>
              <w:pStyle w:val="TableParagraph"/>
              <w:spacing w:line="210" w:lineRule="exact"/>
              <w:ind w:left="1485" w:right="147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Description</w:t>
            </w:r>
          </w:p>
        </w:tc>
        <w:tc>
          <w:tcPr>
            <w:tcW w:w="1800" w:type="dxa"/>
          </w:tcPr>
          <w:p>
            <w:pPr>
              <w:pStyle w:val="TableParagraph"/>
              <w:spacing w:line="210" w:lineRule="exact"/>
              <w:ind w:left="47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Definition</w:t>
            </w:r>
          </w:p>
        </w:tc>
        <w:tc>
          <w:tcPr>
            <w:tcW w:w="5491" w:type="dxa"/>
          </w:tcPr>
          <w:p>
            <w:pPr>
              <w:pStyle w:val="TableParagraph"/>
              <w:spacing w:line="210" w:lineRule="exact"/>
              <w:ind w:left="109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Justification</w:t>
            </w:r>
          </w:p>
        </w:tc>
      </w:tr>
      <w:tr>
        <w:trPr>
          <w:trHeight w:val="690" w:hRule="atLeast"/>
        </w:trPr>
        <w:tc>
          <w:tcPr>
            <w:tcW w:w="1752" w:type="dxa"/>
          </w:tcPr>
          <w:p>
            <w:pPr>
              <w:pStyle w:val="TableParagraph"/>
              <w:ind w:left="107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Recent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Illness/sick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days/Poor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1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four</w:t>
            </w:r>
            <w:r>
              <w:rPr>
                <w:rFonts w:ascii="Times New Roman"/>
                <w:spacing w:val="2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weeks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have</w:t>
            </w:r>
            <w:r>
              <w:rPr>
                <w:rFonts w:ascii="Times New Roman"/>
                <w:spacing w:val="2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</w:t>
            </w:r>
            <w:r>
              <w:rPr>
                <w:rFonts w:ascii="Times New Roman"/>
                <w:spacing w:val="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suffered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illness/sickness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health?</w:t>
            </w:r>
          </w:p>
        </w:tc>
        <w:tc>
          <w:tcPr>
            <w:tcW w:w="1800" w:type="dxa"/>
          </w:tcPr>
          <w:p>
            <w:pPr>
              <w:pStyle w:val="TableParagraph"/>
              <w:ind w:left="108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1=if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2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respond</w:t>
            </w:r>
            <w:r>
              <w:rPr>
                <w:rFonts w:ascii="Times New Roman"/>
                <w:spacing w:val="2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Yes,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</w:p>
          <w:p>
            <w:pPr>
              <w:pStyle w:val="TableParagraph"/>
              <w:spacing w:line="217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491" w:type="dxa"/>
          </w:tcPr>
          <w:p>
            <w:pPr>
              <w:pStyle w:val="TableParagraph"/>
              <w:spacing w:line="223" w:lineRule="exact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This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measure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acknowledged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good,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objective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indicator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</w:p>
          <w:p>
            <w:pPr>
              <w:pStyle w:val="TableParagraph"/>
              <w:spacing w:line="230" w:lineRule="atLeast"/>
              <w:ind w:left="10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households’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health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outcomes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(see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Yiengprugsawan,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2010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and</w:t>
            </w:r>
            <w:r>
              <w:rPr>
                <w:rFonts w:ascii="Times New Roman" w:hAnsi="Times New Roman"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Novignon,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2017).</w:t>
            </w:r>
          </w:p>
        </w:tc>
      </w:tr>
      <w:tr>
        <w:trPr>
          <w:trHeight w:val="230" w:hRule="atLeast"/>
        </w:trPr>
        <w:tc>
          <w:tcPr>
            <w:tcW w:w="13046" w:type="dxa"/>
            <w:gridSpan w:val="4"/>
          </w:tcPr>
          <w:p>
            <w:pPr>
              <w:pStyle w:val="TableParagraph"/>
              <w:spacing w:line="210" w:lineRule="exact"/>
              <w:ind w:left="3174" w:right="31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EXPLANATORY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VARIABLES:</w:t>
            </w:r>
          </w:p>
        </w:tc>
      </w:tr>
      <w:tr>
        <w:trPr>
          <w:trHeight w:val="230" w:hRule="atLeast"/>
        </w:trPr>
        <w:tc>
          <w:tcPr>
            <w:tcW w:w="1752" w:type="dxa"/>
          </w:tcPr>
          <w:p>
            <w:pPr>
              <w:pStyle w:val="TableParagraph"/>
              <w:spacing w:line="211" w:lineRule="exact"/>
              <w:ind w:right="49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Variable</w:t>
            </w:r>
          </w:p>
        </w:tc>
        <w:tc>
          <w:tcPr>
            <w:tcW w:w="4003" w:type="dxa"/>
          </w:tcPr>
          <w:p>
            <w:pPr>
              <w:pStyle w:val="TableParagraph"/>
              <w:spacing w:line="211" w:lineRule="exact"/>
              <w:ind w:left="1485" w:right="147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Description</w:t>
            </w:r>
          </w:p>
        </w:tc>
        <w:tc>
          <w:tcPr>
            <w:tcW w:w="1800" w:type="dxa"/>
          </w:tcPr>
          <w:p>
            <w:pPr>
              <w:pStyle w:val="TableParagraph"/>
              <w:spacing w:line="211" w:lineRule="exact"/>
              <w:ind w:left="47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Definition</w:t>
            </w:r>
          </w:p>
        </w:tc>
        <w:tc>
          <w:tcPr>
            <w:tcW w:w="5491" w:type="dxa"/>
          </w:tcPr>
          <w:p>
            <w:pPr>
              <w:pStyle w:val="TableParagraph"/>
              <w:spacing w:line="211" w:lineRule="exact"/>
              <w:ind w:left="1868" w:right="185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Apriori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Expectation</w:t>
            </w:r>
          </w:p>
        </w:tc>
      </w:tr>
      <w:tr>
        <w:trPr>
          <w:trHeight w:val="230" w:hRule="atLeast"/>
        </w:trPr>
        <w:tc>
          <w:tcPr>
            <w:tcW w:w="13046" w:type="dxa"/>
            <w:gridSpan w:val="4"/>
          </w:tcPr>
          <w:p>
            <w:pPr>
              <w:pStyle w:val="TableParagraph"/>
              <w:spacing w:line="210" w:lineRule="exact"/>
              <w:ind w:left="3174" w:right="316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Family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Size</w:t>
            </w:r>
          </w:p>
        </w:tc>
      </w:tr>
      <w:tr>
        <w:trPr>
          <w:trHeight w:val="688" w:hRule="atLeast"/>
        </w:trPr>
        <w:tc>
          <w:tcPr>
            <w:tcW w:w="1752" w:type="dxa"/>
          </w:tcPr>
          <w:p>
            <w:pPr>
              <w:pStyle w:val="TableParagraph"/>
              <w:ind w:left="107" w:right="61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Household’s</w:t>
            </w:r>
            <w:r>
              <w:rPr>
                <w:rFonts w:ascii="Times New Roman" w:hAnsi="Times New Roman"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Family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Size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Number</w:t>
            </w:r>
            <w:r>
              <w:rPr>
                <w:rFonts w:ascii="Times New Roman"/>
                <w:spacing w:val="1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individuals</w:t>
            </w:r>
            <w:r>
              <w:rPr>
                <w:rFonts w:ascii="Times New Roman"/>
                <w:spacing w:val="2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who</w:t>
            </w:r>
            <w:r>
              <w:rPr>
                <w:rFonts w:ascii="Times New Roman"/>
                <w:spacing w:val="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normally</w:t>
            </w:r>
            <w:r>
              <w:rPr>
                <w:rFonts w:ascii="Times New Roman"/>
                <w:spacing w:val="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live</w:t>
            </w:r>
            <w:r>
              <w:rPr>
                <w:rFonts w:ascii="Times New Roman"/>
                <w:spacing w:val="1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eat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together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households</w:t>
            </w:r>
          </w:p>
        </w:tc>
        <w:tc>
          <w:tcPr>
            <w:tcW w:w="1800" w:type="dxa"/>
          </w:tcPr>
          <w:p>
            <w:pPr>
              <w:pStyle w:val="TableParagraph"/>
              <w:spacing w:line="223" w:lineRule="exact"/>
              <w:ind w:left="5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Numeric</w:t>
            </w:r>
          </w:p>
        </w:tc>
        <w:tc>
          <w:tcPr>
            <w:tcW w:w="5491" w:type="dxa"/>
          </w:tcPr>
          <w:p>
            <w:pPr>
              <w:pStyle w:val="TableParagraph"/>
              <w:spacing w:line="223" w:lineRule="exact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4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accordance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with  Dasgupta</w:t>
            </w:r>
            <w:r>
              <w:rPr>
                <w:rFonts w:ascii="Times New Roman"/>
                <w:spacing w:val="5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5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Solomon  (2017),</w:t>
            </w:r>
            <w:r>
              <w:rPr>
                <w:rFonts w:ascii="Times New Roman"/>
                <w:spacing w:val="5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5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study</w:t>
            </w:r>
          </w:p>
          <w:p>
            <w:pPr>
              <w:pStyle w:val="TableParagraph"/>
              <w:spacing w:line="228" w:lineRule="exact"/>
              <w:ind w:left="109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expect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increase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family size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have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8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positive</w:t>
            </w:r>
            <w:r>
              <w:rPr>
                <w:rFonts w:ascii="Times New Roman"/>
                <w:i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relationship</w:t>
            </w:r>
            <w:r>
              <w:rPr>
                <w:rFonts w:ascii="Times New Roman"/>
                <w:spacing w:val="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frequent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illnesses</w:t>
            </w:r>
          </w:p>
        </w:tc>
      </w:tr>
      <w:tr>
        <w:trPr>
          <w:trHeight w:val="253" w:hRule="atLeast"/>
        </w:trPr>
        <w:tc>
          <w:tcPr>
            <w:tcW w:w="13046" w:type="dxa"/>
            <w:gridSpan w:val="4"/>
          </w:tcPr>
          <w:p>
            <w:pPr>
              <w:pStyle w:val="TableParagraph"/>
              <w:spacing w:line="234" w:lineRule="exact"/>
              <w:ind w:left="3174" w:right="31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Food,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Diet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 Calorie</w:t>
            </w:r>
          </w:p>
        </w:tc>
      </w:tr>
      <w:tr>
        <w:trPr>
          <w:trHeight w:val="726" w:hRule="atLeast"/>
        </w:trPr>
        <w:tc>
          <w:tcPr>
            <w:tcW w:w="1752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Low</w:t>
            </w:r>
            <w:r>
              <w:rPr>
                <w:rFonts w:ascii="Times New Roman"/>
                <w:spacing w:val="-4"/>
                <w:sz w:val="20"/>
                <w:u w:val="single"/>
              </w:rPr>
              <w:t> </w:t>
            </w:r>
            <w:r>
              <w:rPr>
                <w:rFonts w:ascii="Times New Roman"/>
                <w:sz w:val="20"/>
                <w:u w:val="single"/>
              </w:rPr>
              <w:t>Calorie</w:t>
            </w:r>
          </w:p>
          <w:p>
            <w:pPr>
              <w:pStyle w:val="TableParagraph"/>
              <w:tabs>
                <w:tab w:pos="1018" w:val="left" w:leader="none"/>
                <w:tab w:pos="1399" w:val="left" w:leader="none"/>
              </w:tabs>
              <w:ind w:left="107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*Hunger</w:t>
              <w:tab/>
              <w:t>or</w:t>
              <w:tab/>
            </w:r>
            <w:r>
              <w:rPr>
                <w:rFonts w:ascii="Times New Roman"/>
                <w:spacing w:val="-3"/>
                <w:sz w:val="20"/>
              </w:rPr>
              <w:t>No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Food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101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During the last 12 months, was there a time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when your household had to skip meal because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lack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money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 resources?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Yes,</w:t>
            </w:r>
          </w:p>
          <w:p>
            <w:pPr>
              <w:pStyle w:val="TableParagraph"/>
              <w:spacing w:before="1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491" w:type="dxa"/>
            <w:vMerge w:val="restart"/>
          </w:tcPr>
          <w:p>
            <w:pPr>
              <w:pStyle w:val="TableParagraph"/>
              <w:ind w:left="109" w:right="96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rising,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indirect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low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calorie,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malnutrition effect on health outcomes could be hypothesized.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Low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calorie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often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results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illnesses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 </w:t>
            </w:r>
            <w:r>
              <w:rPr>
                <w:rFonts w:ascii="Times New Roman"/>
                <w:i/>
                <w:sz w:val="20"/>
              </w:rPr>
              <w:t>worsen</w:t>
            </w:r>
            <w:r>
              <w:rPr>
                <w:rFonts w:ascii="Times New Roman"/>
                <w:i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outcomes;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such as, type II diabetes, heart disease, and cancers (Wright et al.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2017). Therefore, low calorie, hunger and eating much of Gari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could </w:t>
            </w:r>
            <w:r>
              <w:rPr>
                <w:rFonts w:ascii="Times New Roman"/>
                <w:i/>
                <w:sz w:val="20"/>
              </w:rPr>
              <w:t>positively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related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illness/sickness.</w:t>
            </w:r>
          </w:p>
          <w:p>
            <w:pPr>
              <w:pStyle w:val="TableParagraph"/>
              <w:ind w:left="109" w:right="96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 addition, basic energetic foods (rice, and yam or cassava or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maize-flour);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basic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proteins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(beans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meat/fish)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are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expected to be </w:t>
            </w:r>
            <w:r>
              <w:rPr>
                <w:rFonts w:ascii="Times New Roman"/>
                <w:i/>
                <w:sz w:val="20"/>
              </w:rPr>
              <w:t>negatively </w:t>
            </w:r>
            <w:r>
              <w:rPr>
                <w:rFonts w:ascii="Times New Roman"/>
                <w:sz w:val="20"/>
              </w:rPr>
              <w:t>associated with illnesses or poor health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outcomes. This is necessary because, carbohydrate and protein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intakes should generally constitute between 55-75% and 10-35%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daily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intake respectively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(WHO,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2017c).</w:t>
            </w:r>
          </w:p>
        </w:tc>
      </w:tr>
      <w:tr>
        <w:trPr>
          <w:trHeight w:val="530" w:hRule="atLeast"/>
        </w:trPr>
        <w:tc>
          <w:tcPr>
            <w:tcW w:w="1752" w:type="dxa"/>
          </w:tcPr>
          <w:p>
            <w:pPr>
              <w:pStyle w:val="TableParagraph"/>
              <w:spacing w:line="237" w:lineRule="auto"/>
              <w:ind w:left="107" w:right="54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*Gari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Consumption</w:t>
            </w:r>
          </w:p>
        </w:tc>
        <w:tc>
          <w:tcPr>
            <w:tcW w:w="4003" w:type="dxa"/>
          </w:tcPr>
          <w:p>
            <w:pPr>
              <w:pStyle w:val="TableParagraph"/>
              <w:spacing w:line="237" w:lineRule="auto"/>
              <w:ind w:left="108" w:right="9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Within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did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members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eat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Gari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within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</w:t>
            </w: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61" w:hRule="atLeast"/>
        </w:trPr>
        <w:tc>
          <w:tcPr>
            <w:tcW w:w="1752" w:type="dxa"/>
          </w:tcPr>
          <w:p>
            <w:pPr>
              <w:pStyle w:val="TableParagraph"/>
              <w:spacing w:line="224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Energetic</w:t>
            </w:r>
            <w:r>
              <w:rPr>
                <w:rFonts w:ascii="Times New Roman"/>
                <w:spacing w:val="-3"/>
                <w:sz w:val="20"/>
                <w:u w:val="single"/>
              </w:rPr>
              <w:t> </w:t>
            </w:r>
            <w:r>
              <w:rPr>
                <w:rFonts w:ascii="Times New Roman"/>
                <w:sz w:val="20"/>
                <w:u w:val="single"/>
              </w:rPr>
              <w:t>Foods</w:t>
            </w:r>
          </w:p>
          <w:p>
            <w:pPr>
              <w:pStyle w:val="TableParagraph"/>
              <w:spacing w:line="229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*Rice</w:t>
            </w:r>
          </w:p>
          <w:p>
            <w:pPr>
              <w:pStyle w:val="TableParagraph"/>
              <w:ind w:left="107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*Yam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Cassava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Maize-flour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101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Within the past 7 days did the members of this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eat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following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within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9" w:val="left" w:leader="none"/>
              </w:tabs>
              <w:spacing w:line="229" w:lineRule="exact" w:before="0" w:after="0"/>
              <w:ind w:left="828" w:right="0" w:hanging="361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Rice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9" w:val="left" w:leader="none"/>
              </w:tabs>
              <w:spacing w:line="227" w:lineRule="exact" w:before="0" w:after="0"/>
              <w:ind w:left="828" w:right="0" w:hanging="361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Flour</w:t>
            </w: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9" w:hRule="atLeast"/>
        </w:trPr>
        <w:tc>
          <w:tcPr>
            <w:tcW w:w="1752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>Basic</w:t>
            </w:r>
            <w:r>
              <w:rPr>
                <w:rFonts w:ascii="Times New Roman"/>
                <w:spacing w:val="-2"/>
                <w:sz w:val="20"/>
                <w:u w:val="single"/>
              </w:rPr>
              <w:t> </w:t>
            </w:r>
            <w:r>
              <w:rPr>
                <w:rFonts w:ascii="Times New Roman"/>
                <w:sz w:val="20"/>
                <w:u w:val="single"/>
              </w:rPr>
              <w:t>Protein:</w:t>
            </w: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*Beans</w:t>
            </w:r>
          </w:p>
          <w:p>
            <w:pPr>
              <w:pStyle w:val="TableParagraph"/>
              <w:spacing w:before="1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*Meat/Fish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101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Within the past 7 days did the members of this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eat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following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within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24" w:val="left" w:leader="none"/>
              </w:tabs>
              <w:spacing w:line="229" w:lineRule="exact" w:before="0" w:after="0"/>
              <w:ind w:left="223" w:right="0" w:hanging="11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Beans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24" w:val="left" w:leader="none"/>
              </w:tabs>
              <w:spacing w:line="216" w:lineRule="exact" w:before="0" w:after="0"/>
              <w:ind w:left="223" w:right="0" w:hanging="11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Meat/Fish?</w:t>
            </w: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3046" w:type="dxa"/>
            <w:gridSpan w:val="4"/>
          </w:tcPr>
          <w:p>
            <w:pPr>
              <w:pStyle w:val="TableParagraph"/>
              <w:spacing w:line="235" w:lineRule="exact"/>
              <w:ind w:left="3174" w:right="316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Material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Wellbeing</w:t>
            </w:r>
          </w:p>
        </w:tc>
      </w:tr>
      <w:tr>
        <w:trPr>
          <w:trHeight w:val="460" w:hRule="atLeast"/>
        </w:trPr>
        <w:tc>
          <w:tcPr>
            <w:tcW w:w="1752" w:type="dxa"/>
          </w:tcPr>
          <w:p>
            <w:pPr>
              <w:pStyle w:val="TableParagraph"/>
              <w:spacing w:line="223" w:lineRule="exact"/>
              <w:ind w:right="4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*Mosquito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</w:t>
            </w:r>
          </w:p>
        </w:tc>
        <w:tc>
          <w:tcPr>
            <w:tcW w:w="4003" w:type="dxa"/>
          </w:tcPr>
          <w:p>
            <w:pPr>
              <w:pStyle w:val="TableParagraph"/>
              <w:spacing w:line="223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Over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3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year</w:t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did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</w:t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purchase</w:t>
            </w:r>
          </w:p>
          <w:p>
            <w:pPr>
              <w:pStyle w:val="TableParagraph"/>
              <w:spacing w:line="217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mosquito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net?</w:t>
            </w:r>
          </w:p>
        </w:tc>
        <w:tc>
          <w:tcPr>
            <w:tcW w:w="1800" w:type="dxa"/>
          </w:tcPr>
          <w:p>
            <w:pPr>
              <w:pStyle w:val="TableParagraph"/>
              <w:spacing w:line="223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1=if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Yes,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491" w:type="dxa"/>
            <w:vMerge w:val="restart"/>
          </w:tcPr>
          <w:p>
            <w:pPr>
              <w:pStyle w:val="TableParagraph"/>
              <w:ind w:left="109" w:right="98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 level of income inequality often influences the possession of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mosquito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net,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access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clean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drinkable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water,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electricity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toilet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facility. Benzeval </w:t>
            </w:r>
            <w:r>
              <w:rPr>
                <w:rFonts w:ascii="Times New Roman"/>
                <w:i/>
                <w:sz w:val="20"/>
              </w:rPr>
              <w:t>et al. </w:t>
            </w:r>
            <w:r>
              <w:rPr>
                <w:rFonts w:ascii="Times New Roman"/>
                <w:sz w:val="20"/>
              </w:rPr>
              <w:t>(2014) posit that healthy housing often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promote positive health outcomes. Hence the study expects 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availability of mosquito net, access to electricity, quality water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supply,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 quality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toilet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facility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reduces</w:t>
            </w:r>
            <w:r>
              <w:rPr>
                <w:rFonts w:ascii="Times New Roman"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illness/sickness.</w:t>
            </w:r>
          </w:p>
        </w:tc>
      </w:tr>
      <w:tr>
        <w:trPr>
          <w:trHeight w:val="458" w:hRule="atLeast"/>
        </w:trPr>
        <w:tc>
          <w:tcPr>
            <w:tcW w:w="1752" w:type="dxa"/>
          </w:tcPr>
          <w:p>
            <w:pPr>
              <w:pStyle w:val="TableParagraph"/>
              <w:tabs>
                <w:tab w:pos="1486" w:val="left" w:leader="none"/>
              </w:tabs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*Access</w:t>
              <w:tab/>
              <w:t>to</w:t>
            </w:r>
          </w:p>
          <w:p>
            <w:pPr>
              <w:pStyle w:val="TableParagraph"/>
              <w:spacing w:line="21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Electricity</w:t>
            </w:r>
          </w:p>
        </w:tc>
        <w:tc>
          <w:tcPr>
            <w:tcW w:w="4003" w:type="dxa"/>
          </w:tcPr>
          <w:p>
            <w:pPr>
              <w:pStyle w:val="TableParagraph"/>
              <w:spacing w:line="223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dwelling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connected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electricity?</w:t>
            </w:r>
          </w:p>
        </w:tc>
        <w:tc>
          <w:tcPr>
            <w:tcW w:w="1800" w:type="dxa"/>
          </w:tcPr>
          <w:p>
            <w:pPr>
              <w:pStyle w:val="TableParagraph"/>
              <w:spacing w:line="223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1=Yes,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2=No</w:t>
            </w:r>
          </w:p>
        </w:tc>
        <w:tc>
          <w:tcPr>
            <w:tcW w:w="5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1752" w:type="dxa"/>
          </w:tcPr>
          <w:p>
            <w:pPr>
              <w:pStyle w:val="TableParagraph"/>
              <w:spacing w:line="237" w:lineRule="auto"/>
              <w:ind w:left="107" w:right="9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*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Drinkable</w:t>
            </w:r>
            <w:r>
              <w:rPr>
                <w:rFonts w:ascii="Times New Roman"/>
                <w:spacing w:val="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Water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Supply</w:t>
            </w:r>
          </w:p>
        </w:tc>
        <w:tc>
          <w:tcPr>
            <w:tcW w:w="4003" w:type="dxa"/>
          </w:tcPr>
          <w:p>
            <w:pPr>
              <w:pStyle w:val="TableParagraph"/>
              <w:spacing w:line="225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What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 main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source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drinking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water?</w:t>
            </w:r>
          </w:p>
        </w:tc>
        <w:tc>
          <w:tcPr>
            <w:tcW w:w="1800" w:type="dxa"/>
          </w:tcPr>
          <w:p>
            <w:pPr>
              <w:pStyle w:val="TableParagraph"/>
              <w:spacing w:line="225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None;</w:t>
            </w:r>
          </w:p>
        </w:tc>
        <w:tc>
          <w:tcPr>
            <w:tcW w:w="5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187"/>
          <w:pgSz w:w="15840" w:h="12240" w:orient="landscape"/>
          <w:pgMar w:footer="935" w:header="0" w:top="1140" w:bottom="1120" w:left="1340" w:right="122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4003"/>
        <w:gridCol w:w="1800"/>
        <w:gridCol w:w="5491"/>
      </w:tblGrid>
      <w:tr>
        <w:trPr>
          <w:trHeight w:val="690" w:hRule="atLeast"/>
        </w:trPr>
        <w:tc>
          <w:tcPr>
            <w:tcW w:w="1752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003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23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2=if</w:t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Pipe-</w:t>
            </w:r>
            <w:r>
              <w:rPr>
                <w:rFonts w:ascii="Times New Roman"/>
                <w:spacing w:val="8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Borne;</w:t>
            </w:r>
          </w:p>
          <w:p>
            <w:pPr>
              <w:pStyle w:val="TableParagraph"/>
              <w:spacing w:line="230" w:lineRule="atLeast"/>
              <w:ind w:left="108" w:right="9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3=if</w:t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Borehole/Well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4=if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River/Spring</w:t>
            </w:r>
          </w:p>
        </w:tc>
        <w:tc>
          <w:tcPr>
            <w:tcW w:w="5491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688" w:hRule="atLeast"/>
        </w:trPr>
        <w:tc>
          <w:tcPr>
            <w:tcW w:w="1752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*Toilet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facility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What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kind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toilet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facility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does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your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use?</w:t>
            </w:r>
          </w:p>
        </w:tc>
        <w:tc>
          <w:tcPr>
            <w:tcW w:w="1800" w:type="dxa"/>
          </w:tcPr>
          <w:p>
            <w:pPr>
              <w:pStyle w:val="TableParagraph"/>
              <w:spacing w:line="223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None;</w:t>
            </w:r>
          </w:p>
          <w:p>
            <w:pPr>
              <w:pStyle w:val="TableParagraph"/>
              <w:spacing w:line="228" w:lineRule="exact"/>
              <w:ind w:left="108" w:right="1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2=if Water-Toilet;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3=if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Latrine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Pit</w:t>
            </w:r>
          </w:p>
        </w:tc>
        <w:tc>
          <w:tcPr>
            <w:tcW w:w="5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3046" w:type="dxa"/>
            <w:gridSpan w:val="4"/>
          </w:tcPr>
          <w:p>
            <w:pPr>
              <w:pStyle w:val="TableParagraph"/>
              <w:spacing w:line="234" w:lineRule="exact"/>
              <w:ind w:left="3174" w:right="317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Behavioral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or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Health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Lifestyle</w:t>
            </w:r>
          </w:p>
        </w:tc>
      </w:tr>
      <w:tr>
        <w:trPr>
          <w:trHeight w:val="736" w:hRule="atLeast"/>
        </w:trPr>
        <w:tc>
          <w:tcPr>
            <w:tcW w:w="1752" w:type="dxa"/>
          </w:tcPr>
          <w:p>
            <w:pPr>
              <w:pStyle w:val="TableParagraph"/>
              <w:ind w:left="107" w:right="97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Alcoholic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drinks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hard-drug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consumption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100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days,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members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consume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alcoholic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drinks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and/or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hard-drug?</w:t>
            </w:r>
          </w:p>
        </w:tc>
        <w:tc>
          <w:tcPr>
            <w:tcW w:w="1800" w:type="dxa"/>
          </w:tcPr>
          <w:p>
            <w:pPr>
              <w:pStyle w:val="TableParagraph"/>
              <w:ind w:left="108" w:right="92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1=if </w:t>
            </w:r>
            <w:r>
              <w:rPr>
                <w:rFonts w:ascii="Times New Roman"/>
                <w:sz w:val="20"/>
              </w:rPr>
              <w:t>Yes,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491" w:type="dxa"/>
          </w:tcPr>
          <w:p>
            <w:pPr>
              <w:pStyle w:val="TableParagraph"/>
              <w:ind w:left="109" w:right="98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Citizens with low incomes may likely adopt behaviors/lifestyles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like alcohol or hard-drug consumption that can cause chronic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illness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(Cerda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et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al.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2011).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could lead illnesses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apriorily.</w:t>
            </w:r>
          </w:p>
        </w:tc>
      </w:tr>
      <w:tr>
        <w:trPr>
          <w:trHeight w:val="251" w:hRule="atLeast"/>
        </w:trPr>
        <w:tc>
          <w:tcPr>
            <w:tcW w:w="13046" w:type="dxa"/>
            <w:gridSpan w:val="4"/>
          </w:tcPr>
          <w:p>
            <w:pPr>
              <w:pStyle w:val="TableParagraph"/>
              <w:spacing w:line="232" w:lineRule="exact"/>
              <w:ind w:left="3174" w:right="31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Health-Seeking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Behavior</w:t>
            </w:r>
          </w:p>
        </w:tc>
      </w:tr>
      <w:tr>
        <w:trPr>
          <w:trHeight w:val="736" w:hRule="atLeast"/>
        </w:trPr>
        <w:tc>
          <w:tcPr>
            <w:tcW w:w="1752" w:type="dxa"/>
          </w:tcPr>
          <w:p>
            <w:pPr>
              <w:pStyle w:val="TableParagraph"/>
              <w:ind w:left="107" w:right="58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Seeking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Orthodoxy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w w:val="95"/>
                <w:sz w:val="20"/>
              </w:rPr>
              <w:t>Medical-care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3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3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weeks</w:t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has</w:t>
            </w:r>
            <w:r>
              <w:rPr>
                <w:rFonts w:ascii="Times New Roman"/>
                <w:spacing w:val="3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your</w:t>
            </w:r>
            <w:r>
              <w:rPr>
                <w:rFonts w:ascii="Times New Roman"/>
                <w:spacing w:val="3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consulted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(orthodoxy)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 personnel?</w:t>
            </w:r>
          </w:p>
        </w:tc>
        <w:tc>
          <w:tcPr>
            <w:tcW w:w="1800" w:type="dxa"/>
          </w:tcPr>
          <w:p>
            <w:pPr>
              <w:pStyle w:val="TableParagraph"/>
              <w:ind w:left="108" w:right="92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1=if </w:t>
            </w:r>
            <w:r>
              <w:rPr>
                <w:rFonts w:ascii="Times New Roman"/>
                <w:sz w:val="20"/>
              </w:rPr>
              <w:t>Yes,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2=if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491" w:type="dxa"/>
          </w:tcPr>
          <w:p>
            <w:pPr>
              <w:pStyle w:val="TableParagraph"/>
              <w:ind w:left="109" w:right="102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could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influence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who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consult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what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healthcare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sought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Therefore,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consulting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right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healthcare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providers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will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reduce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illness.</w:t>
            </w:r>
          </w:p>
        </w:tc>
      </w:tr>
      <w:tr>
        <w:trPr>
          <w:trHeight w:val="253" w:hRule="atLeast"/>
        </w:trPr>
        <w:tc>
          <w:tcPr>
            <w:tcW w:w="13046" w:type="dxa"/>
            <w:gridSpan w:val="4"/>
          </w:tcPr>
          <w:p>
            <w:pPr>
              <w:pStyle w:val="TableParagraph"/>
              <w:spacing w:line="234" w:lineRule="exact"/>
              <w:ind w:left="3174" w:right="3167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Sources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of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Households’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Incomes</w:t>
            </w:r>
          </w:p>
        </w:tc>
      </w:tr>
      <w:tr>
        <w:trPr>
          <w:trHeight w:val="688" w:hRule="atLeast"/>
        </w:trPr>
        <w:tc>
          <w:tcPr>
            <w:tcW w:w="1752" w:type="dxa"/>
          </w:tcPr>
          <w:p>
            <w:pPr>
              <w:pStyle w:val="TableParagraph"/>
              <w:tabs>
                <w:tab w:pos="1132" w:val="left" w:leader="none"/>
              </w:tabs>
              <w:ind w:left="107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Wages</w:t>
              <w:tab/>
            </w:r>
            <w:r>
              <w:rPr>
                <w:rFonts w:ascii="Times New Roman"/>
                <w:spacing w:val="-1"/>
                <w:sz w:val="20"/>
              </w:rPr>
              <w:t>or/and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Salaries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9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days,</w:t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has</w:t>
            </w:r>
            <w:r>
              <w:rPr>
                <w:rFonts w:ascii="Times New Roman"/>
                <w:spacing w:val="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</w:t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worked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private/public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firms?</w:t>
            </w:r>
          </w:p>
        </w:tc>
        <w:tc>
          <w:tcPr>
            <w:tcW w:w="1800" w:type="dxa"/>
          </w:tcPr>
          <w:p>
            <w:pPr>
              <w:pStyle w:val="TableParagraph"/>
              <w:tabs>
                <w:tab w:pos="770" w:val="left" w:leader="none"/>
                <w:tab w:pos="1401" w:val="left" w:leader="none"/>
              </w:tabs>
              <w:ind w:left="108" w:right="9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1=for</w:t>
              <w:tab/>
              <w:t>wage</w:t>
              <w:tab/>
            </w:r>
            <w:r>
              <w:rPr>
                <w:rFonts w:ascii="Times New Roman"/>
                <w:spacing w:val="-2"/>
                <w:sz w:val="20"/>
              </w:rPr>
              <w:t>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salaries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dummy;</w:t>
            </w:r>
          </w:p>
          <w:p>
            <w:pPr>
              <w:pStyle w:val="TableParagraph"/>
              <w:spacing w:line="215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1" w:type="dxa"/>
            <w:vMerge w:val="restart"/>
          </w:tcPr>
          <w:p>
            <w:pPr>
              <w:pStyle w:val="TableParagraph"/>
              <w:ind w:left="109" w:right="97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In line with previous studies (for example, Nilsson and Bergh,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2012;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Kragten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and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Rozer,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2017),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these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components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of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households’</w:t>
            </w:r>
            <w:r>
              <w:rPr>
                <w:rFonts w:ascii="Times New Roman" w:hAnsi="Times New Roman"/>
                <w:spacing w:val="-4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income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(non-farm,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crop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and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livestock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farming,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agricultural,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transfer, and rental incomes) are expected to associates </w:t>
            </w:r>
            <w:r>
              <w:rPr>
                <w:rFonts w:ascii="Times New Roman" w:hAnsi="Times New Roman"/>
                <w:i/>
                <w:sz w:val="20"/>
              </w:rPr>
              <w:t>negatively</w:t>
            </w:r>
            <w:r>
              <w:rPr>
                <w:rFonts w:ascii="Times New Roman" w:hAnsi="Times New Roman"/>
                <w:i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with illness/sickness (poor health outcomes), as its influence the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social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comparison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and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social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cohesion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of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households.</w:t>
            </w:r>
          </w:p>
        </w:tc>
      </w:tr>
      <w:tr>
        <w:trPr>
          <w:trHeight w:val="921" w:hRule="atLeast"/>
        </w:trPr>
        <w:tc>
          <w:tcPr>
            <w:tcW w:w="1752" w:type="dxa"/>
          </w:tcPr>
          <w:p>
            <w:pPr>
              <w:pStyle w:val="TableParagraph"/>
              <w:tabs>
                <w:tab w:pos="1352" w:val="left" w:leader="none"/>
              </w:tabs>
              <w:ind w:left="107" w:right="10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Enterprises</w:t>
              <w:tab/>
            </w:r>
            <w:r>
              <w:rPr>
                <w:rFonts w:ascii="Times New Roman"/>
                <w:spacing w:val="-2"/>
                <w:sz w:val="20"/>
              </w:rPr>
              <w:t>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Trading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99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days,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worked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business/trade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belonging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someone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else?</w:t>
            </w:r>
          </w:p>
        </w:tc>
        <w:tc>
          <w:tcPr>
            <w:tcW w:w="1800" w:type="dxa"/>
          </w:tcPr>
          <w:p>
            <w:pPr>
              <w:pStyle w:val="TableParagraph"/>
              <w:tabs>
                <w:tab w:pos="770" w:val="left" w:leader="none"/>
              </w:tabs>
              <w:ind w:left="108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1=for</w:t>
              <w:tab/>
            </w:r>
            <w:r>
              <w:rPr>
                <w:rFonts w:ascii="Times New Roman"/>
                <w:spacing w:val="-1"/>
                <w:sz w:val="20"/>
              </w:rPr>
              <w:t>enterprises/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trading/business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dummies;</w:t>
            </w:r>
          </w:p>
          <w:p>
            <w:pPr>
              <w:pStyle w:val="TableParagraph"/>
              <w:spacing w:line="217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8" w:hRule="atLeast"/>
        </w:trPr>
        <w:tc>
          <w:tcPr>
            <w:tcW w:w="1752" w:type="dxa"/>
          </w:tcPr>
          <w:p>
            <w:pPr>
              <w:pStyle w:val="TableParagraph"/>
              <w:ind w:left="107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Crop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livestock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farming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3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has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</w:t>
            </w:r>
            <w:r>
              <w:rPr>
                <w:rFonts w:ascii="Times New Roman"/>
                <w:spacing w:val="3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worked</w:t>
            </w:r>
            <w:r>
              <w:rPr>
                <w:rFonts w:ascii="Times New Roman"/>
                <w:spacing w:val="3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on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farm</w:t>
            </w:r>
            <w:r>
              <w:rPr>
                <w:rFonts w:ascii="Times New Roman"/>
                <w:spacing w:val="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owned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  rented  by</w:t>
            </w:r>
            <w:r>
              <w:rPr>
                <w:rFonts w:ascii="Times New Roman"/>
                <w:spacing w:val="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member</w:t>
            </w:r>
            <w:r>
              <w:rPr>
                <w:rFonts w:ascii="Times New Roman"/>
                <w:spacing w:val="4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</w:t>
            </w:r>
          </w:p>
          <w:p>
            <w:pPr>
              <w:pStyle w:val="TableParagraph"/>
              <w:spacing w:line="228" w:lineRule="exact"/>
              <w:ind w:left="108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household,</w:t>
            </w:r>
            <w:r>
              <w:rPr>
                <w:rFonts w:ascii="Times New Roman"/>
                <w:spacing w:val="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either</w:t>
            </w:r>
            <w:r>
              <w:rPr>
                <w:rFonts w:ascii="Times New Roman"/>
                <w:spacing w:val="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cultivating</w:t>
            </w:r>
            <w:r>
              <w:rPr>
                <w:rFonts w:ascii="Times New Roman"/>
                <w:spacing w:val="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crops</w:t>
            </w:r>
            <w:r>
              <w:rPr>
                <w:rFonts w:ascii="Times New Roman"/>
                <w:spacing w:val="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cared for livestock?</w:t>
            </w:r>
          </w:p>
        </w:tc>
        <w:tc>
          <w:tcPr>
            <w:tcW w:w="1800" w:type="dxa"/>
          </w:tcPr>
          <w:p>
            <w:pPr>
              <w:pStyle w:val="TableParagraph"/>
              <w:tabs>
                <w:tab w:pos="770" w:val="left" w:leader="none"/>
              </w:tabs>
              <w:ind w:left="108" w:right="9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1=for</w:t>
              <w:tab/>
            </w:r>
            <w:r>
              <w:rPr>
                <w:rFonts w:ascii="Times New Roman"/>
                <w:spacing w:val="-1"/>
                <w:sz w:val="20"/>
              </w:rPr>
              <w:t>agricultural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dummy;</w:t>
            </w:r>
          </w:p>
          <w:p>
            <w:pPr>
              <w:pStyle w:val="TableParagraph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1" w:hRule="atLeast"/>
        </w:trPr>
        <w:tc>
          <w:tcPr>
            <w:tcW w:w="1752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Remittances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8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Does any member of this household receive in-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kind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payment/allowance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apart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salary?</w:t>
            </w:r>
          </w:p>
        </w:tc>
        <w:tc>
          <w:tcPr>
            <w:tcW w:w="1800" w:type="dxa"/>
          </w:tcPr>
          <w:p>
            <w:pPr>
              <w:pStyle w:val="TableParagraph"/>
              <w:ind w:left="108" w:right="1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1=In-kind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payment/allowance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dummy,</w:t>
            </w:r>
          </w:p>
          <w:p>
            <w:pPr>
              <w:pStyle w:val="TableParagraph"/>
              <w:spacing w:line="217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9" w:hRule="atLeast"/>
        </w:trPr>
        <w:tc>
          <w:tcPr>
            <w:tcW w:w="1752" w:type="dxa"/>
          </w:tcPr>
          <w:p>
            <w:pPr>
              <w:pStyle w:val="TableParagraph"/>
              <w:ind w:left="107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Monetary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gift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Assistance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9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Did</w:t>
            </w:r>
            <w:r>
              <w:rPr>
                <w:rFonts w:ascii="Times New Roman"/>
                <w:spacing w:val="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</w:t>
            </w:r>
            <w:r>
              <w:rPr>
                <w:rFonts w:ascii="Times New Roman"/>
                <w:spacing w:val="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receive</w:t>
            </w:r>
            <w:r>
              <w:rPr>
                <w:rFonts w:ascii="Times New Roman"/>
                <w:spacing w:val="1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gift</w:t>
            </w:r>
            <w:r>
              <w:rPr>
                <w:rFonts w:ascii="Times New Roman"/>
                <w:spacing w:val="1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monetary</w:t>
            </w:r>
            <w:r>
              <w:rPr>
                <w:rFonts w:ascii="Times New Roman"/>
                <w:spacing w:val="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abroad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 past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12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months?</w:t>
            </w:r>
          </w:p>
        </w:tc>
        <w:tc>
          <w:tcPr>
            <w:tcW w:w="1800" w:type="dxa"/>
          </w:tcPr>
          <w:p>
            <w:pPr>
              <w:pStyle w:val="TableParagraph"/>
              <w:ind w:left="108" w:right="32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1=monetary </w:t>
            </w:r>
            <w:r>
              <w:rPr>
                <w:rFonts w:ascii="Times New Roman"/>
                <w:sz w:val="20"/>
              </w:rPr>
              <w:t>gift,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1752" w:type="dxa"/>
          </w:tcPr>
          <w:p>
            <w:pPr>
              <w:pStyle w:val="TableParagraph"/>
              <w:tabs>
                <w:tab w:pos="1352" w:val="left" w:leader="none"/>
              </w:tabs>
              <w:ind w:left="107" w:right="10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Pensions,</w:t>
              <w:tab/>
            </w:r>
            <w:r>
              <w:rPr>
                <w:rFonts w:ascii="Times New Roman"/>
                <w:spacing w:val="-2"/>
                <w:sz w:val="20"/>
              </w:rPr>
              <w:t>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Grants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Did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receive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regular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payment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(like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pension)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 past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12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months?</w:t>
            </w:r>
          </w:p>
        </w:tc>
        <w:tc>
          <w:tcPr>
            <w:tcW w:w="1800" w:type="dxa"/>
          </w:tcPr>
          <w:p>
            <w:pPr>
              <w:pStyle w:val="TableParagraph"/>
              <w:spacing w:line="223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1=pension,</w:t>
            </w:r>
          </w:p>
          <w:p>
            <w:pPr>
              <w:pStyle w:val="TableParagraph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1752" w:type="dxa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  <w:u w:val="single"/>
              </w:rPr>
              <w:t>Rental</w:t>
            </w:r>
            <w:r>
              <w:rPr>
                <w:rFonts w:ascii="Times New Roman"/>
                <w:b/>
                <w:i/>
                <w:spacing w:val="-2"/>
                <w:sz w:val="20"/>
                <w:u w:val="single"/>
              </w:rPr>
              <w:t> </w:t>
            </w:r>
            <w:r>
              <w:rPr>
                <w:rFonts w:ascii="Times New Roman"/>
                <w:b/>
                <w:i/>
                <w:sz w:val="20"/>
                <w:u w:val="single"/>
              </w:rPr>
              <w:t>Incomes:</w:t>
            </w:r>
          </w:p>
          <w:p>
            <w:pPr>
              <w:pStyle w:val="TableParagraph"/>
              <w:tabs>
                <w:tab w:pos="1254" w:val="left" w:leader="none"/>
              </w:tabs>
              <w:spacing w:line="228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Dividend</w:t>
              <w:tab/>
              <w:t>from</w:t>
            </w:r>
          </w:p>
          <w:p>
            <w:pPr>
              <w:pStyle w:val="TableParagraph"/>
              <w:tabs>
                <w:tab w:pos="1352" w:val="left" w:leader="none"/>
              </w:tabs>
              <w:spacing w:line="217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investment,</w:t>
              <w:tab/>
              <w:t>and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9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Did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any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member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receive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investment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12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months?</w:t>
            </w:r>
          </w:p>
        </w:tc>
        <w:tc>
          <w:tcPr>
            <w:tcW w:w="1800" w:type="dxa"/>
          </w:tcPr>
          <w:p>
            <w:pPr>
              <w:pStyle w:val="TableParagraph"/>
              <w:ind w:left="108" w:right="9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1=savings,</w:t>
            </w:r>
            <w:r>
              <w:rPr>
                <w:rFonts w:ascii="Times New Roman"/>
                <w:spacing w:val="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interest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investment</w:t>
            </w:r>
          </w:p>
          <w:p>
            <w:pPr>
              <w:pStyle w:val="TableParagraph"/>
              <w:spacing w:line="217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income,</w:t>
            </w:r>
          </w:p>
        </w:tc>
        <w:tc>
          <w:tcPr>
            <w:tcW w:w="5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header="0" w:footer="935" w:top="1140" w:bottom="1120" w:left="1340" w:right="122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4003"/>
        <w:gridCol w:w="1800"/>
        <w:gridCol w:w="5491"/>
      </w:tblGrid>
      <w:tr>
        <w:trPr>
          <w:trHeight w:val="460" w:hRule="atLeast"/>
        </w:trPr>
        <w:tc>
          <w:tcPr>
            <w:tcW w:w="1752" w:type="dxa"/>
          </w:tcPr>
          <w:p>
            <w:pPr>
              <w:pStyle w:val="TableParagraph"/>
              <w:tabs>
                <w:tab w:pos="1254" w:val="left" w:leader="none"/>
              </w:tabs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  <w:tab/>
              <w:t>from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savings</w:t>
            </w:r>
          </w:p>
        </w:tc>
        <w:tc>
          <w:tcPr>
            <w:tcW w:w="4003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223" w:lineRule="exact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1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1149" w:hRule="atLeast"/>
        </w:trPr>
        <w:tc>
          <w:tcPr>
            <w:tcW w:w="1752" w:type="dxa"/>
          </w:tcPr>
          <w:p>
            <w:pPr>
              <w:pStyle w:val="TableParagraph"/>
              <w:tabs>
                <w:tab w:pos="1184" w:val="left" w:leader="none"/>
              </w:tabs>
              <w:ind w:left="107" w:right="96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ownership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(proxy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access</w:t>
            </w:r>
            <w:r>
              <w:rPr>
                <w:rFonts w:ascii="Times New Roman"/>
                <w:spacing w:val="5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formal</w:t>
              <w:tab/>
              <w:t>credit</w:t>
            </w:r>
          </w:p>
          <w:p>
            <w:pPr>
              <w:pStyle w:val="TableParagraph"/>
              <w:spacing w:line="216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market)</w:t>
            </w:r>
          </w:p>
        </w:tc>
        <w:tc>
          <w:tcPr>
            <w:tcW w:w="4003" w:type="dxa"/>
          </w:tcPr>
          <w:p>
            <w:pPr>
              <w:pStyle w:val="TableParagraph"/>
              <w:ind w:left="108" w:right="9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Did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any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member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of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your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household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receive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any</w:t>
            </w:r>
            <w:r>
              <w:rPr>
                <w:rFonts w:ascii="Times New Roman" w:hAnsi="Times New Roman"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rental’s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income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from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property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last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year?</w:t>
            </w:r>
          </w:p>
        </w:tc>
        <w:tc>
          <w:tcPr>
            <w:tcW w:w="1800" w:type="dxa"/>
          </w:tcPr>
          <w:p>
            <w:pPr>
              <w:pStyle w:val="TableParagraph"/>
              <w:ind w:left="108" w:right="9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1=having</w:t>
            </w:r>
            <w:r>
              <w:rPr>
                <w:rFonts w:ascii="Times New Roman"/>
                <w:spacing w:val="3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</w:t>
            </w:r>
            <w:r>
              <w:rPr>
                <w:rFonts w:ascii="Times New Roman"/>
                <w:spacing w:val="3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receiving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rent,</w:t>
            </w:r>
          </w:p>
          <w:p>
            <w:pPr>
              <w:pStyle w:val="TableParagraph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3046" w:type="dxa"/>
            <w:gridSpan w:val="4"/>
          </w:tcPr>
          <w:p>
            <w:pPr>
              <w:pStyle w:val="TableParagraph"/>
              <w:spacing w:line="234" w:lineRule="exact"/>
              <w:ind w:left="3174" w:right="316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Income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Inequality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(Gini-Coefficient)</w:t>
            </w:r>
          </w:p>
        </w:tc>
      </w:tr>
      <w:tr>
        <w:trPr>
          <w:trHeight w:val="799" w:hRule="atLeast"/>
        </w:trPr>
        <w:tc>
          <w:tcPr>
            <w:tcW w:w="1752" w:type="dxa"/>
          </w:tcPr>
          <w:p>
            <w:pPr>
              <w:pStyle w:val="TableParagraph"/>
              <w:ind w:left="107" w:right="11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Household’s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Income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Disparities</w:t>
            </w:r>
          </w:p>
        </w:tc>
        <w:tc>
          <w:tcPr>
            <w:tcW w:w="11294" w:type="dxa"/>
            <w:gridSpan w:val="3"/>
          </w:tcPr>
          <w:p>
            <w:pPr>
              <w:pStyle w:val="TableParagraph"/>
              <w:ind w:left="108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Oyekale (2006:25) calculated Gini-coefficient index for Nigeria from 18,977 households. Isah (2011) estimated Gini and Theil indices for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Kaduna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State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600 individuals.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While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Aigbokhan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(2017)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calculated Gini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 Theil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Nigeria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5,000 households.</w:t>
            </w:r>
          </w:p>
        </w:tc>
      </w:tr>
    </w:tbl>
    <w:p>
      <w:pPr>
        <w:spacing w:line="247" w:lineRule="exact" w:before="0"/>
        <w:ind w:left="100" w:right="0" w:firstLine="0"/>
        <w:jc w:val="left"/>
        <w:rPr>
          <w:i/>
          <w:sz w:val="22"/>
        </w:rPr>
      </w:pPr>
      <w:r>
        <w:rPr>
          <w:i/>
          <w:sz w:val="22"/>
        </w:rPr>
        <w:t>Source: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Compiled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NGHPS questionnaires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 various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Waves (see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NBS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2013,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2016, 2017)</w:t>
      </w: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20"/>
        </w:rPr>
      </w:pPr>
    </w:p>
    <w:p>
      <w:pPr>
        <w:spacing w:before="1" w:after="5"/>
        <w:ind w:left="2558" w:right="2681" w:firstLine="0"/>
        <w:jc w:val="center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C2:</w:t>
      </w:r>
      <w:r>
        <w:rPr>
          <w:spacing w:val="-2"/>
          <w:sz w:val="22"/>
        </w:rPr>
        <w:t> </w:t>
      </w:r>
      <w:r>
        <w:rPr>
          <w:sz w:val="22"/>
        </w:rPr>
        <w:t>DESCRIPTION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VARIABLES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APRIORI</w:t>
      </w:r>
      <w:r>
        <w:rPr>
          <w:spacing w:val="-5"/>
          <w:sz w:val="22"/>
        </w:rPr>
        <w:t> </w:t>
      </w:r>
      <w:r>
        <w:rPr>
          <w:sz w:val="22"/>
        </w:rPr>
        <w:t>EXPECTATIONS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6"/>
        <w:gridCol w:w="3601"/>
        <w:gridCol w:w="2161"/>
        <w:gridCol w:w="5492"/>
      </w:tblGrid>
      <w:tr>
        <w:trPr>
          <w:trHeight w:val="230" w:hRule="atLeast"/>
        </w:trPr>
        <w:tc>
          <w:tcPr>
            <w:tcW w:w="13050" w:type="dxa"/>
            <w:gridSpan w:val="4"/>
          </w:tcPr>
          <w:p>
            <w:pPr>
              <w:pStyle w:val="TableParagraph"/>
              <w:spacing w:line="210" w:lineRule="exact"/>
              <w:ind w:left="3459" w:right="345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VARIABLES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AND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DESCRIPTIONS:</w:t>
            </w:r>
          </w:p>
        </w:tc>
      </w:tr>
      <w:tr>
        <w:trPr>
          <w:trHeight w:val="230" w:hRule="atLeast"/>
        </w:trPr>
        <w:tc>
          <w:tcPr>
            <w:tcW w:w="13050" w:type="dxa"/>
            <w:gridSpan w:val="4"/>
          </w:tcPr>
          <w:p>
            <w:pPr>
              <w:pStyle w:val="TableParagraph"/>
              <w:spacing w:line="210" w:lineRule="exact"/>
              <w:ind w:left="3459" w:right="345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DEPENDENT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VARIABLE: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Household’s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Health-Seeking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Behaviour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(HSB)</w:t>
            </w:r>
          </w:p>
        </w:tc>
      </w:tr>
      <w:tr>
        <w:trPr>
          <w:trHeight w:val="230" w:hRule="atLeast"/>
        </w:trPr>
        <w:tc>
          <w:tcPr>
            <w:tcW w:w="1796" w:type="dxa"/>
          </w:tcPr>
          <w:p>
            <w:pPr>
              <w:pStyle w:val="TableParagraph"/>
              <w:spacing w:line="210" w:lineRule="exact"/>
              <w:ind w:left="525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Variable</w:t>
            </w:r>
          </w:p>
        </w:tc>
        <w:tc>
          <w:tcPr>
            <w:tcW w:w="3601" w:type="dxa"/>
          </w:tcPr>
          <w:p>
            <w:pPr>
              <w:pStyle w:val="TableParagraph"/>
              <w:spacing w:line="210" w:lineRule="exact"/>
              <w:ind w:right="129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Description</w:t>
            </w:r>
          </w:p>
        </w:tc>
        <w:tc>
          <w:tcPr>
            <w:tcW w:w="2161" w:type="dxa"/>
          </w:tcPr>
          <w:p>
            <w:pPr>
              <w:pStyle w:val="TableParagraph"/>
              <w:spacing w:line="210" w:lineRule="exact"/>
              <w:ind w:right="64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Definition</w:t>
            </w:r>
          </w:p>
        </w:tc>
        <w:tc>
          <w:tcPr>
            <w:tcW w:w="5492" w:type="dxa"/>
          </w:tcPr>
          <w:p>
            <w:pPr>
              <w:pStyle w:val="TableParagraph"/>
              <w:spacing w:line="210" w:lineRule="exact"/>
              <w:ind w:left="106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Justification</w:t>
            </w:r>
          </w:p>
        </w:tc>
      </w:tr>
      <w:tr>
        <w:trPr>
          <w:trHeight w:val="936" w:hRule="atLeast"/>
        </w:trPr>
        <w:tc>
          <w:tcPr>
            <w:tcW w:w="1796" w:type="dxa"/>
          </w:tcPr>
          <w:p>
            <w:pPr>
              <w:pStyle w:val="TableParagraph"/>
              <w:spacing w:line="235" w:lineRule="auto" w:before="1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Health-Seeking</w:t>
            </w:r>
            <w:r>
              <w:rPr>
                <w:rFonts w:ascii="Times New Roman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Behavior</w:t>
            </w:r>
            <w:r>
              <w:rPr>
                <w:rFonts w:ascii="Times New Roman"/>
                <w:sz w:val="20"/>
              </w:rPr>
              <w:t>:</w:t>
            </w:r>
          </w:p>
          <w:p>
            <w:pPr>
              <w:pStyle w:val="TableParagraph"/>
              <w:spacing w:before="2"/>
              <w:ind w:left="107" w:right="51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*Medical-care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Consultation</w:t>
            </w:r>
          </w:p>
        </w:tc>
        <w:tc>
          <w:tcPr>
            <w:tcW w:w="3601" w:type="dxa"/>
          </w:tcPr>
          <w:p>
            <w:pPr>
              <w:pStyle w:val="TableParagraph"/>
              <w:ind w:left="107" w:right="98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four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weeks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have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consulted a health workers or traditional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healer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patent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medicine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vendor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visited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 Centre?</w:t>
            </w:r>
          </w:p>
        </w:tc>
        <w:tc>
          <w:tcPr>
            <w:tcW w:w="2161" w:type="dxa"/>
          </w:tcPr>
          <w:p>
            <w:pPr>
              <w:pStyle w:val="TableParagraph"/>
              <w:ind w:left="714" w:right="504" w:hanging="2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Yes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 = if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492" w:type="dxa"/>
          </w:tcPr>
          <w:p>
            <w:pPr>
              <w:pStyle w:val="TableParagraph"/>
              <w:ind w:left="106" w:right="105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Any action (healthcare consultation and from whom?) undertake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by individuals who perceive themselves to have health problems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or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be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ill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for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purpose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finding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appropriate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remedy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(Evans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et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al.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2017;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Novignon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et al.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2017)</w:t>
            </w:r>
          </w:p>
        </w:tc>
      </w:tr>
      <w:tr>
        <w:trPr>
          <w:trHeight w:val="230" w:hRule="atLeast"/>
        </w:trPr>
        <w:tc>
          <w:tcPr>
            <w:tcW w:w="13050" w:type="dxa"/>
            <w:gridSpan w:val="4"/>
          </w:tcPr>
          <w:p>
            <w:pPr>
              <w:pStyle w:val="TableParagraph"/>
              <w:spacing w:line="210" w:lineRule="exact"/>
              <w:ind w:left="3459" w:right="345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EXPLANATORY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VARIABLES</w:t>
            </w:r>
          </w:p>
        </w:tc>
      </w:tr>
      <w:tr>
        <w:trPr>
          <w:trHeight w:val="229" w:hRule="atLeast"/>
        </w:trPr>
        <w:tc>
          <w:tcPr>
            <w:tcW w:w="1796" w:type="dxa"/>
          </w:tcPr>
          <w:p>
            <w:pPr>
              <w:pStyle w:val="TableParagraph"/>
              <w:spacing w:line="210" w:lineRule="exact"/>
              <w:ind w:left="542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Variable</w:t>
            </w:r>
          </w:p>
        </w:tc>
        <w:tc>
          <w:tcPr>
            <w:tcW w:w="3601" w:type="dxa"/>
          </w:tcPr>
          <w:p>
            <w:pPr>
              <w:pStyle w:val="TableParagraph"/>
              <w:spacing w:line="210" w:lineRule="exact"/>
              <w:ind w:right="1314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Description</w:t>
            </w:r>
          </w:p>
        </w:tc>
        <w:tc>
          <w:tcPr>
            <w:tcW w:w="2161" w:type="dxa"/>
          </w:tcPr>
          <w:p>
            <w:pPr>
              <w:pStyle w:val="TableParagraph"/>
              <w:spacing w:line="210" w:lineRule="exact"/>
              <w:ind w:right="650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Definition</w:t>
            </w:r>
          </w:p>
        </w:tc>
        <w:tc>
          <w:tcPr>
            <w:tcW w:w="5492" w:type="dxa"/>
          </w:tcPr>
          <w:p>
            <w:pPr>
              <w:pStyle w:val="TableParagraph"/>
              <w:spacing w:line="210" w:lineRule="exact"/>
              <w:ind w:left="1903" w:right="1901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</w:rPr>
              <w:t>Apriori</w:t>
            </w:r>
            <w:r>
              <w:rPr>
                <w:rFonts w:ascii="Times New Roman"/>
                <w:b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i/>
                <w:sz w:val="20"/>
              </w:rPr>
              <w:t>Expectation</w:t>
            </w:r>
          </w:p>
        </w:tc>
      </w:tr>
      <w:tr>
        <w:trPr>
          <w:trHeight w:val="230" w:hRule="atLeast"/>
        </w:trPr>
        <w:tc>
          <w:tcPr>
            <w:tcW w:w="13050" w:type="dxa"/>
            <w:gridSpan w:val="4"/>
          </w:tcPr>
          <w:p>
            <w:pPr>
              <w:pStyle w:val="TableParagraph"/>
              <w:spacing w:line="210" w:lineRule="exact"/>
              <w:ind w:left="3459" w:right="345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Family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Size</w:t>
            </w:r>
          </w:p>
        </w:tc>
      </w:tr>
      <w:tr>
        <w:trPr>
          <w:trHeight w:val="918" w:hRule="atLeast"/>
        </w:trPr>
        <w:tc>
          <w:tcPr>
            <w:tcW w:w="1796" w:type="dxa"/>
          </w:tcPr>
          <w:p>
            <w:pPr>
              <w:pStyle w:val="TableParagraph"/>
              <w:spacing w:line="228" w:lineRule="exact"/>
              <w:ind w:left="173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Household’s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Size</w:t>
            </w:r>
          </w:p>
        </w:tc>
        <w:tc>
          <w:tcPr>
            <w:tcW w:w="3601" w:type="dxa"/>
          </w:tcPr>
          <w:p>
            <w:pPr>
              <w:pStyle w:val="TableParagraph"/>
              <w:ind w:left="107" w:right="9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Number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members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who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normally live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 eat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together in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households.</w:t>
            </w:r>
          </w:p>
        </w:tc>
        <w:tc>
          <w:tcPr>
            <w:tcW w:w="2161" w:type="dxa"/>
          </w:tcPr>
          <w:p>
            <w:pPr>
              <w:pStyle w:val="TableParagraph"/>
              <w:spacing w:line="223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Numeric</w:t>
            </w:r>
          </w:p>
        </w:tc>
        <w:tc>
          <w:tcPr>
            <w:tcW w:w="5492" w:type="dxa"/>
          </w:tcPr>
          <w:p>
            <w:pPr>
              <w:pStyle w:val="TableParagraph"/>
              <w:ind w:left="106" w:right="99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 accordance with Senbeto </w:t>
            </w:r>
            <w:r>
              <w:rPr>
                <w:rFonts w:ascii="Times New Roman"/>
                <w:i/>
                <w:sz w:val="20"/>
              </w:rPr>
              <w:t>et al. </w:t>
            </w:r>
            <w:r>
              <w:rPr>
                <w:rFonts w:ascii="Times New Roman"/>
                <w:sz w:val="20"/>
              </w:rPr>
              <w:t>(2013) and Huang </w:t>
            </w:r>
            <w:r>
              <w:rPr>
                <w:rFonts w:ascii="Times New Roman"/>
                <w:i/>
                <w:sz w:val="20"/>
              </w:rPr>
              <w:t>et al. </w:t>
            </w:r>
            <w:r>
              <w:rPr>
                <w:rFonts w:ascii="Times New Roman"/>
                <w:sz w:val="20"/>
              </w:rPr>
              <w:t>(2017),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 study expects the households with larger family size living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together</w:t>
            </w:r>
            <w:r>
              <w:rPr>
                <w:rFonts w:ascii="Times New Roman"/>
                <w:spacing w:val="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likely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demonstrate</w:t>
            </w:r>
            <w:r>
              <w:rPr>
                <w:rFonts w:ascii="Times New Roman"/>
                <w:spacing w:val="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inappropriate</w:t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health-seeking</w:t>
            </w:r>
          </w:p>
          <w:p>
            <w:pPr>
              <w:pStyle w:val="TableParagraph"/>
              <w:spacing w:line="216" w:lineRule="exact"/>
              <w:ind w:left="106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behaviour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than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households with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smaller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size.</w:t>
            </w:r>
          </w:p>
        </w:tc>
      </w:tr>
      <w:tr>
        <w:trPr>
          <w:trHeight w:val="253" w:hRule="atLeast"/>
        </w:trPr>
        <w:tc>
          <w:tcPr>
            <w:tcW w:w="13050" w:type="dxa"/>
            <w:gridSpan w:val="4"/>
          </w:tcPr>
          <w:p>
            <w:pPr>
              <w:pStyle w:val="TableParagraph"/>
              <w:spacing w:line="234" w:lineRule="exact"/>
              <w:ind w:left="3459" w:right="3457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Household’s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Head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Educational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Level</w:t>
            </w:r>
          </w:p>
        </w:tc>
      </w:tr>
      <w:tr>
        <w:trPr>
          <w:trHeight w:val="919" w:hRule="atLeast"/>
        </w:trPr>
        <w:tc>
          <w:tcPr>
            <w:tcW w:w="1796" w:type="dxa"/>
          </w:tcPr>
          <w:p>
            <w:pPr>
              <w:pStyle w:val="TableParagraph"/>
              <w:spacing w:line="228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Literacy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Level</w:t>
            </w:r>
          </w:p>
        </w:tc>
        <w:tc>
          <w:tcPr>
            <w:tcW w:w="3601" w:type="dxa"/>
          </w:tcPr>
          <w:p>
            <w:pPr>
              <w:pStyle w:val="TableParagraph"/>
              <w:tabs>
                <w:tab w:pos="754" w:val="left" w:leader="none"/>
                <w:tab w:pos="1105" w:val="left" w:leader="none"/>
                <w:tab w:pos="1685" w:val="left" w:leader="none"/>
                <w:tab w:pos="2481" w:val="left" w:leader="none"/>
              </w:tabs>
              <w:ind w:left="107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What</w:t>
              <w:tab/>
              <w:t>is</w:t>
              <w:tab/>
              <w:t>your</w:t>
              <w:tab/>
              <w:t>highest</w:t>
              <w:tab/>
            </w:r>
            <w:r>
              <w:rPr>
                <w:rFonts w:ascii="Times New Roman"/>
                <w:spacing w:val="-1"/>
                <w:sz w:val="20"/>
              </w:rPr>
              <w:t>qualification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attained?</w:t>
            </w:r>
          </w:p>
        </w:tc>
        <w:tc>
          <w:tcPr>
            <w:tcW w:w="2161" w:type="dxa"/>
          </w:tcPr>
          <w:p>
            <w:pPr>
              <w:pStyle w:val="TableParagraph"/>
              <w:ind w:left="106" w:right="38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1=if None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2=Primary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Sch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Cert</w:t>
            </w:r>
          </w:p>
          <w:p>
            <w:pPr>
              <w:pStyle w:val="TableParagraph"/>
              <w:spacing w:line="228" w:lineRule="exact"/>
              <w:ind w:left="106" w:right="2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3=Secondary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Sch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Cert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4=if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Higher Degrees</w:t>
            </w:r>
          </w:p>
        </w:tc>
        <w:tc>
          <w:tcPr>
            <w:tcW w:w="5492" w:type="dxa"/>
          </w:tcPr>
          <w:p>
            <w:pPr>
              <w:pStyle w:val="TableParagraph"/>
              <w:ind w:left="106" w:right="10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Education</w:t>
            </w:r>
            <w:r>
              <w:rPr>
                <w:rFonts w:ascii="Times New Roman"/>
                <w:spacing w:val="4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4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key</w:t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4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appropriate</w:t>
            </w:r>
            <w:r>
              <w:rPr>
                <w:rFonts w:ascii="Times New Roman"/>
                <w:spacing w:val="4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HSB</w:t>
            </w:r>
            <w:r>
              <w:rPr>
                <w:rFonts w:ascii="Times New Roman"/>
                <w:spacing w:val="4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4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developing</w:t>
            </w:r>
            <w:r>
              <w:rPr>
                <w:rFonts w:ascii="Times New Roman"/>
                <w:spacing w:val="4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countries,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where</w:t>
            </w:r>
            <w:r>
              <w:rPr>
                <w:rFonts w:ascii="Times New Roman"/>
                <w:spacing w:val="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two</w:t>
            </w:r>
            <w:r>
              <w:rPr>
                <w:rFonts w:ascii="Times New Roman"/>
                <w:spacing w:val="1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are</w:t>
            </w:r>
            <w:r>
              <w:rPr>
                <w:rFonts w:ascii="Times New Roman"/>
                <w:spacing w:val="1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positively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related</w:t>
            </w:r>
            <w:r>
              <w:rPr>
                <w:rFonts w:ascii="Times New Roman"/>
                <w:spacing w:val="1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(Hopkins,</w:t>
            </w:r>
            <w:r>
              <w:rPr>
                <w:rFonts w:ascii="Times New Roman"/>
                <w:spacing w:val="1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2017).</w:t>
            </w:r>
            <w:r>
              <w:rPr>
                <w:rFonts w:ascii="Times New Roman"/>
                <w:spacing w:val="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Thus,</w:t>
            </w:r>
            <w:r>
              <w:rPr>
                <w:rFonts w:ascii="Times New Roman"/>
                <w:spacing w:val="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</w:t>
            </w:r>
          </w:p>
          <w:p>
            <w:pPr>
              <w:pStyle w:val="TableParagraph"/>
              <w:spacing w:line="228" w:lineRule="exact"/>
              <w:ind w:left="106" w:right="9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study</w:t>
            </w:r>
            <w:r>
              <w:rPr>
                <w:rFonts w:ascii="Times New Roman"/>
                <w:spacing w:val="3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also</w:t>
            </w:r>
            <w:r>
              <w:rPr>
                <w:rFonts w:ascii="Times New Roman"/>
                <w:spacing w:val="3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expects</w:t>
            </w:r>
            <w:r>
              <w:rPr>
                <w:rFonts w:ascii="Times New Roman"/>
                <w:spacing w:val="38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positive</w:t>
            </w:r>
            <w:r>
              <w:rPr>
                <w:rFonts w:ascii="Times New Roman"/>
                <w:i/>
                <w:spacing w:val="3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effects</w:t>
            </w:r>
            <w:r>
              <w:rPr>
                <w:rFonts w:ascii="Times New Roman"/>
                <w:spacing w:val="3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3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education</w:t>
            </w:r>
            <w:r>
              <w:rPr>
                <w:rFonts w:ascii="Times New Roman"/>
                <w:spacing w:val="3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on</w:t>
            </w:r>
            <w:r>
              <w:rPr>
                <w:rFonts w:ascii="Times New Roman"/>
                <w:spacing w:val="3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appropriate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HSB in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Nigeria.</w:t>
            </w:r>
          </w:p>
        </w:tc>
      </w:tr>
      <w:tr>
        <w:trPr>
          <w:trHeight w:val="253" w:hRule="atLeast"/>
        </w:trPr>
        <w:tc>
          <w:tcPr>
            <w:tcW w:w="13050" w:type="dxa"/>
            <w:gridSpan w:val="4"/>
          </w:tcPr>
          <w:p>
            <w:pPr>
              <w:pStyle w:val="TableParagraph"/>
              <w:spacing w:line="234" w:lineRule="exact"/>
              <w:ind w:left="3459" w:right="345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Household’s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Head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Gender</w:t>
            </w:r>
          </w:p>
        </w:tc>
      </w:tr>
      <w:tr>
        <w:trPr>
          <w:trHeight w:val="690" w:hRule="atLeast"/>
        </w:trPr>
        <w:tc>
          <w:tcPr>
            <w:tcW w:w="1796" w:type="dxa"/>
          </w:tcPr>
          <w:p>
            <w:pPr>
              <w:pStyle w:val="TableParagraph"/>
              <w:spacing w:line="228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Gender</w:t>
            </w:r>
          </w:p>
        </w:tc>
        <w:tc>
          <w:tcPr>
            <w:tcW w:w="3601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What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sex?</w:t>
            </w:r>
          </w:p>
        </w:tc>
        <w:tc>
          <w:tcPr>
            <w:tcW w:w="2161" w:type="dxa"/>
          </w:tcPr>
          <w:p>
            <w:pPr>
              <w:pStyle w:val="TableParagraph"/>
              <w:ind w:left="106" w:right="97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Male,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Female</w:t>
            </w:r>
          </w:p>
        </w:tc>
        <w:tc>
          <w:tcPr>
            <w:tcW w:w="5492" w:type="dxa"/>
          </w:tcPr>
          <w:p>
            <w:pPr>
              <w:pStyle w:val="TableParagraph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Evidence</w:t>
            </w:r>
            <w:r>
              <w:rPr>
                <w:rFonts w:ascii="Times New Roman"/>
                <w:spacing w:val="2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suggest</w:t>
            </w:r>
            <w:r>
              <w:rPr>
                <w:rFonts w:ascii="Times New Roman"/>
                <w:spacing w:val="2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that</w:t>
            </w:r>
            <w:r>
              <w:rPr>
                <w:rFonts w:ascii="Times New Roman"/>
                <w:spacing w:val="2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women</w:t>
            </w:r>
            <w:r>
              <w:rPr>
                <w:rFonts w:ascii="Times New Roman"/>
                <w:spacing w:val="2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seek</w:t>
            </w:r>
            <w:r>
              <w:rPr>
                <w:rFonts w:ascii="Times New Roman"/>
                <w:spacing w:val="2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more</w:t>
            </w:r>
            <w:r>
              <w:rPr>
                <w:rFonts w:ascii="Times New Roman"/>
                <w:spacing w:val="2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appropriate</w:t>
            </w:r>
            <w:r>
              <w:rPr>
                <w:rFonts w:ascii="Times New Roman"/>
                <w:spacing w:val="2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healthcare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than man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(see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Senbeto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et al. </w:t>
            </w:r>
            <w:r>
              <w:rPr>
                <w:rFonts w:ascii="Times New Roman"/>
                <w:sz w:val="20"/>
              </w:rPr>
              <w:t>2013;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 Matheson,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2014).</w:t>
            </w:r>
          </w:p>
        </w:tc>
      </w:tr>
    </w:tbl>
    <w:p>
      <w:pPr>
        <w:spacing w:after="0"/>
        <w:jc w:val="left"/>
        <w:rPr>
          <w:rFonts w:ascii="Times New Roman"/>
          <w:sz w:val="20"/>
        </w:rPr>
        <w:sectPr>
          <w:pgSz w:w="15840" w:h="12240" w:orient="landscape"/>
          <w:pgMar w:header="0" w:footer="935" w:top="1140" w:bottom="1120" w:left="1340" w:right="122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6"/>
        <w:gridCol w:w="3601"/>
        <w:gridCol w:w="2161"/>
        <w:gridCol w:w="5492"/>
      </w:tblGrid>
      <w:tr>
        <w:trPr>
          <w:trHeight w:val="254" w:hRule="atLeast"/>
        </w:trPr>
        <w:tc>
          <w:tcPr>
            <w:tcW w:w="13050" w:type="dxa"/>
            <w:gridSpan w:val="4"/>
          </w:tcPr>
          <w:p>
            <w:pPr>
              <w:pStyle w:val="TableParagraph"/>
              <w:spacing w:line="234" w:lineRule="exact"/>
              <w:ind w:left="3459" w:right="3454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Household’s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Head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Marital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Status</w:t>
            </w:r>
          </w:p>
        </w:tc>
      </w:tr>
      <w:tr>
        <w:trPr>
          <w:trHeight w:val="918" w:hRule="atLeast"/>
        </w:trPr>
        <w:tc>
          <w:tcPr>
            <w:tcW w:w="1796" w:type="dxa"/>
            <w:vMerge w:val="restart"/>
          </w:tcPr>
          <w:p>
            <w:pPr>
              <w:pStyle w:val="TableParagraph"/>
              <w:spacing w:line="228" w:lineRule="exact"/>
              <w:ind w:left="10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Marital</w:t>
            </w:r>
            <w:r>
              <w:rPr>
                <w:rFonts w:asci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Status</w:t>
            </w:r>
          </w:p>
        </w:tc>
        <w:tc>
          <w:tcPr>
            <w:tcW w:w="3601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What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your marital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status?</w:t>
            </w:r>
          </w:p>
        </w:tc>
        <w:tc>
          <w:tcPr>
            <w:tcW w:w="2161" w:type="dxa"/>
          </w:tcPr>
          <w:p>
            <w:pPr>
              <w:pStyle w:val="TableParagraph"/>
              <w:spacing w:line="223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 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Married</w:t>
            </w:r>
          </w:p>
          <w:p>
            <w:pPr>
              <w:pStyle w:val="TableParagraph"/>
              <w:ind w:left="106" w:right="4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Single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Parent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 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Widowed</w:t>
            </w:r>
          </w:p>
          <w:p>
            <w:pPr>
              <w:pStyle w:val="TableParagraph"/>
              <w:spacing w:line="215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Never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Married</w:t>
            </w:r>
          </w:p>
        </w:tc>
        <w:tc>
          <w:tcPr>
            <w:tcW w:w="5492" w:type="dxa"/>
            <w:vMerge w:val="restart"/>
          </w:tcPr>
          <w:p>
            <w:pPr>
              <w:pStyle w:val="TableParagraph"/>
              <w:ind w:left="106" w:right="100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Vespa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Painter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(2011)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opined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that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marriage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frequently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increase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use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healthcare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services.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suggest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that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married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will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seek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more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appropriate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 healthcare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than 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unmarried</w:t>
            </w:r>
          </w:p>
        </w:tc>
      </w:tr>
      <w:tr>
        <w:trPr>
          <w:trHeight w:val="460" w:hRule="atLeast"/>
        </w:trPr>
        <w:tc>
          <w:tcPr>
            <w:tcW w:w="1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spouse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live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household?</w:t>
            </w:r>
          </w:p>
        </w:tc>
        <w:tc>
          <w:tcPr>
            <w:tcW w:w="2161" w:type="dxa"/>
          </w:tcPr>
          <w:p>
            <w:pPr>
              <w:pStyle w:val="TableParagraph"/>
              <w:spacing w:line="223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 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Yes</w:t>
            </w:r>
          </w:p>
          <w:p>
            <w:pPr>
              <w:pStyle w:val="TableParagraph"/>
              <w:spacing w:line="217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 =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3050" w:type="dxa"/>
            <w:gridSpan w:val="4"/>
          </w:tcPr>
          <w:p>
            <w:pPr>
              <w:pStyle w:val="TableParagraph"/>
              <w:spacing w:line="232" w:lineRule="exact"/>
              <w:ind w:left="3459" w:right="3455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Household’s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Income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Sources</w:t>
            </w:r>
          </w:p>
        </w:tc>
      </w:tr>
      <w:tr>
        <w:trPr>
          <w:trHeight w:val="691" w:hRule="atLeast"/>
        </w:trPr>
        <w:tc>
          <w:tcPr>
            <w:tcW w:w="1796" w:type="dxa"/>
          </w:tcPr>
          <w:p>
            <w:pPr>
              <w:pStyle w:val="TableParagraph"/>
              <w:spacing w:line="227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  <w:u w:val="single"/>
              </w:rPr>
              <w:t>Non-farm</w:t>
            </w:r>
            <w:r>
              <w:rPr>
                <w:rFonts w:ascii="Times New Roman"/>
                <w:b/>
                <w:i/>
                <w:spacing w:val="-4"/>
                <w:sz w:val="20"/>
                <w:u w:val="single"/>
              </w:rPr>
              <w:t> </w:t>
            </w:r>
            <w:r>
              <w:rPr>
                <w:rFonts w:ascii="Times New Roman"/>
                <w:b/>
                <w:i/>
                <w:sz w:val="20"/>
                <w:u w:val="single"/>
              </w:rPr>
              <w:t>Income:</w:t>
            </w:r>
          </w:p>
          <w:p>
            <w:pPr>
              <w:pStyle w:val="TableParagraph"/>
              <w:spacing w:line="227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-Wage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Salaries</w:t>
            </w:r>
          </w:p>
        </w:tc>
        <w:tc>
          <w:tcPr>
            <w:tcW w:w="3601" w:type="dxa"/>
          </w:tcPr>
          <w:p>
            <w:pPr>
              <w:pStyle w:val="TableParagraph"/>
              <w:spacing w:line="237" w:lineRule="auto"/>
              <w:ind w:left="107" w:right="9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3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3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3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seven</w:t>
            </w:r>
            <w:r>
              <w:rPr>
                <w:rFonts w:ascii="Times New Roman"/>
                <w:spacing w:val="3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days,</w:t>
            </w:r>
            <w:r>
              <w:rPr>
                <w:rFonts w:ascii="Times New Roman"/>
                <w:spacing w:val="3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has</w:t>
            </w:r>
            <w:r>
              <w:rPr>
                <w:rFonts w:ascii="Times New Roman"/>
                <w:spacing w:val="3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worked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 any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paid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salary?</w:t>
            </w:r>
          </w:p>
        </w:tc>
        <w:tc>
          <w:tcPr>
            <w:tcW w:w="2161" w:type="dxa"/>
          </w:tcPr>
          <w:p>
            <w:pPr>
              <w:pStyle w:val="TableParagraph"/>
              <w:spacing w:line="237" w:lineRule="auto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=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for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wage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salaries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dummy;</w:t>
            </w:r>
          </w:p>
          <w:p>
            <w:pPr>
              <w:pStyle w:val="TableParagraph"/>
              <w:spacing w:line="217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2" w:type="dxa"/>
            <w:vMerge w:val="restart"/>
          </w:tcPr>
          <w:p>
            <w:pPr>
              <w:pStyle w:val="TableParagraph"/>
              <w:ind w:left="106" w:right="103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Evidence from recent studies including Novignon (2017), Huang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et al</w:t>
            </w:r>
            <w:r>
              <w:rPr>
                <w:rFonts w:ascii="Times New Roman"/>
                <w:sz w:val="20"/>
              </w:rPr>
              <w:t>. (2017), and Evans </w:t>
            </w:r>
            <w:r>
              <w:rPr>
                <w:rFonts w:ascii="Times New Roman"/>
                <w:i/>
                <w:sz w:val="20"/>
              </w:rPr>
              <w:t>et al. </w:t>
            </w:r>
            <w:r>
              <w:rPr>
                <w:rFonts w:ascii="Times New Roman"/>
                <w:sz w:val="20"/>
              </w:rPr>
              <w:t>(2017) observed that, in developing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countries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income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levels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citizens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often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predicts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their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HSB.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line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these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studies,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rising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inequality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are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expected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inversely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predict HSB.</w:t>
            </w:r>
          </w:p>
        </w:tc>
      </w:tr>
      <w:tr>
        <w:trPr>
          <w:trHeight w:val="921" w:hRule="atLeast"/>
        </w:trPr>
        <w:tc>
          <w:tcPr>
            <w:tcW w:w="1796" w:type="dxa"/>
          </w:tcPr>
          <w:p>
            <w:pPr>
              <w:pStyle w:val="TableParagraph"/>
              <w:tabs>
                <w:tab w:pos="1395" w:val="left" w:leader="none"/>
              </w:tabs>
              <w:ind w:left="107" w:right="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-Enterprises</w:t>
              <w:tab/>
            </w:r>
            <w:r>
              <w:rPr>
                <w:rFonts w:ascii="Times New Roman"/>
                <w:spacing w:val="-2"/>
                <w:sz w:val="20"/>
              </w:rPr>
              <w:t>and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Trading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</w:p>
        </w:tc>
        <w:tc>
          <w:tcPr>
            <w:tcW w:w="3601" w:type="dxa"/>
          </w:tcPr>
          <w:p>
            <w:pPr>
              <w:pStyle w:val="TableParagraph"/>
              <w:ind w:left="107" w:right="102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During the past 7 days, has you worked in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business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trade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belonging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you/someone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else?</w:t>
            </w:r>
          </w:p>
        </w:tc>
        <w:tc>
          <w:tcPr>
            <w:tcW w:w="2161" w:type="dxa"/>
          </w:tcPr>
          <w:p>
            <w:pPr>
              <w:pStyle w:val="TableParagraph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enterprises/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trading/business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dummies;</w:t>
            </w:r>
          </w:p>
          <w:p>
            <w:pPr>
              <w:pStyle w:val="TableParagraph"/>
              <w:spacing w:line="217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1796" w:type="dxa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  <w:u w:val="single"/>
              </w:rPr>
              <w:t>Farm</w:t>
            </w:r>
            <w:r>
              <w:rPr>
                <w:rFonts w:ascii="Times New Roman"/>
                <w:b/>
                <w:i/>
                <w:spacing w:val="1"/>
                <w:sz w:val="20"/>
                <w:u w:val="single"/>
              </w:rPr>
              <w:t> </w:t>
            </w:r>
            <w:r>
              <w:rPr>
                <w:rFonts w:ascii="Times New Roman"/>
                <w:b/>
                <w:i/>
                <w:sz w:val="20"/>
                <w:u w:val="single"/>
              </w:rPr>
              <w:t>Incomes</w:t>
            </w:r>
          </w:p>
          <w:p>
            <w:pPr>
              <w:pStyle w:val="TableParagraph"/>
              <w:spacing w:line="228" w:lineRule="exact"/>
              <w:ind w:left="107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Crop</w:t>
            </w:r>
            <w:r>
              <w:rPr>
                <w:rFonts w:ascii="Times New Roman"/>
                <w:spacing w:val="2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2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livestock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farming</w:t>
            </w:r>
          </w:p>
        </w:tc>
        <w:tc>
          <w:tcPr>
            <w:tcW w:w="3601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 7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days has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worked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on</w:t>
            </w:r>
          </w:p>
          <w:p>
            <w:pPr>
              <w:pStyle w:val="TableParagraph"/>
              <w:spacing w:line="228" w:lineRule="exact"/>
              <w:ind w:left="107" w:right="9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farm,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either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cultivating crops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cared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livestock?</w:t>
            </w:r>
          </w:p>
        </w:tc>
        <w:tc>
          <w:tcPr>
            <w:tcW w:w="2161" w:type="dxa"/>
          </w:tcPr>
          <w:p>
            <w:pPr>
              <w:pStyle w:val="TableParagraph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agricultural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dummy;</w:t>
            </w:r>
          </w:p>
          <w:p>
            <w:pPr>
              <w:pStyle w:val="TableParagraph"/>
              <w:spacing w:line="215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1796" w:type="dxa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  <w:u w:val="single"/>
              </w:rPr>
              <w:t>Transfer</w:t>
            </w:r>
            <w:r>
              <w:rPr>
                <w:rFonts w:ascii="Times New Roman"/>
                <w:b/>
                <w:i/>
                <w:spacing w:val="-2"/>
                <w:sz w:val="20"/>
                <w:u w:val="single"/>
              </w:rPr>
              <w:t> </w:t>
            </w:r>
            <w:r>
              <w:rPr>
                <w:rFonts w:ascii="Times New Roman"/>
                <w:b/>
                <w:i/>
                <w:sz w:val="20"/>
                <w:u w:val="single"/>
              </w:rPr>
              <w:t>Incomes</w:t>
            </w:r>
          </w:p>
          <w:p>
            <w:pPr>
              <w:pStyle w:val="TableParagraph"/>
              <w:spacing w:line="228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Remittances</w:t>
            </w:r>
          </w:p>
        </w:tc>
        <w:tc>
          <w:tcPr>
            <w:tcW w:w="3601" w:type="dxa"/>
          </w:tcPr>
          <w:p>
            <w:pPr>
              <w:pStyle w:val="TableParagraph"/>
              <w:ind w:left="107" w:right="9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Does</w:t>
            </w:r>
            <w:r>
              <w:rPr>
                <w:rFonts w:ascii="Times New Roman"/>
                <w:spacing w:val="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any</w:t>
            </w:r>
            <w:r>
              <w:rPr>
                <w:rFonts w:ascii="Times New Roman"/>
                <w:spacing w:val="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member</w:t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</w:t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receive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in-kind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money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apart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salary?</w:t>
            </w:r>
          </w:p>
        </w:tc>
        <w:tc>
          <w:tcPr>
            <w:tcW w:w="2161" w:type="dxa"/>
          </w:tcPr>
          <w:p>
            <w:pPr>
              <w:pStyle w:val="TableParagraph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1=In-kind</w:t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payment</w:t>
            </w:r>
            <w:r>
              <w:rPr>
                <w:rFonts w:ascii="Times New Roman"/>
                <w:spacing w:val="3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allowance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dummy,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</w:t>
            </w:r>
          </w:p>
          <w:p>
            <w:pPr>
              <w:pStyle w:val="TableParagraph"/>
              <w:spacing w:line="217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179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Monetary</w:t>
            </w:r>
            <w:r>
              <w:rPr>
                <w:rFonts w:ascii="Times New Roman"/>
                <w:spacing w:val="7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gift  </w:t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Assistance</w:t>
            </w:r>
          </w:p>
        </w:tc>
        <w:tc>
          <w:tcPr>
            <w:tcW w:w="3601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Did</w:t>
            </w:r>
            <w:r>
              <w:rPr>
                <w:rFonts w:ascii="Times New Roman"/>
                <w:spacing w:val="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</w:t>
            </w:r>
            <w:r>
              <w:rPr>
                <w:rFonts w:ascii="Times New Roman"/>
                <w:spacing w:val="6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receive</w:t>
            </w:r>
            <w:r>
              <w:rPr>
                <w:rFonts w:ascii="Times New Roman"/>
                <w:spacing w:val="6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6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monetary</w:t>
            </w:r>
            <w:r>
              <w:rPr>
                <w:rFonts w:ascii="Times New Roman"/>
                <w:spacing w:val="6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gift</w:t>
            </w:r>
            <w:r>
              <w:rPr>
                <w:rFonts w:ascii="Times New Roman"/>
                <w:spacing w:val="6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abroad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12 months?</w:t>
            </w:r>
          </w:p>
        </w:tc>
        <w:tc>
          <w:tcPr>
            <w:tcW w:w="2161" w:type="dxa"/>
          </w:tcPr>
          <w:p>
            <w:pPr>
              <w:pStyle w:val="TableParagraph"/>
              <w:spacing w:line="223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1=monetary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gift,</w:t>
            </w:r>
          </w:p>
          <w:p>
            <w:pPr>
              <w:pStyle w:val="TableParagraph"/>
              <w:spacing w:line="217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1796" w:type="dxa"/>
          </w:tcPr>
          <w:p>
            <w:pPr>
              <w:pStyle w:val="TableParagraph"/>
              <w:tabs>
                <w:tab w:pos="1395" w:val="left" w:leader="none"/>
              </w:tabs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Pensions,</w:t>
              <w:tab/>
              <w:t>and</w:t>
            </w:r>
          </w:p>
          <w:p>
            <w:pPr>
              <w:pStyle w:val="TableParagraph"/>
              <w:spacing w:line="21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Grants</w:t>
            </w:r>
          </w:p>
        </w:tc>
        <w:tc>
          <w:tcPr>
            <w:tcW w:w="3601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Did</w:t>
            </w:r>
            <w:r>
              <w:rPr>
                <w:rFonts w:ascii="Times New Roman"/>
                <w:spacing w:val="1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you</w:t>
            </w:r>
            <w:r>
              <w:rPr>
                <w:rFonts w:ascii="Times New Roman"/>
                <w:spacing w:val="6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receive</w:t>
            </w:r>
            <w:r>
              <w:rPr>
                <w:rFonts w:ascii="Times New Roman"/>
                <w:spacing w:val="6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regular</w:t>
            </w:r>
            <w:r>
              <w:rPr>
                <w:rFonts w:ascii="Times New Roman"/>
                <w:spacing w:val="6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payment</w:t>
            </w:r>
            <w:r>
              <w:rPr>
                <w:rFonts w:ascii="Times New Roman"/>
                <w:spacing w:val="6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(like</w:t>
            </w:r>
          </w:p>
          <w:p>
            <w:pPr>
              <w:pStyle w:val="TableParagraph"/>
              <w:spacing w:line="215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pension)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12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months?</w:t>
            </w:r>
          </w:p>
        </w:tc>
        <w:tc>
          <w:tcPr>
            <w:tcW w:w="2161" w:type="dxa"/>
          </w:tcPr>
          <w:p>
            <w:pPr>
              <w:pStyle w:val="TableParagraph"/>
              <w:spacing w:line="223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1=pension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grant</w:t>
            </w:r>
          </w:p>
          <w:p>
            <w:pPr>
              <w:pStyle w:val="TableParagraph"/>
              <w:spacing w:line="215" w:lineRule="exact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1" w:hRule="atLeast"/>
        </w:trPr>
        <w:tc>
          <w:tcPr>
            <w:tcW w:w="1796" w:type="dxa"/>
          </w:tcPr>
          <w:p>
            <w:pPr>
              <w:pStyle w:val="TableParagraph"/>
              <w:spacing w:line="227" w:lineRule="exact"/>
              <w:ind w:left="107"/>
              <w:jc w:val="lef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sz w:val="20"/>
                <w:u w:val="single"/>
              </w:rPr>
              <w:t>Rental</w:t>
            </w:r>
            <w:r>
              <w:rPr>
                <w:rFonts w:ascii="Times New Roman"/>
                <w:b/>
                <w:i/>
                <w:spacing w:val="-2"/>
                <w:sz w:val="20"/>
                <w:u w:val="single"/>
              </w:rPr>
              <w:t> </w:t>
            </w:r>
            <w:r>
              <w:rPr>
                <w:rFonts w:ascii="Times New Roman"/>
                <w:b/>
                <w:i/>
                <w:sz w:val="20"/>
                <w:u w:val="single"/>
              </w:rPr>
              <w:t>Incomes</w:t>
            </w:r>
          </w:p>
          <w:p>
            <w:pPr>
              <w:pStyle w:val="TableParagraph"/>
              <w:tabs>
                <w:tab w:pos="1395" w:val="left" w:leader="none"/>
              </w:tabs>
              <w:spacing w:line="227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Interest</w:t>
              <w:tab/>
              <w:t>and</w:t>
            </w:r>
          </w:p>
          <w:p>
            <w:pPr>
              <w:pStyle w:val="TableParagraph"/>
              <w:tabs>
                <w:tab w:pos="1297" w:val="left" w:leader="none"/>
              </w:tabs>
              <w:spacing w:line="230" w:lineRule="atLeast"/>
              <w:ind w:left="107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Dividend</w:t>
              <w:tab/>
            </w:r>
            <w:r>
              <w:rPr>
                <w:rFonts w:ascii="Times New Roman"/>
                <w:spacing w:val="-1"/>
                <w:sz w:val="20"/>
              </w:rPr>
              <w:t>from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Investment</w:t>
            </w:r>
          </w:p>
        </w:tc>
        <w:tc>
          <w:tcPr>
            <w:tcW w:w="3601" w:type="dxa"/>
          </w:tcPr>
          <w:p>
            <w:pPr>
              <w:pStyle w:val="TableParagraph"/>
              <w:ind w:left="107" w:right="98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Did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any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member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this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receive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 investment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past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12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months?</w:t>
            </w:r>
          </w:p>
        </w:tc>
        <w:tc>
          <w:tcPr>
            <w:tcW w:w="2161" w:type="dxa"/>
          </w:tcPr>
          <w:p>
            <w:pPr>
              <w:pStyle w:val="TableParagraph"/>
              <w:tabs>
                <w:tab w:pos="1399" w:val="left" w:leader="none"/>
              </w:tabs>
              <w:spacing w:line="224" w:lineRule="exact"/>
              <w:ind w:left="106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1=having</w:t>
              <w:tab/>
              <w:t>savings,</w:t>
            </w:r>
          </w:p>
          <w:p>
            <w:pPr>
              <w:pStyle w:val="TableParagraph"/>
              <w:spacing w:line="230" w:lineRule="exact"/>
              <w:ind w:left="106" w:right="102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interest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investment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income,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9" w:hRule="atLeast"/>
        </w:trPr>
        <w:tc>
          <w:tcPr>
            <w:tcW w:w="1796" w:type="dxa"/>
          </w:tcPr>
          <w:p>
            <w:pPr>
              <w:pStyle w:val="TableParagraph"/>
              <w:ind w:left="107" w:right="97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ownership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(proxy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access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formal</w:t>
            </w:r>
          </w:p>
          <w:p>
            <w:pPr>
              <w:pStyle w:val="TableParagraph"/>
              <w:spacing w:line="215" w:lineRule="exact"/>
              <w:ind w:left="107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credit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market)</w:t>
            </w:r>
          </w:p>
        </w:tc>
        <w:tc>
          <w:tcPr>
            <w:tcW w:w="3601" w:type="dxa"/>
          </w:tcPr>
          <w:p>
            <w:pPr>
              <w:pStyle w:val="TableParagraph"/>
              <w:ind w:left="107" w:right="99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Did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member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of your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household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receive</w:t>
            </w:r>
            <w:r>
              <w:rPr>
                <w:rFonts w:ascii="Times New Roman" w:hAnsi="Times New Roman"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any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rental’s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incomes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from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property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in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past</w:t>
            </w:r>
            <w:r>
              <w:rPr>
                <w:rFonts w:ascii="Times New Roman" w:hAnsi="Times New Roman"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 year</w:t>
            </w:r>
          </w:p>
        </w:tc>
        <w:tc>
          <w:tcPr>
            <w:tcW w:w="2161" w:type="dxa"/>
          </w:tcPr>
          <w:p>
            <w:pPr>
              <w:pStyle w:val="TableParagraph"/>
              <w:tabs>
                <w:tab w:pos="1140" w:val="left" w:leader="none"/>
                <w:tab w:pos="1881" w:val="left" w:leader="none"/>
              </w:tabs>
              <w:ind w:left="106" w:right="10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1=having</w:t>
              <w:tab/>
              <w:t>house</w:t>
              <w:tab/>
            </w:r>
            <w:r>
              <w:rPr>
                <w:rFonts w:ascii="Times New Roman"/>
                <w:spacing w:val="-2"/>
                <w:sz w:val="20"/>
              </w:rPr>
              <w:t>or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receiving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rent,</w:t>
            </w:r>
          </w:p>
          <w:p>
            <w:pPr>
              <w:pStyle w:val="TableParagraph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otherwise</w:t>
            </w:r>
          </w:p>
        </w:tc>
        <w:tc>
          <w:tcPr>
            <w:tcW w:w="5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3050" w:type="dxa"/>
            <w:gridSpan w:val="4"/>
          </w:tcPr>
          <w:p>
            <w:pPr>
              <w:pStyle w:val="TableParagraph"/>
              <w:spacing w:line="234" w:lineRule="exact"/>
              <w:ind w:left="3459" w:right="3455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Households’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Income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Inequality</w:t>
            </w:r>
          </w:p>
        </w:tc>
      </w:tr>
      <w:tr>
        <w:trPr>
          <w:trHeight w:val="460" w:hRule="atLeast"/>
        </w:trPr>
        <w:tc>
          <w:tcPr>
            <w:tcW w:w="1796" w:type="dxa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Household’s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Income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Disparities</w:t>
            </w:r>
          </w:p>
        </w:tc>
        <w:tc>
          <w:tcPr>
            <w:tcW w:w="11254" w:type="dxa"/>
            <w:gridSpan w:val="3"/>
          </w:tcPr>
          <w:p>
            <w:pPr>
              <w:pStyle w:val="TableParagraph"/>
              <w:spacing w:line="223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Oyekale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(2006:25)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calculated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Gini-coefficient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index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Nigeria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18,977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households.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Isah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(2011)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estimated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Gini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Theil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indices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</w:p>
          <w:p>
            <w:pPr>
              <w:pStyle w:val="TableParagraph"/>
              <w:spacing w:line="217" w:lineRule="exact"/>
              <w:ind w:left="1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Kaduna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State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600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individuals.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While Aigbokhan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(2017)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calculated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Gini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Theil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Nigeria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5,000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households.</w:t>
            </w:r>
          </w:p>
        </w:tc>
      </w:tr>
    </w:tbl>
    <w:p>
      <w:pPr>
        <w:spacing w:line="247" w:lineRule="exact" w:before="0"/>
        <w:ind w:left="100" w:right="0" w:firstLine="0"/>
        <w:jc w:val="left"/>
        <w:rPr>
          <w:i/>
          <w:sz w:val="22"/>
        </w:rPr>
      </w:pPr>
      <w:r>
        <w:rPr>
          <w:i/>
          <w:sz w:val="22"/>
        </w:rPr>
        <w:t>Source: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Compiled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NGHS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various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Questionnaires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(see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NBS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2013,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2016,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2017)</w:t>
      </w:r>
    </w:p>
    <w:p>
      <w:pPr>
        <w:spacing w:after="0" w:line="247" w:lineRule="exact"/>
        <w:jc w:val="left"/>
        <w:rPr>
          <w:sz w:val="22"/>
        </w:rPr>
        <w:sectPr>
          <w:pgSz w:w="15840" w:h="12240" w:orient="landscape"/>
          <w:pgMar w:header="0" w:footer="935" w:top="1140" w:bottom="1200" w:left="1340" w:right="1220"/>
        </w:sectPr>
      </w:pPr>
    </w:p>
    <w:p>
      <w:pPr>
        <w:spacing w:before="79"/>
        <w:ind w:left="197" w:right="513" w:firstLine="0"/>
        <w:jc w:val="center"/>
        <w:rPr>
          <w:b/>
          <w:sz w:val="22"/>
        </w:rPr>
      </w:pPr>
      <w:r>
        <w:rPr>
          <w:b/>
          <w:sz w:val="22"/>
        </w:rPr>
        <w:t>APPENDIX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DESCRIPTIVE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SOCIO-ECONOMIC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CHARACTERISTICS</w:t>
      </w:r>
    </w:p>
    <w:p>
      <w:pPr>
        <w:spacing w:before="16"/>
        <w:ind w:left="197" w:right="515" w:firstLine="0"/>
        <w:jc w:val="center"/>
        <w:rPr>
          <w:sz w:val="22"/>
        </w:rPr>
      </w:pPr>
      <w:r>
        <w:rPr>
          <w:sz w:val="22"/>
        </w:rPr>
        <w:t>TABLE</w:t>
      </w:r>
      <w:r>
        <w:rPr>
          <w:spacing w:val="-2"/>
          <w:sz w:val="22"/>
        </w:rPr>
        <w:t> </w:t>
      </w:r>
      <w:r>
        <w:rPr>
          <w:sz w:val="22"/>
        </w:rPr>
        <w:t>D1: GENDER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RESPONDENTS</w:t>
      </w:r>
      <w:r>
        <w:rPr>
          <w:spacing w:val="-1"/>
          <w:sz w:val="22"/>
        </w:rPr>
        <w:t> </w:t>
      </w:r>
      <w:r>
        <w:rPr>
          <w:sz w:val="22"/>
        </w:rPr>
        <w:t>(1=MALE, 2=FEMALE)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WAVE</w:t>
      </w:r>
      <w:r>
        <w:rPr>
          <w:spacing w:val="-4"/>
          <w:sz w:val="22"/>
        </w:rPr>
        <w:t> </w:t>
      </w:r>
      <w:r>
        <w:rPr>
          <w:sz w:val="22"/>
        </w:rPr>
        <w:t>1</w: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2235"/>
        <w:gridCol w:w="1999"/>
        <w:gridCol w:w="1431"/>
      </w:tblGrid>
      <w:tr>
        <w:trPr>
          <w:trHeight w:val="437" w:hRule="atLeast"/>
        </w:trPr>
        <w:tc>
          <w:tcPr>
            <w:tcW w:w="1988" w:type="dxa"/>
            <w:tcBorders>
              <w:bottom w:val="dashed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231"/>
              <w:rPr>
                <w:sz w:val="12"/>
              </w:rPr>
            </w:pPr>
            <w:r>
              <w:rPr>
                <w:w w:val="210"/>
                <w:sz w:val="12"/>
              </w:rPr>
              <w:t>Household</w:t>
            </w:r>
          </w:p>
          <w:p>
            <w:pPr>
              <w:pStyle w:val="TableParagraph"/>
              <w:spacing w:before="46"/>
              <w:ind w:right="231"/>
              <w:rPr>
                <w:sz w:val="12"/>
              </w:rPr>
            </w:pPr>
            <w:r>
              <w:rPr>
                <w:w w:val="210"/>
                <w:sz w:val="12"/>
              </w:rPr>
              <w:t>Head</w:t>
            </w:r>
          </w:p>
        </w:tc>
        <w:tc>
          <w:tcPr>
            <w:tcW w:w="2235" w:type="dxa"/>
            <w:tcBorders>
              <w:left w:val="single" w:sz="12" w:space="0" w:color="000000"/>
              <w:bottom w:val="dashed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401"/>
              <w:rPr>
                <w:sz w:val="12"/>
              </w:rPr>
            </w:pPr>
            <w:r>
              <w:rPr>
                <w:w w:val="210"/>
                <w:sz w:val="12"/>
              </w:rPr>
              <w:t>Freq.</w:t>
            </w:r>
          </w:p>
        </w:tc>
        <w:tc>
          <w:tcPr>
            <w:tcW w:w="1999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481"/>
              <w:rPr>
                <w:sz w:val="12"/>
              </w:rPr>
            </w:pPr>
            <w:r>
              <w:rPr>
                <w:w w:val="210"/>
                <w:sz w:val="12"/>
              </w:rPr>
              <w:t>Percent</w:t>
            </w:r>
          </w:p>
        </w:tc>
        <w:tc>
          <w:tcPr>
            <w:tcW w:w="1431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-15"/>
              <w:rPr>
                <w:sz w:val="12"/>
              </w:rPr>
            </w:pPr>
            <w:r>
              <w:rPr>
                <w:w w:val="210"/>
                <w:sz w:val="12"/>
              </w:rPr>
              <w:t>Cum.</w:t>
            </w:r>
          </w:p>
        </w:tc>
      </w:tr>
      <w:tr>
        <w:trPr>
          <w:trHeight w:val="273" w:hRule="atLeast"/>
        </w:trPr>
        <w:tc>
          <w:tcPr>
            <w:tcW w:w="1988" w:type="dxa"/>
            <w:tcBorders>
              <w:top w:val="dashed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5"/>
              <w:ind w:right="231"/>
              <w:rPr>
                <w:sz w:val="12"/>
              </w:rPr>
            </w:pPr>
            <w:r>
              <w:rPr>
                <w:w w:val="209"/>
                <w:sz w:val="12"/>
              </w:rPr>
              <w:t>1</w:t>
            </w:r>
          </w:p>
        </w:tc>
        <w:tc>
          <w:tcPr>
            <w:tcW w:w="2235" w:type="dxa"/>
            <w:tcBorders>
              <w:top w:val="dashed" w:sz="6" w:space="0" w:color="000000"/>
              <w:left w:val="single" w:sz="12" w:space="0" w:color="000000"/>
            </w:tcBorders>
          </w:tcPr>
          <w:p>
            <w:pPr>
              <w:pStyle w:val="TableParagraph"/>
              <w:spacing w:before="115"/>
              <w:ind w:right="401"/>
              <w:rPr>
                <w:sz w:val="12"/>
              </w:rPr>
            </w:pPr>
            <w:r>
              <w:rPr>
                <w:w w:val="210"/>
                <w:sz w:val="12"/>
              </w:rPr>
              <w:t>14,062</w:t>
            </w:r>
          </w:p>
        </w:tc>
        <w:tc>
          <w:tcPr>
            <w:tcW w:w="1999" w:type="dxa"/>
            <w:tcBorders>
              <w:top w:val="dashed" w:sz="6" w:space="0" w:color="000000"/>
            </w:tcBorders>
          </w:tcPr>
          <w:p>
            <w:pPr>
              <w:pStyle w:val="TableParagraph"/>
              <w:spacing w:before="115"/>
              <w:ind w:right="481"/>
              <w:rPr>
                <w:sz w:val="12"/>
              </w:rPr>
            </w:pPr>
            <w:r>
              <w:rPr>
                <w:w w:val="210"/>
                <w:sz w:val="12"/>
              </w:rPr>
              <w:t>49.74</w:t>
            </w:r>
          </w:p>
        </w:tc>
        <w:tc>
          <w:tcPr>
            <w:tcW w:w="1431" w:type="dxa"/>
            <w:tcBorders>
              <w:top w:val="dashed" w:sz="6" w:space="0" w:color="000000"/>
            </w:tcBorders>
          </w:tcPr>
          <w:p>
            <w:pPr>
              <w:pStyle w:val="TableParagraph"/>
              <w:spacing w:before="115"/>
              <w:ind w:right="-15"/>
              <w:rPr>
                <w:sz w:val="12"/>
              </w:rPr>
            </w:pPr>
            <w:r>
              <w:rPr>
                <w:w w:val="210"/>
                <w:sz w:val="12"/>
              </w:rPr>
              <w:t>49.74</w:t>
            </w:r>
          </w:p>
        </w:tc>
      </w:tr>
      <w:tr>
        <w:trPr>
          <w:trHeight w:val="259" w:hRule="atLeast"/>
        </w:trPr>
        <w:tc>
          <w:tcPr>
            <w:tcW w:w="1988" w:type="dxa"/>
            <w:tcBorders>
              <w:bottom w:val="dashed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4"/>
              <w:ind w:right="231"/>
              <w:rPr>
                <w:sz w:val="12"/>
              </w:rPr>
            </w:pPr>
            <w:r>
              <w:rPr>
                <w:w w:val="209"/>
                <w:sz w:val="12"/>
              </w:rPr>
              <w:t>2</w:t>
            </w:r>
          </w:p>
        </w:tc>
        <w:tc>
          <w:tcPr>
            <w:tcW w:w="2235" w:type="dxa"/>
            <w:tcBorders>
              <w:left w:val="single" w:sz="12" w:space="0" w:color="000000"/>
              <w:bottom w:val="dashed" w:sz="6" w:space="0" w:color="000000"/>
            </w:tcBorders>
          </w:tcPr>
          <w:p>
            <w:pPr>
              <w:pStyle w:val="TableParagraph"/>
              <w:spacing w:before="24"/>
              <w:ind w:right="401"/>
              <w:rPr>
                <w:sz w:val="12"/>
              </w:rPr>
            </w:pPr>
            <w:r>
              <w:rPr>
                <w:w w:val="210"/>
                <w:sz w:val="12"/>
              </w:rPr>
              <w:t>14,208</w:t>
            </w:r>
          </w:p>
        </w:tc>
        <w:tc>
          <w:tcPr>
            <w:tcW w:w="1999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24"/>
              <w:ind w:right="481"/>
              <w:rPr>
                <w:sz w:val="12"/>
              </w:rPr>
            </w:pPr>
            <w:r>
              <w:rPr>
                <w:w w:val="210"/>
                <w:sz w:val="12"/>
              </w:rPr>
              <w:t>50.26</w:t>
            </w:r>
          </w:p>
        </w:tc>
        <w:tc>
          <w:tcPr>
            <w:tcW w:w="1431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24"/>
              <w:ind w:right="-15"/>
              <w:rPr>
                <w:sz w:val="12"/>
              </w:rPr>
            </w:pPr>
            <w:r>
              <w:rPr>
                <w:w w:val="210"/>
                <w:sz w:val="12"/>
              </w:rPr>
              <w:t>100.00</w:t>
            </w:r>
          </w:p>
        </w:tc>
      </w:tr>
      <w:tr>
        <w:trPr>
          <w:trHeight w:val="266" w:hRule="atLeast"/>
        </w:trPr>
        <w:tc>
          <w:tcPr>
            <w:tcW w:w="1988" w:type="dxa"/>
            <w:tcBorders>
              <w:top w:val="dashed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31" w:lineRule="exact" w:before="115"/>
              <w:ind w:right="231"/>
              <w:rPr>
                <w:sz w:val="12"/>
              </w:rPr>
            </w:pPr>
            <w:r>
              <w:rPr>
                <w:w w:val="210"/>
                <w:sz w:val="12"/>
              </w:rPr>
              <w:t>Total</w:t>
            </w:r>
          </w:p>
        </w:tc>
        <w:tc>
          <w:tcPr>
            <w:tcW w:w="2235" w:type="dxa"/>
            <w:tcBorders>
              <w:top w:val="dashed" w:sz="6" w:space="0" w:color="000000"/>
              <w:left w:val="single" w:sz="12" w:space="0" w:color="000000"/>
            </w:tcBorders>
          </w:tcPr>
          <w:p>
            <w:pPr>
              <w:pStyle w:val="TableParagraph"/>
              <w:spacing w:line="131" w:lineRule="exact" w:before="115"/>
              <w:ind w:right="401"/>
              <w:rPr>
                <w:sz w:val="12"/>
              </w:rPr>
            </w:pPr>
            <w:r>
              <w:rPr>
                <w:w w:val="210"/>
                <w:sz w:val="12"/>
              </w:rPr>
              <w:t>28,270</w:t>
            </w:r>
          </w:p>
        </w:tc>
        <w:tc>
          <w:tcPr>
            <w:tcW w:w="1999" w:type="dxa"/>
            <w:tcBorders>
              <w:top w:val="dashed" w:sz="6" w:space="0" w:color="000000"/>
            </w:tcBorders>
          </w:tcPr>
          <w:p>
            <w:pPr>
              <w:pStyle w:val="TableParagraph"/>
              <w:spacing w:line="131" w:lineRule="exact" w:before="115"/>
              <w:ind w:right="481"/>
              <w:rPr>
                <w:sz w:val="12"/>
              </w:rPr>
            </w:pPr>
            <w:r>
              <w:rPr>
                <w:w w:val="210"/>
                <w:sz w:val="12"/>
              </w:rPr>
              <w:t>100.00</w:t>
            </w:r>
          </w:p>
        </w:tc>
        <w:tc>
          <w:tcPr>
            <w:tcW w:w="1431" w:type="dxa"/>
            <w:tcBorders>
              <w:top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32"/>
        </w:rPr>
      </w:pPr>
    </w:p>
    <w:p>
      <w:pPr>
        <w:spacing w:before="0" w:after="34"/>
        <w:ind w:left="197" w:right="513" w:firstLine="0"/>
        <w:jc w:val="center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D2:</w:t>
      </w:r>
      <w:r>
        <w:rPr>
          <w:spacing w:val="-1"/>
          <w:sz w:val="22"/>
        </w:rPr>
        <w:t> </w:t>
      </w:r>
      <w:r>
        <w:rPr>
          <w:sz w:val="22"/>
        </w:rPr>
        <w:t>HOUSEHOLD’S</w:t>
      </w:r>
      <w:r>
        <w:rPr>
          <w:spacing w:val="-1"/>
          <w:sz w:val="22"/>
        </w:rPr>
        <w:t> </w:t>
      </w:r>
      <w:r>
        <w:rPr>
          <w:sz w:val="22"/>
        </w:rPr>
        <w:t>SIZE IN</w:t>
      </w:r>
      <w:r>
        <w:rPr>
          <w:spacing w:val="-2"/>
          <w:sz w:val="22"/>
        </w:rPr>
        <w:t> </w:t>
      </w:r>
      <w:r>
        <w:rPr>
          <w:sz w:val="22"/>
        </w:rPr>
        <w:t>WAVE</w:t>
      </w:r>
      <w:r>
        <w:rPr>
          <w:spacing w:val="-2"/>
          <w:sz w:val="22"/>
        </w:rPr>
        <w:t> </w:t>
      </w:r>
      <w:r>
        <w:rPr>
          <w:sz w:val="22"/>
        </w:rPr>
        <w:t>1</w:t>
      </w: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4"/>
        <w:gridCol w:w="1623"/>
        <w:gridCol w:w="1452"/>
        <w:gridCol w:w="1040"/>
      </w:tblGrid>
      <w:tr>
        <w:trPr>
          <w:trHeight w:val="593" w:hRule="atLeast"/>
        </w:trPr>
        <w:tc>
          <w:tcPr>
            <w:tcW w:w="1444" w:type="dxa"/>
            <w:tcBorders>
              <w:bottom w:val="dashSmallGap" w:sz="8" w:space="0" w:color="000000"/>
              <w:right w:val="dashed" w:sz="8" w:space="0" w:color="000000"/>
            </w:tcBorders>
          </w:tcPr>
          <w:p>
            <w:pPr>
              <w:pStyle w:val="TableParagraph"/>
              <w:spacing w:before="21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Household</w:t>
            </w:r>
          </w:p>
          <w:p>
            <w:pPr>
              <w:pStyle w:val="TableParagraph"/>
              <w:spacing w:before="55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Size</w:t>
            </w:r>
          </w:p>
        </w:tc>
        <w:tc>
          <w:tcPr>
            <w:tcW w:w="1623" w:type="dxa"/>
            <w:tcBorders>
              <w:left w:val="dashed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Freq.</w:t>
            </w:r>
          </w:p>
        </w:tc>
        <w:tc>
          <w:tcPr>
            <w:tcW w:w="145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Percent</w:t>
            </w:r>
          </w:p>
        </w:tc>
        <w:tc>
          <w:tcPr>
            <w:tcW w:w="104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Cum.</w:t>
            </w:r>
          </w:p>
        </w:tc>
      </w:tr>
      <w:tr>
        <w:trPr>
          <w:trHeight w:val="370" w:hRule="atLeast"/>
        </w:trPr>
        <w:tc>
          <w:tcPr>
            <w:tcW w:w="1444" w:type="dxa"/>
            <w:tcBorders>
              <w:top w:val="dashSmallGap" w:sz="8" w:space="0" w:color="000000"/>
              <w:right w:val="dashed" w:sz="8" w:space="0" w:color="000000"/>
            </w:tcBorders>
          </w:tcPr>
          <w:p>
            <w:pPr>
              <w:pStyle w:val="TableParagraph"/>
              <w:spacing w:before="150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1</w:t>
            </w:r>
          </w:p>
        </w:tc>
        <w:tc>
          <w:tcPr>
            <w:tcW w:w="1623" w:type="dxa"/>
            <w:tcBorders>
              <w:top w:val="dashSmallGap" w:sz="8" w:space="0" w:color="000000"/>
              <w:left w:val="dashed" w:sz="8" w:space="0" w:color="000000"/>
            </w:tcBorders>
          </w:tcPr>
          <w:p>
            <w:pPr>
              <w:pStyle w:val="TableParagraph"/>
              <w:spacing w:before="150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4,915</w:t>
            </w:r>
          </w:p>
        </w:tc>
        <w:tc>
          <w:tcPr>
            <w:tcW w:w="1452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0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17.37</w:t>
            </w:r>
          </w:p>
        </w:tc>
        <w:tc>
          <w:tcPr>
            <w:tcW w:w="104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0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17.37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2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4,542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16.05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33.43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3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4,157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14.69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48.12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4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3,691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13.05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61.17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5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3,080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10.89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72.05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6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2,425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8.57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80.62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7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1,788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6.32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86.94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8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1,266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4.47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91.42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9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854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3.02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94.44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598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2.11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96.55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407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1.44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97.99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259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0.92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98.90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68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0.24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99.14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54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0.19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99.34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45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0.16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99.49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16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33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0.12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99.61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17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0.11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99.72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18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24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0.08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99.80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17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0.06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99.86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0.05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99.91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21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7"/>
                <w:sz w:val="17"/>
              </w:rPr>
              <w:t>6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99.93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7"/>
                <w:sz w:val="17"/>
              </w:rPr>
              <w:t>6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99.95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7"/>
                <w:sz w:val="17"/>
              </w:rPr>
              <w:t>5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99.97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24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7"/>
                <w:sz w:val="17"/>
              </w:rPr>
              <w:t>2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99.98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7"/>
                <w:sz w:val="17"/>
              </w:rPr>
              <w:t>1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99.98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26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7"/>
                <w:sz w:val="17"/>
              </w:rPr>
              <w:t>1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99.98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27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7"/>
                <w:sz w:val="17"/>
              </w:rPr>
              <w:t>1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99.99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28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7"/>
                <w:sz w:val="17"/>
              </w:rPr>
              <w:t>1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99.99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29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7"/>
                <w:sz w:val="17"/>
              </w:rPr>
              <w:t>1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99.99</w:t>
            </w:r>
          </w:p>
        </w:tc>
      </w:tr>
      <w:tr>
        <w:trPr>
          <w:trHeight w:val="247" w:hRule="atLeast"/>
        </w:trPr>
        <w:tc>
          <w:tcPr>
            <w:tcW w:w="1444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1623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7"/>
                <w:sz w:val="17"/>
              </w:rPr>
              <w:t>1</w:t>
            </w:r>
          </w:p>
        </w:tc>
        <w:tc>
          <w:tcPr>
            <w:tcW w:w="1452" w:type="dxa"/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100.00</w:t>
            </w:r>
          </w:p>
        </w:tc>
      </w:tr>
      <w:tr>
        <w:trPr>
          <w:trHeight w:val="352" w:hRule="atLeast"/>
        </w:trPr>
        <w:tc>
          <w:tcPr>
            <w:tcW w:w="1444" w:type="dxa"/>
            <w:tcBorders>
              <w:bottom w:val="dashSmallGap" w:sz="8" w:space="0" w:color="000000"/>
              <w:right w:val="dashed" w:sz="8" w:space="0" w:color="000000"/>
            </w:tcBorders>
          </w:tcPr>
          <w:p>
            <w:pPr>
              <w:pStyle w:val="TableParagraph"/>
              <w:spacing w:before="27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31</w:t>
            </w:r>
          </w:p>
        </w:tc>
        <w:tc>
          <w:tcPr>
            <w:tcW w:w="1623" w:type="dxa"/>
            <w:tcBorders>
              <w:left w:val="dashed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right="291"/>
              <w:rPr>
                <w:sz w:val="17"/>
              </w:rPr>
            </w:pPr>
            <w:r>
              <w:rPr>
                <w:w w:val="107"/>
                <w:sz w:val="17"/>
              </w:rPr>
              <w:t>1</w:t>
            </w:r>
          </w:p>
        </w:tc>
        <w:tc>
          <w:tcPr>
            <w:tcW w:w="145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4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right="-15"/>
              <w:rPr>
                <w:sz w:val="17"/>
              </w:rPr>
            </w:pPr>
            <w:r>
              <w:rPr>
                <w:w w:val="105"/>
                <w:sz w:val="17"/>
              </w:rPr>
              <w:t>100.00</w:t>
            </w:r>
          </w:p>
        </w:tc>
      </w:tr>
      <w:tr>
        <w:trPr>
          <w:trHeight w:val="360" w:hRule="atLeast"/>
        </w:trPr>
        <w:tc>
          <w:tcPr>
            <w:tcW w:w="1444" w:type="dxa"/>
            <w:tcBorders>
              <w:top w:val="dashSmallGap" w:sz="8" w:space="0" w:color="000000"/>
              <w:right w:val="dashed" w:sz="8" w:space="0" w:color="000000"/>
            </w:tcBorders>
          </w:tcPr>
          <w:p>
            <w:pPr>
              <w:pStyle w:val="TableParagraph"/>
              <w:spacing w:line="191" w:lineRule="exact" w:before="150"/>
              <w:ind w:right="169"/>
              <w:rPr>
                <w:sz w:val="17"/>
              </w:rPr>
            </w:pPr>
            <w:r>
              <w:rPr>
                <w:w w:val="105"/>
                <w:sz w:val="17"/>
              </w:rPr>
              <w:t>Total</w:t>
            </w:r>
          </w:p>
        </w:tc>
        <w:tc>
          <w:tcPr>
            <w:tcW w:w="1623" w:type="dxa"/>
            <w:tcBorders>
              <w:top w:val="dashSmallGap" w:sz="8" w:space="0" w:color="000000"/>
              <w:left w:val="dashed" w:sz="8" w:space="0" w:color="000000"/>
            </w:tcBorders>
          </w:tcPr>
          <w:p>
            <w:pPr>
              <w:pStyle w:val="TableParagraph"/>
              <w:spacing w:line="191" w:lineRule="exact" w:before="150"/>
              <w:ind w:right="291"/>
              <w:rPr>
                <w:sz w:val="17"/>
              </w:rPr>
            </w:pPr>
            <w:r>
              <w:rPr>
                <w:w w:val="105"/>
                <w:sz w:val="17"/>
              </w:rPr>
              <w:t>28,292</w:t>
            </w:r>
          </w:p>
        </w:tc>
        <w:tc>
          <w:tcPr>
            <w:tcW w:w="1452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line="191" w:lineRule="exact" w:before="150"/>
              <w:ind w:right="350"/>
              <w:rPr>
                <w:sz w:val="17"/>
              </w:rPr>
            </w:pPr>
            <w:r>
              <w:rPr>
                <w:w w:val="105"/>
                <w:sz w:val="17"/>
              </w:rPr>
              <w:t>100.00</w:t>
            </w:r>
          </w:p>
        </w:tc>
        <w:tc>
          <w:tcPr>
            <w:tcW w:w="1040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footerReference w:type="default" r:id="rId188"/>
          <w:pgSz w:w="12240" w:h="15840"/>
          <w:pgMar w:footer="935" w:header="0" w:top="1360" w:bottom="1120" w:left="1320" w:right="1000"/>
        </w:sectPr>
      </w:pPr>
    </w:p>
    <w:p>
      <w:pPr>
        <w:spacing w:before="74"/>
        <w:ind w:left="197" w:right="513" w:firstLine="0"/>
        <w:jc w:val="center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D3:</w:t>
      </w:r>
      <w:r>
        <w:rPr>
          <w:spacing w:val="-3"/>
          <w:sz w:val="22"/>
        </w:rPr>
        <w:t> </w:t>
      </w:r>
      <w:r>
        <w:rPr>
          <w:sz w:val="22"/>
        </w:rPr>
        <w:t>MARITAL</w:t>
      </w:r>
      <w:r>
        <w:rPr>
          <w:spacing w:val="-2"/>
          <w:sz w:val="22"/>
        </w:rPr>
        <w:t> </w:t>
      </w:r>
      <w:r>
        <w:rPr>
          <w:sz w:val="22"/>
        </w:rPr>
        <w:t>STATUS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HOUSEHOLD’S</w:t>
      </w:r>
      <w:r>
        <w:rPr>
          <w:spacing w:val="-1"/>
          <w:sz w:val="22"/>
        </w:rPr>
        <w:t> </w:t>
      </w:r>
      <w:r>
        <w:rPr>
          <w:sz w:val="22"/>
        </w:rPr>
        <w:t>HEAD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WAVE</w:t>
      </w:r>
      <w:r>
        <w:rPr>
          <w:spacing w:val="-2"/>
          <w:sz w:val="22"/>
        </w:rPr>
        <w:t> </w:t>
      </w:r>
      <w:r>
        <w:rPr>
          <w:sz w:val="22"/>
        </w:rPr>
        <w:t>1</w:t>
      </w:r>
    </w:p>
    <w:p>
      <w:pPr>
        <w:spacing w:before="21" w:after="35"/>
        <w:ind w:left="243" w:right="562" w:firstLine="0"/>
        <w:jc w:val="center"/>
        <w:rPr>
          <w:i/>
          <w:sz w:val="22"/>
        </w:rPr>
      </w:pPr>
      <w:r>
        <w:rPr>
          <w:i/>
          <w:sz w:val="22"/>
        </w:rPr>
        <w:t>(1=married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one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wife,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2=married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wives,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3=single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parent,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4=divorce,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5=widow,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7=never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married)</w:t>
      </w: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1"/>
        <w:gridCol w:w="1642"/>
        <w:gridCol w:w="1469"/>
        <w:gridCol w:w="1052"/>
      </w:tblGrid>
      <w:tr>
        <w:trPr>
          <w:trHeight w:val="694" w:hRule="atLeast"/>
        </w:trPr>
        <w:tc>
          <w:tcPr>
            <w:tcW w:w="1461" w:type="dxa"/>
            <w:tcBorders>
              <w:bottom w:val="dashSmallGap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7" w:lineRule="auto" w:before="23"/>
              <w:ind w:left="579" w:hanging="11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Marital</w:t>
            </w:r>
            <w:r>
              <w:rPr>
                <w:spacing w:val="-10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Status</w:t>
            </w:r>
          </w:p>
        </w:tc>
        <w:tc>
          <w:tcPr>
            <w:tcW w:w="1642" w:type="dxa"/>
            <w:tcBorders>
              <w:left w:val="single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i/>
                <w:sz w:val="27"/>
              </w:rPr>
            </w:pPr>
          </w:p>
          <w:p>
            <w:pPr>
              <w:pStyle w:val="TableParagraph"/>
              <w:ind w:right="294"/>
              <w:rPr>
                <w:sz w:val="20"/>
              </w:rPr>
            </w:pPr>
            <w:r>
              <w:rPr>
                <w:sz w:val="20"/>
              </w:rPr>
              <w:t>Freq.</w:t>
            </w:r>
          </w:p>
        </w:tc>
        <w:tc>
          <w:tcPr>
            <w:tcW w:w="1469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i/>
                <w:sz w:val="27"/>
              </w:rPr>
            </w:pPr>
          </w:p>
          <w:p>
            <w:pPr>
              <w:pStyle w:val="TableParagraph"/>
              <w:ind w:right="352"/>
              <w:rPr>
                <w:sz w:val="20"/>
              </w:rPr>
            </w:pPr>
            <w:r>
              <w:rPr>
                <w:sz w:val="20"/>
              </w:rPr>
              <w:t>Percent</w:t>
            </w:r>
          </w:p>
        </w:tc>
        <w:tc>
          <w:tcPr>
            <w:tcW w:w="105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i/>
                <w:sz w:val="27"/>
              </w:rPr>
            </w:pPr>
          </w:p>
          <w:p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Cum.</w:t>
            </w:r>
          </w:p>
        </w:tc>
      </w:tr>
      <w:tr>
        <w:trPr>
          <w:trHeight w:val="434" w:hRule="atLeast"/>
        </w:trPr>
        <w:tc>
          <w:tcPr>
            <w:tcW w:w="1461" w:type="dxa"/>
            <w:tcBorders>
              <w:top w:val="dashSmallGap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170"/>
              <w:rPr>
                <w:sz w:val="20"/>
              </w:rPr>
            </w:pPr>
            <w:r>
              <w:rPr>
                <w:w w:val="92"/>
                <w:sz w:val="20"/>
              </w:rPr>
              <w:t>1</w:t>
            </w:r>
          </w:p>
        </w:tc>
        <w:tc>
          <w:tcPr>
            <w:tcW w:w="1642" w:type="dxa"/>
            <w:tcBorders>
              <w:top w:val="dashSmallGap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76"/>
              <w:ind w:right="294"/>
              <w:rPr>
                <w:sz w:val="20"/>
              </w:rPr>
            </w:pPr>
            <w:r>
              <w:rPr>
                <w:sz w:val="20"/>
              </w:rPr>
              <w:t>6,510</w:t>
            </w:r>
          </w:p>
        </w:tc>
        <w:tc>
          <w:tcPr>
            <w:tcW w:w="1469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6"/>
              <w:ind w:right="352"/>
              <w:rPr>
                <w:sz w:val="20"/>
              </w:rPr>
            </w:pPr>
            <w:r>
              <w:rPr>
                <w:sz w:val="20"/>
              </w:rPr>
              <w:t>23.03</w:t>
            </w:r>
          </w:p>
        </w:tc>
        <w:tc>
          <w:tcPr>
            <w:tcW w:w="1052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6"/>
              <w:ind w:right="-15"/>
              <w:rPr>
                <w:sz w:val="20"/>
              </w:rPr>
            </w:pPr>
            <w:r>
              <w:rPr>
                <w:sz w:val="20"/>
              </w:rPr>
              <w:t>23.03</w:t>
            </w:r>
          </w:p>
        </w:tc>
      </w:tr>
      <w:tr>
        <w:trPr>
          <w:trHeight w:val="288" w:hRule="atLeast"/>
        </w:trPr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170"/>
              <w:rPr>
                <w:sz w:val="20"/>
              </w:rPr>
            </w:pPr>
            <w:r>
              <w:rPr>
                <w:w w:val="92"/>
                <w:sz w:val="20"/>
              </w:rPr>
              <w:t>2</w:t>
            </w:r>
          </w:p>
        </w:tc>
        <w:tc>
          <w:tcPr>
            <w:tcW w:w="16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1"/>
              <w:ind w:right="294"/>
              <w:rPr>
                <w:sz w:val="20"/>
              </w:rPr>
            </w:pPr>
            <w:r>
              <w:rPr>
                <w:sz w:val="20"/>
              </w:rPr>
              <w:t>2,614</w:t>
            </w:r>
          </w:p>
        </w:tc>
        <w:tc>
          <w:tcPr>
            <w:tcW w:w="1469" w:type="dxa"/>
          </w:tcPr>
          <w:p>
            <w:pPr>
              <w:pStyle w:val="TableParagraph"/>
              <w:spacing w:before="31"/>
              <w:ind w:right="352"/>
              <w:rPr>
                <w:sz w:val="20"/>
              </w:rPr>
            </w:pPr>
            <w:r>
              <w:rPr>
                <w:sz w:val="20"/>
              </w:rPr>
              <w:t>9.25</w:t>
            </w:r>
          </w:p>
        </w:tc>
        <w:tc>
          <w:tcPr>
            <w:tcW w:w="1052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32.27</w:t>
            </w:r>
          </w:p>
        </w:tc>
      </w:tr>
      <w:tr>
        <w:trPr>
          <w:trHeight w:val="288" w:hRule="atLeast"/>
        </w:trPr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170"/>
              <w:rPr>
                <w:sz w:val="20"/>
              </w:rPr>
            </w:pPr>
            <w:r>
              <w:rPr>
                <w:w w:val="92"/>
                <w:sz w:val="20"/>
              </w:rPr>
              <w:t>3</w:t>
            </w:r>
          </w:p>
        </w:tc>
        <w:tc>
          <w:tcPr>
            <w:tcW w:w="16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0"/>
              <w:ind w:right="29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69" w:type="dxa"/>
          </w:tcPr>
          <w:p>
            <w:pPr>
              <w:pStyle w:val="TableParagraph"/>
              <w:spacing w:before="30"/>
              <w:ind w:right="352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1052" w:type="dxa"/>
          </w:tcPr>
          <w:p>
            <w:pPr>
              <w:pStyle w:val="TableParagraph"/>
              <w:spacing w:before="30"/>
              <w:ind w:right="-15"/>
              <w:rPr>
                <w:sz w:val="20"/>
              </w:rPr>
            </w:pPr>
            <w:r>
              <w:rPr>
                <w:sz w:val="20"/>
              </w:rPr>
              <w:t>32.41</w:t>
            </w:r>
          </w:p>
        </w:tc>
      </w:tr>
      <w:tr>
        <w:trPr>
          <w:trHeight w:val="289" w:hRule="atLeast"/>
        </w:trPr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170"/>
              <w:rPr>
                <w:sz w:val="20"/>
              </w:rPr>
            </w:pPr>
            <w:r>
              <w:rPr>
                <w:w w:val="92"/>
                <w:sz w:val="20"/>
              </w:rPr>
              <w:t>4</w:t>
            </w:r>
          </w:p>
        </w:tc>
        <w:tc>
          <w:tcPr>
            <w:tcW w:w="16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1"/>
              <w:ind w:right="294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69" w:type="dxa"/>
          </w:tcPr>
          <w:p>
            <w:pPr>
              <w:pStyle w:val="TableParagraph"/>
              <w:spacing w:before="31"/>
              <w:ind w:right="352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1052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32.67</w:t>
            </w:r>
          </w:p>
        </w:tc>
      </w:tr>
      <w:tr>
        <w:trPr>
          <w:trHeight w:val="288" w:hRule="atLeast"/>
        </w:trPr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170"/>
              <w:rPr>
                <w:sz w:val="20"/>
              </w:rPr>
            </w:pPr>
            <w:r>
              <w:rPr>
                <w:w w:val="92"/>
                <w:sz w:val="20"/>
              </w:rPr>
              <w:t>5</w:t>
            </w:r>
          </w:p>
        </w:tc>
        <w:tc>
          <w:tcPr>
            <w:tcW w:w="16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1"/>
              <w:ind w:right="294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469" w:type="dxa"/>
          </w:tcPr>
          <w:p>
            <w:pPr>
              <w:pStyle w:val="TableParagraph"/>
              <w:spacing w:before="31"/>
              <w:ind w:right="352"/>
              <w:rPr>
                <w:sz w:val="20"/>
              </w:rPr>
            </w:pPr>
            <w:r>
              <w:rPr>
                <w:sz w:val="20"/>
              </w:rPr>
              <w:t>0.53</w:t>
            </w:r>
          </w:p>
        </w:tc>
        <w:tc>
          <w:tcPr>
            <w:tcW w:w="1052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33.21</w:t>
            </w:r>
          </w:p>
        </w:tc>
      </w:tr>
      <w:tr>
        <w:trPr>
          <w:trHeight w:val="288" w:hRule="atLeast"/>
        </w:trPr>
        <w:tc>
          <w:tcPr>
            <w:tcW w:w="1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170"/>
              <w:rPr>
                <w:sz w:val="20"/>
              </w:rPr>
            </w:pPr>
            <w:r>
              <w:rPr>
                <w:w w:val="92"/>
                <w:sz w:val="20"/>
              </w:rPr>
              <w:t>6</w:t>
            </w:r>
          </w:p>
        </w:tc>
        <w:tc>
          <w:tcPr>
            <w:tcW w:w="16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0"/>
              <w:ind w:right="294"/>
              <w:rPr>
                <w:sz w:val="20"/>
              </w:rPr>
            </w:pPr>
            <w:r>
              <w:rPr>
                <w:sz w:val="20"/>
              </w:rPr>
              <w:t>915</w:t>
            </w:r>
          </w:p>
        </w:tc>
        <w:tc>
          <w:tcPr>
            <w:tcW w:w="1469" w:type="dxa"/>
          </w:tcPr>
          <w:p>
            <w:pPr>
              <w:pStyle w:val="TableParagraph"/>
              <w:spacing w:before="30"/>
              <w:ind w:right="352"/>
              <w:rPr>
                <w:sz w:val="20"/>
              </w:rPr>
            </w:pPr>
            <w:r>
              <w:rPr>
                <w:sz w:val="20"/>
              </w:rPr>
              <w:t>3.24</w:t>
            </w:r>
          </w:p>
        </w:tc>
        <w:tc>
          <w:tcPr>
            <w:tcW w:w="1052" w:type="dxa"/>
          </w:tcPr>
          <w:p>
            <w:pPr>
              <w:pStyle w:val="TableParagraph"/>
              <w:spacing w:before="30"/>
              <w:ind w:right="-15"/>
              <w:rPr>
                <w:sz w:val="20"/>
              </w:rPr>
            </w:pPr>
            <w:r>
              <w:rPr>
                <w:sz w:val="20"/>
              </w:rPr>
              <w:t>36.44</w:t>
            </w:r>
          </w:p>
        </w:tc>
      </w:tr>
      <w:tr>
        <w:trPr>
          <w:trHeight w:val="413" w:hRule="atLeast"/>
        </w:trPr>
        <w:tc>
          <w:tcPr>
            <w:tcW w:w="1461" w:type="dxa"/>
            <w:tcBorders>
              <w:bottom w:val="dashSmallGap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170"/>
              <w:rPr>
                <w:sz w:val="20"/>
              </w:rPr>
            </w:pPr>
            <w:r>
              <w:rPr>
                <w:w w:val="92"/>
                <w:sz w:val="20"/>
              </w:rPr>
              <w:t>7</w:t>
            </w:r>
          </w:p>
        </w:tc>
        <w:tc>
          <w:tcPr>
            <w:tcW w:w="1642" w:type="dxa"/>
            <w:tcBorders>
              <w:left w:val="single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right="294"/>
              <w:rPr>
                <w:sz w:val="20"/>
              </w:rPr>
            </w:pPr>
            <w:r>
              <w:rPr>
                <w:sz w:val="20"/>
              </w:rPr>
              <w:t>17,967</w:t>
            </w:r>
          </w:p>
        </w:tc>
        <w:tc>
          <w:tcPr>
            <w:tcW w:w="1469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right="352"/>
              <w:rPr>
                <w:sz w:val="20"/>
              </w:rPr>
            </w:pPr>
            <w:r>
              <w:rPr>
                <w:sz w:val="20"/>
              </w:rPr>
              <w:t>63.56</w:t>
            </w:r>
          </w:p>
        </w:tc>
        <w:tc>
          <w:tcPr>
            <w:tcW w:w="105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100.00</w:t>
            </w:r>
          </w:p>
        </w:tc>
      </w:tr>
      <w:tr>
        <w:trPr>
          <w:trHeight w:val="423" w:hRule="atLeast"/>
        </w:trPr>
        <w:tc>
          <w:tcPr>
            <w:tcW w:w="1461" w:type="dxa"/>
            <w:tcBorders>
              <w:top w:val="dashSmallGap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5"/>
              <w:ind w:right="170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642" w:type="dxa"/>
            <w:tcBorders>
              <w:top w:val="dashSmallGap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75"/>
              <w:ind w:right="294"/>
              <w:rPr>
                <w:sz w:val="20"/>
              </w:rPr>
            </w:pPr>
            <w:r>
              <w:rPr>
                <w:sz w:val="20"/>
              </w:rPr>
              <w:t>28,270</w:t>
            </w:r>
          </w:p>
        </w:tc>
        <w:tc>
          <w:tcPr>
            <w:tcW w:w="1469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5"/>
              <w:ind w:right="352"/>
              <w:rPr>
                <w:sz w:val="20"/>
              </w:rPr>
            </w:pPr>
            <w:r>
              <w:rPr>
                <w:sz w:val="20"/>
              </w:rPr>
              <w:t>100.00</w:t>
            </w:r>
          </w:p>
        </w:tc>
        <w:tc>
          <w:tcPr>
            <w:tcW w:w="1052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i/>
        </w:rPr>
      </w:pPr>
    </w:p>
    <w:p>
      <w:pPr>
        <w:spacing w:before="193"/>
        <w:ind w:left="197" w:right="515" w:firstLine="0"/>
        <w:jc w:val="center"/>
        <w:rPr>
          <w:sz w:val="22"/>
        </w:rPr>
      </w:pPr>
      <w:r>
        <w:rPr>
          <w:sz w:val="22"/>
        </w:rPr>
        <w:t>TABLE</w:t>
      </w:r>
      <w:r>
        <w:rPr>
          <w:spacing w:val="-2"/>
          <w:sz w:val="22"/>
        </w:rPr>
        <w:t> </w:t>
      </w:r>
      <w:r>
        <w:rPr>
          <w:sz w:val="22"/>
        </w:rPr>
        <w:t>D4: GENDER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RESPONDENTS</w:t>
      </w:r>
      <w:r>
        <w:rPr>
          <w:spacing w:val="-1"/>
          <w:sz w:val="22"/>
        </w:rPr>
        <w:t> </w:t>
      </w:r>
      <w:r>
        <w:rPr>
          <w:sz w:val="22"/>
        </w:rPr>
        <w:t>(1=MALE, 2=FEMALE)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WAVE</w:t>
      </w:r>
      <w:r>
        <w:rPr>
          <w:spacing w:val="-4"/>
          <w:sz w:val="22"/>
        </w:rPr>
        <w:t> </w:t>
      </w:r>
      <w:r>
        <w:rPr>
          <w:sz w:val="22"/>
        </w:rPr>
        <w:t>2</w:t>
      </w: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2"/>
        <w:gridCol w:w="1621"/>
        <w:gridCol w:w="1450"/>
        <w:gridCol w:w="1038"/>
      </w:tblGrid>
      <w:tr>
        <w:trPr>
          <w:trHeight w:val="730" w:hRule="atLeast"/>
        </w:trPr>
        <w:tc>
          <w:tcPr>
            <w:tcW w:w="1442" w:type="dxa"/>
            <w:tcBorders>
              <w:bottom w:val="dashSmallGap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right="168"/>
              <w:rPr>
                <w:sz w:val="21"/>
              </w:rPr>
            </w:pPr>
            <w:r>
              <w:rPr>
                <w:w w:val="95"/>
                <w:sz w:val="21"/>
              </w:rPr>
              <w:t>Household</w:t>
            </w:r>
          </w:p>
          <w:p>
            <w:pPr>
              <w:pStyle w:val="TableParagraph"/>
              <w:spacing w:before="66"/>
              <w:ind w:right="168"/>
              <w:rPr>
                <w:sz w:val="21"/>
              </w:rPr>
            </w:pPr>
            <w:r>
              <w:rPr>
                <w:w w:val="95"/>
                <w:sz w:val="21"/>
              </w:rPr>
              <w:t>Head</w:t>
            </w:r>
          </w:p>
        </w:tc>
        <w:tc>
          <w:tcPr>
            <w:tcW w:w="1621" w:type="dxa"/>
            <w:tcBorders>
              <w:left w:val="single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291"/>
              <w:rPr>
                <w:sz w:val="21"/>
              </w:rPr>
            </w:pPr>
            <w:r>
              <w:rPr>
                <w:w w:val="95"/>
                <w:sz w:val="21"/>
              </w:rPr>
              <w:t>Freq.</w:t>
            </w:r>
          </w:p>
        </w:tc>
        <w:tc>
          <w:tcPr>
            <w:tcW w:w="145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349"/>
              <w:rPr>
                <w:sz w:val="21"/>
              </w:rPr>
            </w:pPr>
            <w:r>
              <w:rPr>
                <w:w w:val="95"/>
                <w:sz w:val="21"/>
              </w:rPr>
              <w:t>Percent</w:t>
            </w:r>
          </w:p>
        </w:tc>
        <w:tc>
          <w:tcPr>
            <w:tcW w:w="1038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right="-15"/>
              <w:rPr>
                <w:sz w:val="21"/>
              </w:rPr>
            </w:pPr>
            <w:r>
              <w:rPr>
                <w:w w:val="95"/>
                <w:sz w:val="21"/>
              </w:rPr>
              <w:t>Cum.</w:t>
            </w:r>
          </w:p>
        </w:tc>
      </w:tr>
      <w:tr>
        <w:trPr>
          <w:trHeight w:val="456" w:hRule="atLeast"/>
        </w:trPr>
        <w:tc>
          <w:tcPr>
            <w:tcW w:w="1442" w:type="dxa"/>
            <w:tcBorders>
              <w:top w:val="dashSmallGap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6"/>
              <w:ind w:right="168"/>
              <w:rPr>
                <w:sz w:val="21"/>
              </w:rPr>
            </w:pPr>
            <w:r>
              <w:rPr>
                <w:w w:val="87"/>
                <w:sz w:val="21"/>
              </w:rPr>
              <w:t>1</w:t>
            </w:r>
          </w:p>
        </w:tc>
        <w:tc>
          <w:tcPr>
            <w:tcW w:w="1621" w:type="dxa"/>
            <w:tcBorders>
              <w:top w:val="dashSmallGap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86"/>
              <w:ind w:right="291"/>
              <w:rPr>
                <w:sz w:val="21"/>
              </w:rPr>
            </w:pPr>
            <w:r>
              <w:rPr>
                <w:w w:val="95"/>
                <w:sz w:val="21"/>
              </w:rPr>
              <w:t>14,913</w:t>
            </w:r>
          </w:p>
        </w:tc>
        <w:tc>
          <w:tcPr>
            <w:tcW w:w="145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86"/>
              <w:ind w:right="349"/>
              <w:rPr>
                <w:sz w:val="21"/>
              </w:rPr>
            </w:pPr>
            <w:r>
              <w:rPr>
                <w:w w:val="95"/>
                <w:sz w:val="21"/>
              </w:rPr>
              <w:t>49.33</w:t>
            </w:r>
          </w:p>
        </w:tc>
        <w:tc>
          <w:tcPr>
            <w:tcW w:w="1038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86"/>
              <w:ind w:right="-15"/>
              <w:rPr>
                <w:sz w:val="21"/>
              </w:rPr>
            </w:pPr>
            <w:r>
              <w:rPr>
                <w:w w:val="95"/>
                <w:sz w:val="21"/>
              </w:rPr>
              <w:t>49.33</w:t>
            </w:r>
          </w:p>
        </w:tc>
      </w:tr>
      <w:tr>
        <w:trPr>
          <w:trHeight w:val="434" w:hRule="atLeast"/>
        </w:trPr>
        <w:tc>
          <w:tcPr>
            <w:tcW w:w="1442" w:type="dxa"/>
            <w:tcBorders>
              <w:bottom w:val="dashSmallGap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right="168"/>
              <w:rPr>
                <w:sz w:val="21"/>
              </w:rPr>
            </w:pPr>
            <w:r>
              <w:rPr>
                <w:w w:val="87"/>
                <w:sz w:val="21"/>
              </w:rPr>
              <w:t>2</w:t>
            </w:r>
          </w:p>
        </w:tc>
        <w:tc>
          <w:tcPr>
            <w:tcW w:w="1621" w:type="dxa"/>
            <w:tcBorders>
              <w:left w:val="single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2"/>
              <w:ind w:right="291"/>
              <w:rPr>
                <w:sz w:val="21"/>
              </w:rPr>
            </w:pPr>
            <w:r>
              <w:rPr>
                <w:w w:val="95"/>
                <w:sz w:val="21"/>
              </w:rPr>
              <w:t>15,321</w:t>
            </w:r>
          </w:p>
        </w:tc>
        <w:tc>
          <w:tcPr>
            <w:tcW w:w="145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2"/>
              <w:ind w:right="349"/>
              <w:rPr>
                <w:sz w:val="21"/>
              </w:rPr>
            </w:pPr>
            <w:r>
              <w:rPr>
                <w:w w:val="95"/>
                <w:sz w:val="21"/>
              </w:rPr>
              <w:t>50.67</w:t>
            </w:r>
          </w:p>
        </w:tc>
        <w:tc>
          <w:tcPr>
            <w:tcW w:w="1038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2"/>
              <w:ind w:right="-15"/>
              <w:rPr>
                <w:sz w:val="21"/>
              </w:rPr>
            </w:pPr>
            <w:r>
              <w:rPr>
                <w:w w:val="95"/>
                <w:sz w:val="21"/>
              </w:rPr>
              <w:t>100.00</w:t>
            </w:r>
          </w:p>
        </w:tc>
      </w:tr>
      <w:tr>
        <w:trPr>
          <w:trHeight w:val="445" w:hRule="atLeast"/>
        </w:trPr>
        <w:tc>
          <w:tcPr>
            <w:tcW w:w="1442" w:type="dxa"/>
            <w:tcBorders>
              <w:top w:val="dashSmallGap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5"/>
              <w:ind w:right="168"/>
              <w:rPr>
                <w:sz w:val="21"/>
              </w:rPr>
            </w:pPr>
            <w:r>
              <w:rPr>
                <w:w w:val="95"/>
                <w:sz w:val="21"/>
              </w:rPr>
              <w:t>Total</w:t>
            </w:r>
          </w:p>
        </w:tc>
        <w:tc>
          <w:tcPr>
            <w:tcW w:w="1621" w:type="dxa"/>
            <w:tcBorders>
              <w:top w:val="dashSmallGap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85"/>
              <w:ind w:right="291"/>
              <w:rPr>
                <w:sz w:val="21"/>
              </w:rPr>
            </w:pPr>
            <w:r>
              <w:rPr>
                <w:w w:val="95"/>
                <w:sz w:val="21"/>
              </w:rPr>
              <w:t>30,234</w:t>
            </w:r>
          </w:p>
        </w:tc>
        <w:tc>
          <w:tcPr>
            <w:tcW w:w="145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85"/>
              <w:ind w:right="349"/>
              <w:rPr>
                <w:sz w:val="21"/>
              </w:rPr>
            </w:pPr>
            <w:r>
              <w:rPr>
                <w:w w:val="95"/>
                <w:sz w:val="21"/>
              </w:rPr>
              <w:t>100.00</w:t>
            </w:r>
          </w:p>
        </w:tc>
        <w:tc>
          <w:tcPr>
            <w:tcW w:w="1038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243" w:right="557" w:firstLine="0"/>
        <w:jc w:val="center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D5:</w:t>
      </w:r>
      <w:r>
        <w:rPr>
          <w:spacing w:val="-3"/>
          <w:sz w:val="22"/>
        </w:rPr>
        <w:t> </w:t>
      </w:r>
      <w:r>
        <w:rPr>
          <w:sz w:val="22"/>
        </w:rPr>
        <w:t>MARITAL</w:t>
      </w:r>
      <w:r>
        <w:rPr>
          <w:spacing w:val="-1"/>
          <w:sz w:val="22"/>
        </w:rPr>
        <w:t> </w:t>
      </w:r>
      <w:r>
        <w:rPr>
          <w:sz w:val="22"/>
        </w:rPr>
        <w:t>STATUS</w:t>
      </w:r>
      <w:r>
        <w:rPr>
          <w:spacing w:val="-2"/>
          <w:sz w:val="22"/>
        </w:rPr>
        <w:t> </w:t>
      </w:r>
      <w:r>
        <w:rPr>
          <w:sz w:val="22"/>
        </w:rPr>
        <w:t>OF HOUSEHOLD’S</w:t>
      </w:r>
      <w:r>
        <w:rPr>
          <w:spacing w:val="-1"/>
          <w:sz w:val="22"/>
        </w:rPr>
        <w:t> </w:t>
      </w:r>
      <w:r>
        <w:rPr>
          <w:sz w:val="22"/>
        </w:rPr>
        <w:t>HEAD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WAVE</w:t>
      </w:r>
      <w:r>
        <w:rPr>
          <w:spacing w:val="-1"/>
          <w:sz w:val="22"/>
        </w:rPr>
        <w:t> </w:t>
      </w:r>
      <w:r>
        <w:rPr>
          <w:sz w:val="22"/>
        </w:rPr>
        <w:t>2</w:t>
      </w:r>
    </w:p>
    <w:p>
      <w:pPr>
        <w:spacing w:before="19"/>
        <w:ind w:left="197" w:right="518" w:firstLine="0"/>
        <w:jc w:val="center"/>
        <w:rPr>
          <w:sz w:val="22"/>
        </w:rPr>
      </w:pPr>
      <w:r>
        <w:rPr>
          <w:sz w:val="22"/>
        </w:rPr>
        <w:t>(1=Married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one</w:t>
      </w:r>
      <w:r>
        <w:rPr>
          <w:spacing w:val="-2"/>
          <w:sz w:val="22"/>
        </w:rPr>
        <w:t> </w:t>
      </w:r>
      <w:r>
        <w:rPr>
          <w:sz w:val="22"/>
        </w:rPr>
        <w:t>wife,</w:t>
      </w:r>
      <w:r>
        <w:rPr>
          <w:spacing w:val="-3"/>
          <w:sz w:val="22"/>
        </w:rPr>
        <w:t> </w:t>
      </w:r>
      <w:r>
        <w:rPr>
          <w:sz w:val="22"/>
        </w:rPr>
        <w:t>2=Married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wives,</w:t>
      </w:r>
      <w:r>
        <w:rPr>
          <w:spacing w:val="-1"/>
          <w:sz w:val="22"/>
        </w:rPr>
        <w:t> </w:t>
      </w:r>
      <w:r>
        <w:rPr>
          <w:sz w:val="22"/>
        </w:rPr>
        <w:t>3=Single</w:t>
      </w:r>
      <w:r>
        <w:rPr>
          <w:spacing w:val="-4"/>
          <w:sz w:val="22"/>
        </w:rPr>
        <w:t> </w:t>
      </w:r>
      <w:r>
        <w:rPr>
          <w:sz w:val="22"/>
        </w:rPr>
        <w:t>Parent,</w:t>
      </w:r>
      <w:r>
        <w:rPr>
          <w:spacing w:val="-2"/>
          <w:sz w:val="22"/>
        </w:rPr>
        <w:t> </w:t>
      </w:r>
      <w:r>
        <w:rPr>
          <w:sz w:val="22"/>
        </w:rPr>
        <w:t>4=Divorce,</w:t>
      </w:r>
      <w:r>
        <w:rPr>
          <w:spacing w:val="-4"/>
          <w:sz w:val="22"/>
        </w:rPr>
        <w:t> </w:t>
      </w:r>
      <w:r>
        <w:rPr>
          <w:sz w:val="22"/>
        </w:rPr>
        <w:t>5=Widow,</w:t>
      </w:r>
      <w:r>
        <w:rPr>
          <w:spacing w:val="-2"/>
          <w:sz w:val="22"/>
        </w:rPr>
        <w:t> </w:t>
      </w:r>
      <w:r>
        <w:rPr>
          <w:sz w:val="22"/>
        </w:rPr>
        <w:t>7=Never</w:t>
      </w:r>
      <w:r>
        <w:rPr>
          <w:spacing w:val="-1"/>
          <w:sz w:val="22"/>
        </w:rPr>
        <w:t> </w:t>
      </w:r>
      <w:r>
        <w:rPr>
          <w:sz w:val="22"/>
        </w:rPr>
        <w:t>Married)</w:t>
      </w:r>
    </w:p>
    <w:p>
      <w:pPr>
        <w:pStyle w:val="BodyText"/>
        <w:spacing w:before="3" w:after="1"/>
        <w:rPr>
          <w:sz w:val="28"/>
        </w:rPr>
      </w:pP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1508"/>
        <w:gridCol w:w="1349"/>
        <w:gridCol w:w="966"/>
      </w:tblGrid>
      <w:tr>
        <w:trPr>
          <w:trHeight w:val="700" w:hRule="atLeast"/>
        </w:trPr>
        <w:tc>
          <w:tcPr>
            <w:tcW w:w="1341" w:type="dxa"/>
            <w:tcBorders>
              <w:bottom w:val="dashSmallGap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9" w:lineRule="auto" w:before="25"/>
              <w:ind w:left="531" w:hanging="108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Marital</w:t>
            </w:r>
            <w:r>
              <w:rPr>
                <w:spacing w:val="-10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Status</w:t>
            </w:r>
          </w:p>
        </w:tc>
        <w:tc>
          <w:tcPr>
            <w:tcW w:w="1508" w:type="dxa"/>
            <w:tcBorders>
              <w:left w:val="single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Freq.</w:t>
            </w:r>
          </w:p>
        </w:tc>
        <w:tc>
          <w:tcPr>
            <w:tcW w:w="1349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324"/>
              <w:rPr>
                <w:sz w:val="20"/>
              </w:rPr>
            </w:pPr>
            <w:r>
              <w:rPr>
                <w:w w:val="95"/>
                <w:sz w:val="20"/>
              </w:rPr>
              <w:t>Percent</w:t>
            </w:r>
          </w:p>
        </w:tc>
        <w:tc>
          <w:tcPr>
            <w:tcW w:w="96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Cum.</w:t>
            </w:r>
          </w:p>
        </w:tc>
      </w:tr>
      <w:tr>
        <w:trPr>
          <w:trHeight w:val="438" w:hRule="atLeast"/>
        </w:trPr>
        <w:tc>
          <w:tcPr>
            <w:tcW w:w="1341" w:type="dxa"/>
            <w:tcBorders>
              <w:top w:val="dashSmallGap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ind w:right="155"/>
              <w:rPr>
                <w:sz w:val="20"/>
              </w:rPr>
            </w:pPr>
            <w:r>
              <w:rPr>
                <w:w w:val="85"/>
                <w:sz w:val="20"/>
              </w:rPr>
              <w:t>1</w:t>
            </w:r>
          </w:p>
        </w:tc>
        <w:tc>
          <w:tcPr>
            <w:tcW w:w="1508" w:type="dxa"/>
            <w:tcBorders>
              <w:top w:val="dashSmallGap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79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6,021</w:t>
            </w:r>
          </w:p>
        </w:tc>
        <w:tc>
          <w:tcPr>
            <w:tcW w:w="1349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9"/>
              <w:ind w:right="324"/>
              <w:rPr>
                <w:sz w:val="20"/>
              </w:rPr>
            </w:pPr>
            <w:r>
              <w:rPr>
                <w:w w:val="95"/>
                <w:sz w:val="20"/>
              </w:rPr>
              <w:t>20.76</w:t>
            </w:r>
          </w:p>
        </w:tc>
        <w:tc>
          <w:tcPr>
            <w:tcW w:w="96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9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20.76</w:t>
            </w:r>
          </w:p>
        </w:tc>
      </w:tr>
      <w:tr>
        <w:trPr>
          <w:trHeight w:val="291" w:hRule="atLeast"/>
        </w:trPr>
        <w:tc>
          <w:tcPr>
            <w:tcW w:w="134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2"/>
              <w:ind w:right="155"/>
              <w:rPr>
                <w:sz w:val="20"/>
              </w:rPr>
            </w:pPr>
            <w:r>
              <w:rPr>
                <w:w w:val="85"/>
                <w:sz w:val="20"/>
              </w:rPr>
              <w:t>2</w:t>
            </w:r>
          </w:p>
        </w:tc>
        <w:tc>
          <w:tcPr>
            <w:tcW w:w="15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2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2,956</w:t>
            </w:r>
          </w:p>
        </w:tc>
        <w:tc>
          <w:tcPr>
            <w:tcW w:w="1349" w:type="dxa"/>
          </w:tcPr>
          <w:p>
            <w:pPr>
              <w:pStyle w:val="TableParagraph"/>
              <w:spacing w:before="32"/>
              <w:ind w:right="324"/>
              <w:rPr>
                <w:sz w:val="20"/>
              </w:rPr>
            </w:pPr>
            <w:r>
              <w:rPr>
                <w:w w:val="95"/>
                <w:sz w:val="20"/>
              </w:rPr>
              <w:t>10.19</w:t>
            </w:r>
          </w:p>
        </w:tc>
        <w:tc>
          <w:tcPr>
            <w:tcW w:w="966" w:type="dxa"/>
          </w:tcPr>
          <w:p>
            <w:pPr>
              <w:pStyle w:val="TableParagraph"/>
              <w:spacing w:before="32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30.96</w:t>
            </w:r>
          </w:p>
        </w:tc>
      </w:tr>
      <w:tr>
        <w:trPr>
          <w:trHeight w:val="291" w:hRule="atLeast"/>
        </w:trPr>
        <w:tc>
          <w:tcPr>
            <w:tcW w:w="134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2"/>
              <w:ind w:right="155"/>
              <w:rPr>
                <w:sz w:val="20"/>
              </w:rPr>
            </w:pPr>
            <w:r>
              <w:rPr>
                <w:w w:val="85"/>
                <w:sz w:val="20"/>
              </w:rPr>
              <w:t>3</w:t>
            </w:r>
          </w:p>
        </w:tc>
        <w:tc>
          <w:tcPr>
            <w:tcW w:w="15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2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22</w:t>
            </w:r>
          </w:p>
        </w:tc>
        <w:tc>
          <w:tcPr>
            <w:tcW w:w="1349" w:type="dxa"/>
          </w:tcPr>
          <w:p>
            <w:pPr>
              <w:pStyle w:val="TableParagraph"/>
              <w:spacing w:before="32"/>
              <w:ind w:right="324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66" w:type="dxa"/>
          </w:tcPr>
          <w:p>
            <w:pPr>
              <w:pStyle w:val="TableParagraph"/>
              <w:spacing w:before="32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31.03</w:t>
            </w:r>
          </w:p>
        </w:tc>
      </w:tr>
      <w:tr>
        <w:trPr>
          <w:trHeight w:val="291" w:hRule="atLeast"/>
        </w:trPr>
        <w:tc>
          <w:tcPr>
            <w:tcW w:w="134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2"/>
              <w:ind w:right="155"/>
              <w:rPr>
                <w:sz w:val="20"/>
              </w:rPr>
            </w:pPr>
            <w:r>
              <w:rPr>
                <w:w w:val="85"/>
                <w:sz w:val="20"/>
              </w:rPr>
              <w:t>4</w:t>
            </w:r>
          </w:p>
        </w:tc>
        <w:tc>
          <w:tcPr>
            <w:tcW w:w="15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2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92</w:t>
            </w:r>
          </w:p>
        </w:tc>
        <w:tc>
          <w:tcPr>
            <w:tcW w:w="1349" w:type="dxa"/>
          </w:tcPr>
          <w:p>
            <w:pPr>
              <w:pStyle w:val="TableParagraph"/>
              <w:spacing w:before="32"/>
              <w:ind w:right="324"/>
              <w:rPr>
                <w:sz w:val="20"/>
              </w:rPr>
            </w:pPr>
            <w:r>
              <w:rPr>
                <w:w w:val="95"/>
                <w:sz w:val="20"/>
              </w:rPr>
              <w:t>0.32</w:t>
            </w:r>
          </w:p>
        </w:tc>
        <w:tc>
          <w:tcPr>
            <w:tcW w:w="966" w:type="dxa"/>
          </w:tcPr>
          <w:p>
            <w:pPr>
              <w:pStyle w:val="TableParagraph"/>
              <w:spacing w:before="32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31.35</w:t>
            </w:r>
          </w:p>
        </w:tc>
      </w:tr>
      <w:tr>
        <w:trPr>
          <w:trHeight w:val="291" w:hRule="atLeast"/>
        </w:trPr>
        <w:tc>
          <w:tcPr>
            <w:tcW w:w="134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2"/>
              <w:ind w:right="155"/>
              <w:rPr>
                <w:sz w:val="20"/>
              </w:rPr>
            </w:pPr>
            <w:r>
              <w:rPr>
                <w:w w:val="85"/>
                <w:sz w:val="20"/>
              </w:rPr>
              <w:t>5</w:t>
            </w:r>
          </w:p>
        </w:tc>
        <w:tc>
          <w:tcPr>
            <w:tcW w:w="15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2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175</w:t>
            </w:r>
          </w:p>
        </w:tc>
        <w:tc>
          <w:tcPr>
            <w:tcW w:w="1349" w:type="dxa"/>
          </w:tcPr>
          <w:p>
            <w:pPr>
              <w:pStyle w:val="TableParagraph"/>
              <w:spacing w:before="32"/>
              <w:ind w:right="324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966" w:type="dxa"/>
          </w:tcPr>
          <w:p>
            <w:pPr>
              <w:pStyle w:val="TableParagraph"/>
              <w:spacing w:before="32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31.95</w:t>
            </w:r>
          </w:p>
        </w:tc>
      </w:tr>
      <w:tr>
        <w:trPr>
          <w:trHeight w:val="291" w:hRule="atLeast"/>
        </w:trPr>
        <w:tc>
          <w:tcPr>
            <w:tcW w:w="134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2"/>
              <w:ind w:right="155"/>
              <w:rPr>
                <w:sz w:val="20"/>
              </w:rPr>
            </w:pPr>
            <w:r>
              <w:rPr>
                <w:w w:val="85"/>
                <w:sz w:val="20"/>
              </w:rPr>
              <w:t>6</w:t>
            </w:r>
          </w:p>
        </w:tc>
        <w:tc>
          <w:tcPr>
            <w:tcW w:w="15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2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1,054</w:t>
            </w:r>
          </w:p>
        </w:tc>
        <w:tc>
          <w:tcPr>
            <w:tcW w:w="1349" w:type="dxa"/>
          </w:tcPr>
          <w:p>
            <w:pPr>
              <w:pStyle w:val="TableParagraph"/>
              <w:spacing w:before="32"/>
              <w:ind w:right="324"/>
              <w:rPr>
                <w:sz w:val="20"/>
              </w:rPr>
            </w:pPr>
            <w:r>
              <w:rPr>
                <w:w w:val="95"/>
                <w:sz w:val="20"/>
              </w:rPr>
              <w:t>3.63</w:t>
            </w:r>
          </w:p>
        </w:tc>
        <w:tc>
          <w:tcPr>
            <w:tcW w:w="966" w:type="dxa"/>
          </w:tcPr>
          <w:p>
            <w:pPr>
              <w:pStyle w:val="TableParagraph"/>
              <w:spacing w:before="32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35.59</w:t>
            </w:r>
          </w:p>
        </w:tc>
      </w:tr>
      <w:tr>
        <w:trPr>
          <w:trHeight w:val="416" w:hRule="atLeast"/>
        </w:trPr>
        <w:tc>
          <w:tcPr>
            <w:tcW w:w="1341" w:type="dxa"/>
            <w:tcBorders>
              <w:bottom w:val="dashSmallGap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right="155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508" w:type="dxa"/>
            <w:tcBorders>
              <w:left w:val="single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2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18,680</w:t>
            </w:r>
          </w:p>
        </w:tc>
        <w:tc>
          <w:tcPr>
            <w:tcW w:w="1349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2"/>
              <w:ind w:right="324"/>
              <w:rPr>
                <w:sz w:val="20"/>
              </w:rPr>
            </w:pPr>
            <w:r>
              <w:rPr>
                <w:w w:val="95"/>
                <w:sz w:val="20"/>
              </w:rPr>
              <w:t>64.41</w:t>
            </w:r>
          </w:p>
        </w:tc>
        <w:tc>
          <w:tcPr>
            <w:tcW w:w="96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2"/>
              <w:ind w:right="-15"/>
              <w:rPr>
                <w:sz w:val="20"/>
              </w:rPr>
            </w:pPr>
            <w:r>
              <w:rPr>
                <w:w w:val="95"/>
                <w:sz w:val="20"/>
              </w:rPr>
              <w:t>100.00</w:t>
            </w:r>
          </w:p>
        </w:tc>
      </w:tr>
      <w:tr>
        <w:trPr>
          <w:trHeight w:val="427" w:hRule="atLeast"/>
        </w:trPr>
        <w:tc>
          <w:tcPr>
            <w:tcW w:w="1341" w:type="dxa"/>
            <w:tcBorders>
              <w:top w:val="dashSmallGap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ind w:right="155"/>
              <w:rPr>
                <w:sz w:val="20"/>
              </w:rPr>
            </w:pPr>
            <w:r>
              <w:rPr>
                <w:w w:val="95"/>
                <w:sz w:val="20"/>
              </w:rPr>
              <w:t>Total</w:t>
            </w:r>
          </w:p>
        </w:tc>
        <w:tc>
          <w:tcPr>
            <w:tcW w:w="1508" w:type="dxa"/>
            <w:tcBorders>
              <w:top w:val="dashSmallGap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79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29,000</w:t>
            </w:r>
          </w:p>
        </w:tc>
        <w:tc>
          <w:tcPr>
            <w:tcW w:w="1349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9"/>
              <w:ind w:right="324"/>
              <w:rPr>
                <w:sz w:val="20"/>
              </w:rPr>
            </w:pPr>
            <w:r>
              <w:rPr>
                <w:w w:val="95"/>
                <w:sz w:val="20"/>
              </w:rPr>
              <w:t>100.00</w:t>
            </w:r>
          </w:p>
        </w:tc>
        <w:tc>
          <w:tcPr>
            <w:tcW w:w="966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header="0" w:footer="935" w:top="1360" w:bottom="1200" w:left="1320" w:right="1000"/>
        </w:sectPr>
      </w:pPr>
    </w:p>
    <w:p>
      <w:pPr>
        <w:spacing w:before="74"/>
        <w:ind w:left="197" w:right="513" w:firstLine="0"/>
        <w:jc w:val="center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D6:</w:t>
      </w:r>
      <w:r>
        <w:rPr>
          <w:spacing w:val="-1"/>
          <w:sz w:val="22"/>
        </w:rPr>
        <w:t> </w:t>
      </w:r>
      <w:r>
        <w:rPr>
          <w:sz w:val="22"/>
        </w:rPr>
        <w:t>HOUSEHOLD’S</w:t>
      </w:r>
      <w:r>
        <w:rPr>
          <w:spacing w:val="-1"/>
          <w:sz w:val="22"/>
        </w:rPr>
        <w:t> </w:t>
      </w:r>
      <w:r>
        <w:rPr>
          <w:sz w:val="22"/>
        </w:rPr>
        <w:t>SIZE IN</w:t>
      </w:r>
      <w:r>
        <w:rPr>
          <w:spacing w:val="-2"/>
          <w:sz w:val="22"/>
        </w:rPr>
        <w:t> </w:t>
      </w:r>
      <w:r>
        <w:rPr>
          <w:sz w:val="22"/>
        </w:rPr>
        <w:t>WAVE</w:t>
      </w:r>
      <w:r>
        <w:rPr>
          <w:spacing w:val="-2"/>
          <w:sz w:val="22"/>
        </w:rPr>
        <w:t> </w:t>
      </w:r>
      <w:r>
        <w:rPr>
          <w:sz w:val="22"/>
        </w:rPr>
        <w:t>2</w:t>
      </w:r>
    </w:p>
    <w:p>
      <w:pPr>
        <w:spacing w:before="53"/>
        <w:ind w:left="169" w:right="0" w:firstLine="0"/>
        <w:jc w:val="left"/>
        <w:rPr>
          <w:rFonts w:ascii="Courier New"/>
          <w:sz w:val="17"/>
        </w:rPr>
      </w:pPr>
      <w:r>
        <w:rPr/>
        <w:pict>
          <v:shape style="position:absolute;margin-left:74.888pt;margin-top:18.882065pt;width:20.3pt;height:.8pt;mso-position-horizontal-relative:page;mso-position-vertical-relative:paragraph;z-index:-15671296;mso-wrap-distance-left:0;mso-wrap-distance-right:0" coordorigin="1498,378" coordsize="406,16" path="m1598,378l1498,378,1498,393,1598,393,1598,378xm1714,378l1614,378,1614,393,1714,393,1714,378xm1830,378l1731,378,1731,393,1830,393,1830,378xm1903,393l1884,378,1847,378,1847,393,1903,393xe" filled="true" fillcolor="#000000" stroked="false">
            <v:path arrowok="t"/>
            <v:fill type="solid"/>
            <w10:wrap type="topAndBottom"/>
          </v:shape>
        </w:pict>
      </w:r>
      <w:r>
        <w:rPr>
          <w:rFonts w:ascii="Courier New"/>
          <w:w w:val="107"/>
          <w:sz w:val="17"/>
        </w:rPr>
        <w:t>F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5"/>
        </w:rPr>
      </w:pPr>
    </w:p>
    <w:p>
      <w:pPr>
        <w:spacing w:before="99"/>
        <w:ind w:left="1331" w:right="0" w:firstLine="0"/>
        <w:jc w:val="left"/>
        <w:rPr>
          <w:rFonts w:ascii="Courier New"/>
          <w:sz w:val="17"/>
        </w:rPr>
      </w:pPr>
      <w:r>
        <w:rPr>
          <w:rFonts w:ascii="Courier New"/>
          <w:w w:val="107"/>
          <w:sz w:val="17"/>
        </w:rPr>
        <w:t>3</w:t>
      </w: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682"/>
        <w:gridCol w:w="1395"/>
        <w:gridCol w:w="1041"/>
      </w:tblGrid>
      <w:tr>
        <w:trPr>
          <w:trHeight w:val="286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52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4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5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6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70"/>
              <w:jc w:val="center"/>
              <w:rPr>
                <w:sz w:val="17"/>
              </w:rPr>
            </w:pPr>
            <w:r>
              <w:rPr>
                <w:w w:val="107"/>
                <w:sz w:val="17"/>
              </w:rPr>
              <w:t>2</w:t>
            </w:r>
          </w:p>
        </w:tc>
        <w:tc>
          <w:tcPr>
            <w:tcW w:w="13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7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left="744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1,99</w:t>
            </w:r>
          </w:p>
        </w:tc>
        <w:tc>
          <w:tcPr>
            <w:tcW w:w="13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8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1,443</w:t>
            </w:r>
          </w:p>
        </w:tc>
        <w:tc>
          <w:tcPr>
            <w:tcW w:w="13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07"/>
                <w:sz w:val="17"/>
              </w:rPr>
              <w:t>9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1,010</w:t>
            </w:r>
          </w:p>
        </w:tc>
        <w:tc>
          <w:tcPr>
            <w:tcW w:w="13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10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695</w:t>
            </w:r>
          </w:p>
        </w:tc>
        <w:tc>
          <w:tcPr>
            <w:tcW w:w="1395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11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503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115"/>
              <w:jc w:val="center"/>
              <w:rPr>
                <w:sz w:val="17"/>
              </w:rPr>
            </w:pPr>
            <w:r>
              <w:rPr>
                <w:w w:val="107"/>
                <w:sz w:val="17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12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323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1.10</w:t>
            </w:r>
          </w:p>
        </w:tc>
        <w:tc>
          <w:tcPr>
            <w:tcW w:w="104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13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90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0.31</w:t>
            </w:r>
          </w:p>
        </w:tc>
        <w:tc>
          <w:tcPr>
            <w:tcW w:w="104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14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67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0.23</w:t>
            </w:r>
          </w:p>
        </w:tc>
        <w:tc>
          <w:tcPr>
            <w:tcW w:w="1041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15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46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0.16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17"/>
              </w:rPr>
            </w:pPr>
            <w:r>
              <w:rPr>
                <w:w w:val="107"/>
                <w:sz w:val="17"/>
              </w:rPr>
              <w:t>9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16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37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0.13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113"/>
              <w:rPr>
                <w:sz w:val="17"/>
              </w:rPr>
            </w:pPr>
            <w:r>
              <w:rPr>
                <w:w w:val="110"/>
                <w:sz w:val="17"/>
              </w:rPr>
              <w:t>99.5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17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33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0.11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99.66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18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25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0.09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99.74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19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21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0.07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99.81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20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12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0.04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99.85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21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07"/>
                <w:sz w:val="17"/>
              </w:rPr>
              <w:t>8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0.03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99.88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22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07"/>
                <w:sz w:val="17"/>
              </w:rPr>
              <w:t>7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0.02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99.90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23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07"/>
                <w:sz w:val="17"/>
              </w:rPr>
              <w:t>7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0.02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99.93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24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07"/>
                <w:sz w:val="17"/>
              </w:rPr>
              <w:t>5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0.02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99.95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25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07"/>
                <w:sz w:val="17"/>
              </w:rPr>
              <w:t>5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0.02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99.96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26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07"/>
                <w:sz w:val="17"/>
              </w:rPr>
              <w:t>4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0.01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99.98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27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07"/>
                <w:sz w:val="17"/>
              </w:rPr>
              <w:t>2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0.01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99.98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28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07"/>
                <w:sz w:val="17"/>
              </w:rPr>
              <w:t>2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0.01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99.99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29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07"/>
                <w:sz w:val="17"/>
              </w:rPr>
              <w:t>1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0.00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99.99</w:t>
            </w:r>
          </w:p>
        </w:tc>
      </w:tr>
      <w:tr>
        <w:trPr>
          <w:trHeight w:val="244" w:hRule="atLeast"/>
        </w:trPr>
        <w:tc>
          <w:tcPr>
            <w:tcW w:w="144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30</w:t>
            </w:r>
          </w:p>
        </w:tc>
        <w:tc>
          <w:tcPr>
            <w:tcW w:w="1682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07"/>
                <w:sz w:val="17"/>
              </w:rPr>
              <w:t>1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0.00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100.00</w:t>
            </w:r>
          </w:p>
        </w:tc>
      </w:tr>
      <w:tr>
        <w:trPr>
          <w:trHeight w:val="348" w:hRule="atLeast"/>
        </w:trPr>
        <w:tc>
          <w:tcPr>
            <w:tcW w:w="1445" w:type="dxa"/>
            <w:tcBorders>
              <w:bottom w:val="dashSmallGap" w:sz="8" w:space="0" w:color="000000"/>
              <w:right w:val="dashed" w:sz="8" w:space="0" w:color="000000"/>
            </w:tcBorders>
          </w:tcPr>
          <w:p>
            <w:pPr>
              <w:pStyle w:val="TableParagraph"/>
              <w:spacing w:before="11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31</w:t>
            </w:r>
          </w:p>
        </w:tc>
        <w:tc>
          <w:tcPr>
            <w:tcW w:w="1682" w:type="dxa"/>
            <w:tcBorders>
              <w:left w:val="dashed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07"/>
                <w:sz w:val="17"/>
              </w:rPr>
              <w:t>1</w:t>
            </w:r>
          </w:p>
        </w:tc>
        <w:tc>
          <w:tcPr>
            <w:tcW w:w="1395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11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0.00</w:t>
            </w:r>
          </w:p>
        </w:tc>
        <w:tc>
          <w:tcPr>
            <w:tcW w:w="1041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11"/>
              <w:ind w:right="-15"/>
              <w:rPr>
                <w:sz w:val="17"/>
              </w:rPr>
            </w:pPr>
            <w:r>
              <w:rPr>
                <w:w w:val="110"/>
                <w:sz w:val="17"/>
              </w:rPr>
              <w:t>100.00</w:t>
            </w:r>
          </w:p>
        </w:tc>
      </w:tr>
      <w:tr>
        <w:trPr>
          <w:trHeight w:val="352" w:hRule="atLeast"/>
        </w:trPr>
        <w:tc>
          <w:tcPr>
            <w:tcW w:w="1445" w:type="dxa"/>
            <w:tcBorders>
              <w:top w:val="dashSmallGap" w:sz="8" w:space="0" w:color="000000"/>
              <w:right w:val="dashed" w:sz="8" w:space="0" w:color="000000"/>
            </w:tcBorders>
          </w:tcPr>
          <w:p>
            <w:pPr>
              <w:pStyle w:val="TableParagraph"/>
              <w:spacing w:before="132"/>
              <w:ind w:right="169"/>
              <w:rPr>
                <w:sz w:val="17"/>
              </w:rPr>
            </w:pPr>
            <w:r>
              <w:rPr>
                <w:w w:val="110"/>
                <w:sz w:val="17"/>
              </w:rPr>
              <w:t>Total</w:t>
            </w:r>
          </w:p>
        </w:tc>
        <w:tc>
          <w:tcPr>
            <w:tcW w:w="1682" w:type="dxa"/>
            <w:tcBorders>
              <w:top w:val="dashSmallGap" w:sz="8" w:space="0" w:color="000000"/>
              <w:left w:val="dashed" w:sz="8" w:space="0" w:color="000000"/>
            </w:tcBorders>
          </w:tcPr>
          <w:p>
            <w:pPr>
              <w:pStyle w:val="TableParagraph"/>
              <w:spacing w:before="132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29,315</w:t>
            </w:r>
          </w:p>
        </w:tc>
        <w:tc>
          <w:tcPr>
            <w:tcW w:w="1395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32"/>
              <w:ind w:right="350"/>
              <w:rPr>
                <w:sz w:val="17"/>
              </w:rPr>
            </w:pPr>
            <w:r>
              <w:rPr>
                <w:w w:val="110"/>
                <w:sz w:val="17"/>
              </w:rPr>
              <w:t>100.00</w:t>
            </w:r>
          </w:p>
        </w:tc>
        <w:tc>
          <w:tcPr>
            <w:tcW w:w="1041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spacing w:before="0" w:after="37"/>
        <w:ind w:left="1109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D7: GENDER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RESPONDENTS</w:t>
      </w:r>
      <w:r>
        <w:rPr>
          <w:spacing w:val="-1"/>
          <w:sz w:val="22"/>
        </w:rPr>
        <w:t> </w:t>
      </w:r>
      <w:r>
        <w:rPr>
          <w:sz w:val="22"/>
        </w:rPr>
        <w:t>(1=MALE,</w:t>
      </w:r>
      <w:r>
        <w:rPr>
          <w:spacing w:val="-1"/>
          <w:sz w:val="22"/>
        </w:rPr>
        <w:t> </w:t>
      </w:r>
      <w:r>
        <w:rPr>
          <w:sz w:val="22"/>
        </w:rPr>
        <w:t>2=FEMALE)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WAVE</w:t>
      </w:r>
      <w:r>
        <w:rPr>
          <w:spacing w:val="-1"/>
          <w:sz w:val="22"/>
        </w:rPr>
        <w:t> </w:t>
      </w:r>
      <w:r>
        <w:rPr>
          <w:sz w:val="22"/>
        </w:rPr>
        <w:t>3</w:t>
      </w:r>
    </w:p>
    <w:tbl>
      <w:tblPr>
        <w:tblW w:w="0" w:type="auto"/>
        <w:jc w:val="left"/>
        <w:tblInd w:w="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2"/>
        <w:gridCol w:w="1588"/>
        <w:gridCol w:w="1420"/>
        <w:gridCol w:w="1017"/>
      </w:tblGrid>
      <w:tr>
        <w:trPr>
          <w:trHeight w:val="505" w:hRule="atLeast"/>
        </w:trPr>
        <w:tc>
          <w:tcPr>
            <w:tcW w:w="1412" w:type="dxa"/>
            <w:tcBorders>
              <w:bottom w:val="dashSmallGap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163"/>
              <w:rPr>
                <w:sz w:val="25"/>
              </w:rPr>
            </w:pPr>
            <w:r>
              <w:rPr>
                <w:w w:val="80"/>
                <w:sz w:val="25"/>
              </w:rPr>
              <w:t>s1q2</w:t>
            </w:r>
          </w:p>
        </w:tc>
        <w:tc>
          <w:tcPr>
            <w:tcW w:w="1588" w:type="dxa"/>
            <w:tcBorders>
              <w:left w:val="single" w:sz="8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30"/>
              <w:ind w:right="284"/>
              <w:rPr>
                <w:sz w:val="25"/>
              </w:rPr>
            </w:pPr>
            <w:r>
              <w:rPr>
                <w:w w:val="80"/>
                <w:sz w:val="25"/>
              </w:rPr>
              <w:t>Freq.</w:t>
            </w:r>
          </w:p>
        </w:tc>
        <w:tc>
          <w:tcPr>
            <w:tcW w:w="1420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30"/>
              <w:ind w:right="341"/>
              <w:rPr>
                <w:sz w:val="25"/>
              </w:rPr>
            </w:pPr>
            <w:r>
              <w:rPr>
                <w:w w:val="80"/>
                <w:sz w:val="25"/>
              </w:rPr>
              <w:t>Percent</w:t>
            </w:r>
          </w:p>
        </w:tc>
        <w:tc>
          <w:tcPr>
            <w:tcW w:w="1017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30"/>
              <w:ind w:right="-15"/>
              <w:rPr>
                <w:sz w:val="25"/>
              </w:rPr>
            </w:pPr>
            <w:r>
              <w:rPr>
                <w:w w:val="80"/>
                <w:sz w:val="25"/>
              </w:rPr>
              <w:t>Cum.</w:t>
            </w:r>
          </w:p>
        </w:tc>
      </w:tr>
      <w:tr>
        <w:trPr>
          <w:trHeight w:val="542" w:hRule="atLeast"/>
        </w:trPr>
        <w:tc>
          <w:tcPr>
            <w:tcW w:w="1412" w:type="dxa"/>
            <w:tcBorders>
              <w:top w:val="dashSmallGap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9"/>
              <w:ind w:right="163"/>
              <w:rPr>
                <w:sz w:val="25"/>
              </w:rPr>
            </w:pPr>
            <w:r>
              <w:rPr>
                <w:w w:val="72"/>
                <w:sz w:val="25"/>
              </w:rPr>
              <w:t>1</w:t>
            </w:r>
          </w:p>
        </w:tc>
        <w:tc>
          <w:tcPr>
            <w:tcW w:w="1588" w:type="dxa"/>
            <w:tcBorders>
              <w:top w:val="dashSmallGap" w:sz="12" w:space="0" w:color="000000"/>
              <w:left w:val="single" w:sz="8" w:space="0" w:color="000000"/>
            </w:tcBorders>
          </w:tcPr>
          <w:p>
            <w:pPr>
              <w:pStyle w:val="TableParagraph"/>
              <w:spacing w:before="219"/>
              <w:ind w:right="284"/>
              <w:rPr>
                <w:sz w:val="25"/>
              </w:rPr>
            </w:pPr>
            <w:r>
              <w:rPr>
                <w:w w:val="80"/>
                <w:sz w:val="25"/>
              </w:rPr>
              <w:t>16,095</w:t>
            </w:r>
          </w:p>
        </w:tc>
        <w:tc>
          <w:tcPr>
            <w:tcW w:w="1420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19"/>
              <w:ind w:right="341"/>
              <w:rPr>
                <w:sz w:val="25"/>
              </w:rPr>
            </w:pPr>
            <w:r>
              <w:rPr>
                <w:w w:val="80"/>
                <w:sz w:val="25"/>
              </w:rPr>
              <w:t>49.03</w:t>
            </w:r>
          </w:p>
        </w:tc>
        <w:tc>
          <w:tcPr>
            <w:tcW w:w="1017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19"/>
              <w:ind w:right="-15"/>
              <w:rPr>
                <w:sz w:val="25"/>
              </w:rPr>
            </w:pPr>
            <w:r>
              <w:rPr>
                <w:w w:val="80"/>
                <w:sz w:val="25"/>
              </w:rPr>
              <w:t>49.03</w:t>
            </w:r>
          </w:p>
        </w:tc>
      </w:tr>
      <w:tr>
        <w:trPr>
          <w:trHeight w:val="515" w:hRule="atLeast"/>
        </w:trPr>
        <w:tc>
          <w:tcPr>
            <w:tcW w:w="1412" w:type="dxa"/>
            <w:tcBorders>
              <w:bottom w:val="dashSmallGap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163"/>
              <w:rPr>
                <w:sz w:val="25"/>
              </w:rPr>
            </w:pPr>
            <w:r>
              <w:rPr>
                <w:w w:val="72"/>
                <w:sz w:val="25"/>
              </w:rPr>
              <w:t>2</w:t>
            </w:r>
          </w:p>
        </w:tc>
        <w:tc>
          <w:tcPr>
            <w:tcW w:w="1588" w:type="dxa"/>
            <w:tcBorders>
              <w:left w:val="single" w:sz="8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39"/>
              <w:ind w:right="284"/>
              <w:rPr>
                <w:sz w:val="25"/>
              </w:rPr>
            </w:pPr>
            <w:r>
              <w:rPr>
                <w:w w:val="80"/>
                <w:sz w:val="25"/>
              </w:rPr>
              <w:t>16,732</w:t>
            </w:r>
          </w:p>
        </w:tc>
        <w:tc>
          <w:tcPr>
            <w:tcW w:w="1420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39"/>
              <w:ind w:right="341"/>
              <w:rPr>
                <w:sz w:val="25"/>
              </w:rPr>
            </w:pPr>
            <w:r>
              <w:rPr>
                <w:w w:val="80"/>
                <w:sz w:val="25"/>
              </w:rPr>
              <w:t>50.97</w:t>
            </w:r>
          </w:p>
        </w:tc>
        <w:tc>
          <w:tcPr>
            <w:tcW w:w="1017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39"/>
              <w:ind w:right="-15"/>
              <w:rPr>
                <w:sz w:val="25"/>
              </w:rPr>
            </w:pPr>
            <w:r>
              <w:rPr>
                <w:w w:val="80"/>
                <w:sz w:val="25"/>
              </w:rPr>
              <w:t>100.00</w:t>
            </w:r>
          </w:p>
        </w:tc>
      </w:tr>
      <w:tr>
        <w:trPr>
          <w:trHeight w:val="528" w:hRule="atLeast"/>
        </w:trPr>
        <w:tc>
          <w:tcPr>
            <w:tcW w:w="1412" w:type="dxa"/>
            <w:tcBorders>
              <w:top w:val="dashSmallGap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9"/>
              <w:ind w:right="163"/>
              <w:rPr>
                <w:sz w:val="25"/>
              </w:rPr>
            </w:pPr>
            <w:r>
              <w:rPr>
                <w:w w:val="80"/>
                <w:sz w:val="25"/>
              </w:rPr>
              <w:t>Total</w:t>
            </w:r>
          </w:p>
        </w:tc>
        <w:tc>
          <w:tcPr>
            <w:tcW w:w="1588" w:type="dxa"/>
            <w:tcBorders>
              <w:top w:val="dashSmallGap" w:sz="12" w:space="0" w:color="000000"/>
              <w:left w:val="single" w:sz="8" w:space="0" w:color="000000"/>
            </w:tcBorders>
          </w:tcPr>
          <w:p>
            <w:pPr>
              <w:pStyle w:val="TableParagraph"/>
              <w:spacing w:before="219"/>
              <w:ind w:right="284"/>
              <w:rPr>
                <w:sz w:val="25"/>
              </w:rPr>
            </w:pPr>
            <w:r>
              <w:rPr>
                <w:w w:val="80"/>
                <w:sz w:val="25"/>
              </w:rPr>
              <w:t>32,827</w:t>
            </w:r>
          </w:p>
        </w:tc>
        <w:tc>
          <w:tcPr>
            <w:tcW w:w="1420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19"/>
              <w:ind w:right="341"/>
              <w:rPr>
                <w:sz w:val="25"/>
              </w:rPr>
            </w:pPr>
            <w:r>
              <w:rPr>
                <w:w w:val="80"/>
                <w:sz w:val="25"/>
              </w:rPr>
              <w:t>100.00</w:t>
            </w:r>
          </w:p>
        </w:tc>
        <w:tc>
          <w:tcPr>
            <w:tcW w:w="1017" w:type="dxa"/>
            <w:tcBorders>
              <w:top w:val="dashSmallGap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spacing w:before="139"/>
        <w:ind w:left="168" w:right="0" w:firstLine="0"/>
        <w:jc w:val="left"/>
        <w:rPr>
          <w:rFonts w:ascii="Courier New"/>
          <w:sz w:val="25"/>
        </w:rPr>
      </w:pPr>
      <w:r>
        <w:rPr>
          <w:rFonts w:ascii="Courier New"/>
          <w:w w:val="72"/>
          <w:sz w:val="25"/>
        </w:rPr>
        <w:t>.</w:t>
      </w:r>
    </w:p>
    <w:p>
      <w:pPr>
        <w:spacing w:after="0"/>
        <w:jc w:val="left"/>
        <w:rPr>
          <w:rFonts w:ascii="Courier New"/>
          <w:sz w:val="25"/>
        </w:rPr>
        <w:sectPr>
          <w:pgSz w:w="12240" w:h="15840"/>
          <w:pgMar w:header="0" w:footer="935" w:top="1360" w:bottom="1200" w:left="1320" w:right="1000"/>
        </w:sectPr>
      </w:pPr>
    </w:p>
    <w:p>
      <w:pPr>
        <w:spacing w:before="74"/>
        <w:ind w:left="197" w:right="512" w:firstLine="0"/>
        <w:jc w:val="center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D8: HOUSEHOLD’S</w:t>
      </w:r>
      <w:r>
        <w:rPr>
          <w:spacing w:val="-2"/>
          <w:sz w:val="22"/>
        </w:rPr>
        <w:t> </w:t>
      </w:r>
      <w:r>
        <w:rPr>
          <w:sz w:val="22"/>
        </w:rPr>
        <w:t>SIZE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WAVE</w:t>
      </w:r>
      <w:r>
        <w:rPr>
          <w:spacing w:val="-1"/>
          <w:sz w:val="22"/>
        </w:rPr>
        <w:t> </w:t>
      </w:r>
      <w:r>
        <w:rPr>
          <w:sz w:val="22"/>
        </w:rPr>
        <w:t>3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3"/>
        <w:gridCol w:w="1678"/>
        <w:gridCol w:w="1501"/>
        <w:gridCol w:w="1075"/>
      </w:tblGrid>
      <w:tr>
        <w:trPr>
          <w:trHeight w:val="407" w:hRule="atLeast"/>
        </w:trPr>
        <w:tc>
          <w:tcPr>
            <w:tcW w:w="1493" w:type="dxa"/>
            <w:tcBorders>
              <w:bottom w:val="dashSmallGap" w:sz="8" w:space="0" w:color="000000"/>
              <w:right w:val="dashed" w:sz="8" w:space="0" w:color="000000"/>
            </w:tcBorders>
          </w:tcPr>
          <w:p>
            <w:pPr>
              <w:pStyle w:val="TableParagraph"/>
              <w:spacing w:before="24"/>
              <w:ind w:left="-5" w:right="174"/>
              <w:rPr>
                <w:sz w:val="20"/>
              </w:rPr>
            </w:pPr>
            <w:r>
              <w:rPr>
                <w:w w:val="95"/>
                <w:sz w:val="20"/>
              </w:rPr>
              <w:t>Family</w:t>
            </w:r>
            <w:r>
              <w:rPr>
                <w:spacing w:val="3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Size</w:t>
            </w:r>
          </w:p>
        </w:tc>
        <w:tc>
          <w:tcPr>
            <w:tcW w:w="1678" w:type="dxa"/>
            <w:tcBorders>
              <w:left w:val="dashed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4"/>
              <w:ind w:right="300"/>
              <w:rPr>
                <w:sz w:val="20"/>
              </w:rPr>
            </w:pPr>
            <w:r>
              <w:rPr>
                <w:sz w:val="20"/>
              </w:rPr>
              <w:t>Freq.</w:t>
            </w:r>
          </w:p>
        </w:tc>
        <w:tc>
          <w:tcPr>
            <w:tcW w:w="1501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4"/>
              <w:ind w:right="360"/>
              <w:rPr>
                <w:sz w:val="20"/>
              </w:rPr>
            </w:pPr>
            <w:r>
              <w:rPr>
                <w:sz w:val="20"/>
              </w:rPr>
              <w:t>Percent</w:t>
            </w:r>
          </w:p>
        </w:tc>
        <w:tc>
          <w:tcPr>
            <w:tcW w:w="1075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4"/>
              <w:ind w:right="-15"/>
              <w:rPr>
                <w:sz w:val="20"/>
              </w:rPr>
            </w:pPr>
            <w:r>
              <w:rPr>
                <w:sz w:val="20"/>
              </w:rPr>
              <w:t>Cum.</w:t>
            </w:r>
          </w:p>
        </w:tc>
      </w:tr>
      <w:tr>
        <w:trPr>
          <w:trHeight w:val="436" w:hRule="atLeast"/>
        </w:trPr>
        <w:tc>
          <w:tcPr>
            <w:tcW w:w="1493" w:type="dxa"/>
            <w:tcBorders>
              <w:top w:val="dashSmallGap" w:sz="8" w:space="0" w:color="000000"/>
              <w:right w:val="dashed" w:sz="8" w:space="0" w:color="000000"/>
            </w:tcBorders>
          </w:tcPr>
          <w:p>
            <w:pPr>
              <w:pStyle w:val="TableParagraph"/>
              <w:spacing w:before="177"/>
              <w:ind w:right="174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678" w:type="dxa"/>
            <w:tcBorders>
              <w:top w:val="dashSmallGap" w:sz="8" w:space="0" w:color="000000"/>
              <w:left w:val="dashed" w:sz="8" w:space="0" w:color="000000"/>
            </w:tcBorders>
          </w:tcPr>
          <w:p>
            <w:pPr>
              <w:pStyle w:val="TableParagraph"/>
              <w:spacing w:before="177"/>
              <w:ind w:right="300"/>
              <w:rPr>
                <w:sz w:val="20"/>
              </w:rPr>
            </w:pPr>
            <w:r>
              <w:rPr>
                <w:sz w:val="20"/>
              </w:rPr>
              <w:t>4,143</w:t>
            </w:r>
          </w:p>
        </w:tc>
        <w:tc>
          <w:tcPr>
            <w:tcW w:w="1501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7"/>
              <w:ind w:right="360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  <w:tc>
          <w:tcPr>
            <w:tcW w:w="1075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7"/>
              <w:ind w:right="-15"/>
              <w:rPr>
                <w:sz w:val="20"/>
              </w:rPr>
            </w:pPr>
            <w:r>
              <w:rPr>
                <w:sz w:val="20"/>
              </w:rPr>
              <w:t>15.50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right="17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3,860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14.44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29.93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right="174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3,018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11.29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41.22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right="174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3,083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11.53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52.75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right="174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2,884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10.79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63.54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right="174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2,494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9.33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72.87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right="174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2,002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7.49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80.36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right="174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1,545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5.78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86.14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right="174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1,142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4.27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90.41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808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3.02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93.43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604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2.26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95.69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437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1.63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97.33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0.67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98.00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98.51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98.87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99.12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99.31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99.45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99.55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99.64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99.72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99.77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99.81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99.84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99.87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99.89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99.91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99.94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99.95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99.96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99.97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99.98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99.99</w:t>
            </w:r>
          </w:p>
        </w:tc>
      </w:tr>
      <w:tr>
        <w:trPr>
          <w:trHeight w:val="290" w:hRule="atLeast"/>
        </w:trPr>
        <w:tc>
          <w:tcPr>
            <w:tcW w:w="1493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678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501" w:type="dxa"/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100.00</w:t>
            </w:r>
          </w:p>
        </w:tc>
      </w:tr>
      <w:tr>
        <w:trPr>
          <w:trHeight w:val="414" w:hRule="atLeast"/>
        </w:trPr>
        <w:tc>
          <w:tcPr>
            <w:tcW w:w="1493" w:type="dxa"/>
            <w:tcBorders>
              <w:bottom w:val="dashSmallGap" w:sz="8" w:space="0" w:color="000000"/>
              <w:right w:val="dashed" w:sz="8" w:space="0" w:color="000000"/>
            </w:tcBorders>
          </w:tcPr>
          <w:p>
            <w:pPr>
              <w:pStyle w:val="TableParagraph"/>
              <w:spacing w:before="31"/>
              <w:ind w:left="-5" w:right="17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678" w:type="dxa"/>
            <w:tcBorders>
              <w:left w:val="dashed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right="300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501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right="360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075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right="-15"/>
              <w:rPr>
                <w:sz w:val="20"/>
              </w:rPr>
            </w:pPr>
            <w:r>
              <w:rPr>
                <w:sz w:val="20"/>
              </w:rPr>
              <w:t>100.00</w:t>
            </w:r>
          </w:p>
        </w:tc>
      </w:tr>
      <w:tr>
        <w:trPr>
          <w:trHeight w:val="425" w:hRule="atLeast"/>
        </w:trPr>
        <w:tc>
          <w:tcPr>
            <w:tcW w:w="1493" w:type="dxa"/>
            <w:tcBorders>
              <w:top w:val="dashSmallGap" w:sz="8" w:space="0" w:color="000000"/>
              <w:right w:val="dashed" w:sz="8" w:space="0" w:color="000000"/>
            </w:tcBorders>
          </w:tcPr>
          <w:p>
            <w:pPr>
              <w:pStyle w:val="TableParagraph"/>
              <w:spacing w:before="177"/>
              <w:ind w:left="-5" w:right="174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678" w:type="dxa"/>
            <w:tcBorders>
              <w:top w:val="dashSmallGap" w:sz="8" w:space="0" w:color="000000"/>
              <w:left w:val="dashed" w:sz="8" w:space="0" w:color="000000"/>
            </w:tcBorders>
          </w:tcPr>
          <w:p>
            <w:pPr>
              <w:pStyle w:val="TableParagraph"/>
              <w:spacing w:before="177"/>
              <w:ind w:right="300"/>
              <w:rPr>
                <w:sz w:val="20"/>
              </w:rPr>
            </w:pPr>
            <w:r>
              <w:rPr>
                <w:sz w:val="20"/>
              </w:rPr>
              <w:t>26,735</w:t>
            </w:r>
          </w:p>
        </w:tc>
        <w:tc>
          <w:tcPr>
            <w:tcW w:w="1501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7"/>
              <w:ind w:right="360"/>
              <w:rPr>
                <w:sz w:val="20"/>
              </w:rPr>
            </w:pPr>
            <w:r>
              <w:rPr>
                <w:sz w:val="20"/>
              </w:rPr>
              <w:t>100.00</w:t>
            </w:r>
          </w:p>
        </w:tc>
        <w:tc>
          <w:tcPr>
            <w:tcW w:w="1075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header="0" w:footer="935" w:top="1360" w:bottom="1200" w:left="1320" w:right="1000"/>
        </w:sectPr>
      </w:pPr>
    </w:p>
    <w:p>
      <w:pPr>
        <w:spacing w:before="74"/>
        <w:ind w:left="197" w:right="513" w:firstLine="0"/>
        <w:jc w:val="center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D9:</w:t>
      </w:r>
      <w:r>
        <w:rPr>
          <w:spacing w:val="-3"/>
          <w:sz w:val="22"/>
        </w:rPr>
        <w:t> </w:t>
      </w:r>
      <w:r>
        <w:rPr>
          <w:sz w:val="22"/>
        </w:rPr>
        <w:t>MARITAL</w:t>
      </w:r>
      <w:r>
        <w:rPr>
          <w:spacing w:val="-2"/>
          <w:sz w:val="22"/>
        </w:rPr>
        <w:t> </w:t>
      </w:r>
      <w:r>
        <w:rPr>
          <w:sz w:val="22"/>
        </w:rPr>
        <w:t>STATUS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HOUSEHOLD’S</w:t>
      </w:r>
      <w:r>
        <w:rPr>
          <w:spacing w:val="-1"/>
          <w:sz w:val="22"/>
        </w:rPr>
        <w:t> </w:t>
      </w:r>
      <w:r>
        <w:rPr>
          <w:sz w:val="22"/>
        </w:rPr>
        <w:t>HEAD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WAVE</w:t>
      </w:r>
      <w:r>
        <w:rPr>
          <w:spacing w:val="-2"/>
          <w:sz w:val="22"/>
        </w:rPr>
        <w:t> </w:t>
      </w:r>
      <w:r>
        <w:rPr>
          <w:sz w:val="22"/>
        </w:rPr>
        <w:t>3</w:t>
      </w:r>
    </w:p>
    <w:p>
      <w:pPr>
        <w:spacing w:before="21" w:after="37"/>
        <w:ind w:left="202" w:right="0" w:firstLine="0"/>
        <w:jc w:val="left"/>
        <w:rPr>
          <w:sz w:val="22"/>
        </w:rPr>
      </w:pPr>
      <w:r>
        <w:rPr>
          <w:sz w:val="22"/>
        </w:rPr>
        <w:t>(1=Married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one</w:t>
      </w:r>
      <w:r>
        <w:rPr>
          <w:spacing w:val="-2"/>
          <w:sz w:val="22"/>
        </w:rPr>
        <w:t> </w:t>
      </w:r>
      <w:r>
        <w:rPr>
          <w:sz w:val="22"/>
        </w:rPr>
        <w:t>wife,</w:t>
      </w:r>
      <w:r>
        <w:rPr>
          <w:spacing w:val="-3"/>
          <w:sz w:val="22"/>
        </w:rPr>
        <w:t> </w:t>
      </w:r>
      <w:r>
        <w:rPr>
          <w:sz w:val="22"/>
        </w:rPr>
        <w:t>2=Married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wives,</w:t>
      </w:r>
      <w:r>
        <w:rPr>
          <w:spacing w:val="-1"/>
          <w:sz w:val="22"/>
        </w:rPr>
        <w:t> </w:t>
      </w:r>
      <w:r>
        <w:rPr>
          <w:sz w:val="22"/>
        </w:rPr>
        <w:t>3=Single</w:t>
      </w:r>
      <w:r>
        <w:rPr>
          <w:spacing w:val="-4"/>
          <w:sz w:val="22"/>
        </w:rPr>
        <w:t> </w:t>
      </w:r>
      <w:r>
        <w:rPr>
          <w:sz w:val="22"/>
        </w:rPr>
        <w:t>Parent,</w:t>
      </w:r>
      <w:r>
        <w:rPr>
          <w:spacing w:val="-2"/>
          <w:sz w:val="22"/>
        </w:rPr>
        <w:t> </w:t>
      </w:r>
      <w:r>
        <w:rPr>
          <w:sz w:val="22"/>
        </w:rPr>
        <w:t>4=Divorce,</w:t>
      </w:r>
      <w:r>
        <w:rPr>
          <w:spacing w:val="-4"/>
          <w:sz w:val="22"/>
        </w:rPr>
        <w:t> </w:t>
      </w:r>
      <w:r>
        <w:rPr>
          <w:sz w:val="22"/>
        </w:rPr>
        <w:t>5=Widow,</w:t>
      </w:r>
      <w:r>
        <w:rPr>
          <w:spacing w:val="-2"/>
          <w:sz w:val="22"/>
        </w:rPr>
        <w:t> </w:t>
      </w:r>
      <w:r>
        <w:rPr>
          <w:sz w:val="22"/>
        </w:rPr>
        <w:t>7=Never</w:t>
      </w:r>
      <w:r>
        <w:rPr>
          <w:spacing w:val="-1"/>
          <w:sz w:val="22"/>
        </w:rPr>
        <w:t> </w:t>
      </w:r>
      <w:r>
        <w:rPr>
          <w:sz w:val="22"/>
        </w:rPr>
        <w:t>Married)</w:t>
      </w: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0"/>
        <w:gridCol w:w="1641"/>
        <w:gridCol w:w="1468"/>
        <w:gridCol w:w="1052"/>
      </w:tblGrid>
      <w:tr>
        <w:trPr>
          <w:trHeight w:val="813" w:hRule="atLeast"/>
        </w:trPr>
        <w:tc>
          <w:tcPr>
            <w:tcW w:w="1460" w:type="dxa"/>
            <w:tcBorders>
              <w:bottom w:val="dashSmallGap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314" w:lineRule="auto" w:before="32"/>
              <w:ind w:left="578" w:hanging="118"/>
              <w:jc w:val="left"/>
              <w:rPr>
                <w:sz w:val="23"/>
              </w:rPr>
            </w:pPr>
            <w:r>
              <w:rPr>
                <w:w w:val="80"/>
                <w:sz w:val="23"/>
              </w:rPr>
              <w:t>Marital</w:t>
            </w:r>
            <w:r>
              <w:rPr>
                <w:spacing w:val="-108"/>
                <w:w w:val="80"/>
                <w:sz w:val="23"/>
              </w:rPr>
              <w:t> </w:t>
            </w:r>
            <w:r>
              <w:rPr>
                <w:w w:val="80"/>
                <w:sz w:val="23"/>
              </w:rPr>
              <w:t>Status</w:t>
            </w:r>
          </w:p>
        </w:tc>
        <w:tc>
          <w:tcPr>
            <w:tcW w:w="1641" w:type="dxa"/>
            <w:tcBorders>
              <w:left w:val="single" w:sz="8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295"/>
              <w:rPr>
                <w:sz w:val="23"/>
              </w:rPr>
            </w:pPr>
            <w:r>
              <w:rPr>
                <w:w w:val="90"/>
                <w:sz w:val="23"/>
              </w:rPr>
              <w:t>Freq.</w:t>
            </w:r>
          </w:p>
        </w:tc>
        <w:tc>
          <w:tcPr>
            <w:tcW w:w="1468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354"/>
              <w:rPr>
                <w:sz w:val="23"/>
              </w:rPr>
            </w:pPr>
            <w:r>
              <w:rPr>
                <w:w w:val="90"/>
                <w:sz w:val="23"/>
              </w:rPr>
              <w:t>Percent</w:t>
            </w:r>
          </w:p>
        </w:tc>
        <w:tc>
          <w:tcPr>
            <w:tcW w:w="1052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right="-15"/>
              <w:rPr>
                <w:sz w:val="23"/>
              </w:rPr>
            </w:pPr>
            <w:r>
              <w:rPr>
                <w:w w:val="90"/>
                <w:sz w:val="23"/>
              </w:rPr>
              <w:t>Cum.</w:t>
            </w:r>
          </w:p>
        </w:tc>
      </w:tr>
      <w:tr>
        <w:trPr>
          <w:trHeight w:val="508" w:hRule="atLeast"/>
        </w:trPr>
        <w:tc>
          <w:tcPr>
            <w:tcW w:w="1460" w:type="dxa"/>
            <w:tcBorders>
              <w:top w:val="dashSmallGap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8"/>
              <w:ind w:right="171"/>
              <w:rPr>
                <w:sz w:val="23"/>
              </w:rPr>
            </w:pPr>
            <w:r>
              <w:rPr>
                <w:w w:val="80"/>
                <w:sz w:val="23"/>
              </w:rPr>
              <w:t>1</w:t>
            </w:r>
          </w:p>
        </w:tc>
        <w:tc>
          <w:tcPr>
            <w:tcW w:w="1641" w:type="dxa"/>
            <w:tcBorders>
              <w:top w:val="dashSmallGap" w:sz="12" w:space="0" w:color="000000"/>
              <w:left w:val="single" w:sz="8" w:space="0" w:color="000000"/>
            </w:tcBorders>
          </w:tcPr>
          <w:p>
            <w:pPr>
              <w:pStyle w:val="TableParagraph"/>
              <w:spacing w:before="208"/>
              <w:ind w:right="295"/>
              <w:rPr>
                <w:sz w:val="23"/>
              </w:rPr>
            </w:pPr>
            <w:r>
              <w:rPr>
                <w:w w:val="90"/>
                <w:sz w:val="23"/>
              </w:rPr>
              <w:t>4,869</w:t>
            </w:r>
          </w:p>
        </w:tc>
        <w:tc>
          <w:tcPr>
            <w:tcW w:w="1468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08"/>
              <w:ind w:right="354"/>
              <w:rPr>
                <w:sz w:val="23"/>
              </w:rPr>
            </w:pPr>
            <w:r>
              <w:rPr>
                <w:w w:val="90"/>
                <w:sz w:val="23"/>
              </w:rPr>
              <w:t>22.11</w:t>
            </w:r>
          </w:p>
        </w:tc>
        <w:tc>
          <w:tcPr>
            <w:tcW w:w="1052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08"/>
              <w:ind w:right="-15"/>
              <w:rPr>
                <w:sz w:val="23"/>
              </w:rPr>
            </w:pPr>
            <w:r>
              <w:rPr>
                <w:w w:val="90"/>
                <w:sz w:val="23"/>
              </w:rPr>
              <w:t>22.11</w:t>
            </w:r>
          </w:p>
        </w:tc>
      </w:tr>
      <w:tr>
        <w:trPr>
          <w:trHeight w:val="339" w:hRule="atLeast"/>
        </w:trPr>
        <w:tc>
          <w:tcPr>
            <w:tcW w:w="146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171"/>
              <w:rPr>
                <w:sz w:val="23"/>
              </w:rPr>
            </w:pPr>
            <w:r>
              <w:rPr>
                <w:w w:val="80"/>
                <w:sz w:val="23"/>
              </w:rPr>
              <w:t>2</w:t>
            </w:r>
          </w:p>
        </w:tc>
        <w:tc>
          <w:tcPr>
            <w:tcW w:w="164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1"/>
              <w:ind w:right="295"/>
              <w:rPr>
                <w:sz w:val="23"/>
              </w:rPr>
            </w:pPr>
            <w:r>
              <w:rPr>
                <w:w w:val="90"/>
                <w:sz w:val="23"/>
              </w:rPr>
              <w:t>1,869</w:t>
            </w:r>
          </w:p>
        </w:tc>
        <w:tc>
          <w:tcPr>
            <w:tcW w:w="1468" w:type="dxa"/>
          </w:tcPr>
          <w:p>
            <w:pPr>
              <w:pStyle w:val="TableParagraph"/>
              <w:spacing w:before="41"/>
              <w:ind w:right="354"/>
              <w:rPr>
                <w:sz w:val="23"/>
              </w:rPr>
            </w:pPr>
            <w:r>
              <w:rPr>
                <w:w w:val="90"/>
                <w:sz w:val="23"/>
              </w:rPr>
              <w:t>8.49</w:t>
            </w:r>
          </w:p>
        </w:tc>
        <w:tc>
          <w:tcPr>
            <w:tcW w:w="1052" w:type="dxa"/>
          </w:tcPr>
          <w:p>
            <w:pPr>
              <w:pStyle w:val="TableParagraph"/>
              <w:spacing w:before="41"/>
              <w:ind w:right="-15"/>
              <w:rPr>
                <w:sz w:val="23"/>
              </w:rPr>
            </w:pPr>
            <w:r>
              <w:rPr>
                <w:w w:val="90"/>
                <w:sz w:val="23"/>
              </w:rPr>
              <w:t>30.60</w:t>
            </w:r>
          </w:p>
        </w:tc>
      </w:tr>
      <w:tr>
        <w:trPr>
          <w:trHeight w:val="339" w:hRule="atLeast"/>
        </w:trPr>
        <w:tc>
          <w:tcPr>
            <w:tcW w:w="146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71"/>
              <w:rPr>
                <w:sz w:val="23"/>
              </w:rPr>
            </w:pPr>
            <w:r>
              <w:rPr>
                <w:w w:val="80"/>
                <w:sz w:val="23"/>
              </w:rPr>
              <w:t>3</w:t>
            </w:r>
          </w:p>
        </w:tc>
        <w:tc>
          <w:tcPr>
            <w:tcW w:w="164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0"/>
              <w:ind w:right="295"/>
              <w:rPr>
                <w:sz w:val="23"/>
              </w:rPr>
            </w:pPr>
            <w:r>
              <w:rPr>
                <w:w w:val="80"/>
                <w:sz w:val="23"/>
              </w:rPr>
              <w:t>5</w:t>
            </w:r>
          </w:p>
        </w:tc>
        <w:tc>
          <w:tcPr>
            <w:tcW w:w="1468" w:type="dxa"/>
          </w:tcPr>
          <w:p>
            <w:pPr>
              <w:pStyle w:val="TableParagraph"/>
              <w:spacing w:before="40"/>
              <w:ind w:right="354"/>
              <w:rPr>
                <w:sz w:val="23"/>
              </w:rPr>
            </w:pPr>
            <w:r>
              <w:rPr>
                <w:w w:val="90"/>
                <w:sz w:val="23"/>
              </w:rPr>
              <w:t>0.02</w:t>
            </w:r>
          </w:p>
        </w:tc>
        <w:tc>
          <w:tcPr>
            <w:tcW w:w="1052" w:type="dxa"/>
          </w:tcPr>
          <w:p>
            <w:pPr>
              <w:pStyle w:val="TableParagraph"/>
              <w:spacing w:before="40"/>
              <w:ind w:right="-15"/>
              <w:rPr>
                <w:sz w:val="23"/>
              </w:rPr>
            </w:pPr>
            <w:r>
              <w:rPr>
                <w:w w:val="90"/>
                <w:sz w:val="23"/>
              </w:rPr>
              <w:t>30.62</w:t>
            </w:r>
          </w:p>
        </w:tc>
      </w:tr>
      <w:tr>
        <w:trPr>
          <w:trHeight w:val="340" w:hRule="atLeast"/>
        </w:trPr>
        <w:tc>
          <w:tcPr>
            <w:tcW w:w="146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171"/>
              <w:rPr>
                <w:sz w:val="23"/>
              </w:rPr>
            </w:pPr>
            <w:r>
              <w:rPr>
                <w:w w:val="80"/>
                <w:sz w:val="23"/>
              </w:rPr>
              <w:t>4</w:t>
            </w:r>
          </w:p>
        </w:tc>
        <w:tc>
          <w:tcPr>
            <w:tcW w:w="164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1"/>
              <w:ind w:right="295"/>
              <w:rPr>
                <w:sz w:val="23"/>
              </w:rPr>
            </w:pPr>
            <w:r>
              <w:rPr>
                <w:w w:val="90"/>
                <w:sz w:val="23"/>
              </w:rPr>
              <w:t>63</w:t>
            </w:r>
          </w:p>
        </w:tc>
        <w:tc>
          <w:tcPr>
            <w:tcW w:w="1468" w:type="dxa"/>
          </w:tcPr>
          <w:p>
            <w:pPr>
              <w:pStyle w:val="TableParagraph"/>
              <w:spacing w:before="41"/>
              <w:ind w:right="354"/>
              <w:rPr>
                <w:sz w:val="23"/>
              </w:rPr>
            </w:pPr>
            <w:r>
              <w:rPr>
                <w:w w:val="90"/>
                <w:sz w:val="23"/>
              </w:rPr>
              <w:t>0.29</w:t>
            </w:r>
          </w:p>
        </w:tc>
        <w:tc>
          <w:tcPr>
            <w:tcW w:w="1052" w:type="dxa"/>
          </w:tcPr>
          <w:p>
            <w:pPr>
              <w:pStyle w:val="TableParagraph"/>
              <w:spacing w:before="41"/>
              <w:ind w:right="-15"/>
              <w:rPr>
                <w:sz w:val="23"/>
              </w:rPr>
            </w:pPr>
            <w:r>
              <w:rPr>
                <w:w w:val="90"/>
                <w:sz w:val="23"/>
              </w:rPr>
              <w:t>30.91</w:t>
            </w:r>
          </w:p>
        </w:tc>
      </w:tr>
      <w:tr>
        <w:trPr>
          <w:trHeight w:val="339" w:hRule="atLeast"/>
        </w:trPr>
        <w:tc>
          <w:tcPr>
            <w:tcW w:w="146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171"/>
              <w:rPr>
                <w:sz w:val="23"/>
              </w:rPr>
            </w:pPr>
            <w:r>
              <w:rPr>
                <w:w w:val="80"/>
                <w:sz w:val="23"/>
              </w:rPr>
              <w:t>5</w:t>
            </w:r>
          </w:p>
        </w:tc>
        <w:tc>
          <w:tcPr>
            <w:tcW w:w="164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1"/>
              <w:ind w:right="295"/>
              <w:rPr>
                <w:sz w:val="23"/>
              </w:rPr>
            </w:pPr>
            <w:r>
              <w:rPr>
                <w:w w:val="90"/>
                <w:sz w:val="23"/>
              </w:rPr>
              <w:t>122</w:t>
            </w:r>
          </w:p>
        </w:tc>
        <w:tc>
          <w:tcPr>
            <w:tcW w:w="1468" w:type="dxa"/>
          </w:tcPr>
          <w:p>
            <w:pPr>
              <w:pStyle w:val="TableParagraph"/>
              <w:spacing w:before="41"/>
              <w:ind w:right="354"/>
              <w:rPr>
                <w:sz w:val="23"/>
              </w:rPr>
            </w:pPr>
            <w:r>
              <w:rPr>
                <w:w w:val="90"/>
                <w:sz w:val="23"/>
              </w:rPr>
              <w:t>0.55</w:t>
            </w:r>
          </w:p>
        </w:tc>
        <w:tc>
          <w:tcPr>
            <w:tcW w:w="1052" w:type="dxa"/>
          </w:tcPr>
          <w:p>
            <w:pPr>
              <w:pStyle w:val="TableParagraph"/>
              <w:spacing w:before="41"/>
              <w:ind w:right="-15"/>
              <w:rPr>
                <w:sz w:val="23"/>
              </w:rPr>
            </w:pPr>
            <w:r>
              <w:rPr>
                <w:w w:val="90"/>
                <w:sz w:val="23"/>
              </w:rPr>
              <w:t>31.46</w:t>
            </w:r>
          </w:p>
        </w:tc>
      </w:tr>
      <w:tr>
        <w:trPr>
          <w:trHeight w:val="339" w:hRule="atLeast"/>
        </w:trPr>
        <w:tc>
          <w:tcPr>
            <w:tcW w:w="146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71"/>
              <w:rPr>
                <w:sz w:val="23"/>
              </w:rPr>
            </w:pPr>
            <w:r>
              <w:rPr>
                <w:w w:val="80"/>
                <w:sz w:val="23"/>
              </w:rPr>
              <w:t>6</w:t>
            </w:r>
          </w:p>
        </w:tc>
        <w:tc>
          <w:tcPr>
            <w:tcW w:w="164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0"/>
              <w:ind w:right="295"/>
              <w:rPr>
                <w:sz w:val="23"/>
              </w:rPr>
            </w:pPr>
            <w:r>
              <w:rPr>
                <w:w w:val="90"/>
                <w:sz w:val="23"/>
              </w:rPr>
              <w:t>1,006</w:t>
            </w:r>
          </w:p>
        </w:tc>
        <w:tc>
          <w:tcPr>
            <w:tcW w:w="1468" w:type="dxa"/>
          </w:tcPr>
          <w:p>
            <w:pPr>
              <w:pStyle w:val="TableParagraph"/>
              <w:spacing w:before="40"/>
              <w:ind w:right="354"/>
              <w:rPr>
                <w:sz w:val="23"/>
              </w:rPr>
            </w:pPr>
            <w:r>
              <w:rPr>
                <w:w w:val="90"/>
                <w:sz w:val="23"/>
              </w:rPr>
              <w:t>4.57</w:t>
            </w:r>
          </w:p>
        </w:tc>
        <w:tc>
          <w:tcPr>
            <w:tcW w:w="1052" w:type="dxa"/>
          </w:tcPr>
          <w:p>
            <w:pPr>
              <w:pStyle w:val="TableParagraph"/>
              <w:spacing w:before="40"/>
              <w:ind w:right="-15"/>
              <w:rPr>
                <w:sz w:val="23"/>
              </w:rPr>
            </w:pPr>
            <w:r>
              <w:rPr>
                <w:w w:val="90"/>
                <w:sz w:val="23"/>
              </w:rPr>
              <w:t>36.03</w:t>
            </w:r>
          </w:p>
        </w:tc>
      </w:tr>
      <w:tr>
        <w:trPr>
          <w:trHeight w:val="482" w:hRule="atLeast"/>
        </w:trPr>
        <w:tc>
          <w:tcPr>
            <w:tcW w:w="1460" w:type="dxa"/>
            <w:tcBorders>
              <w:bottom w:val="dashSmallGap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171"/>
              <w:rPr>
                <w:sz w:val="23"/>
              </w:rPr>
            </w:pPr>
            <w:r>
              <w:rPr>
                <w:w w:val="80"/>
                <w:sz w:val="23"/>
              </w:rPr>
              <w:t>7</w:t>
            </w:r>
          </w:p>
        </w:tc>
        <w:tc>
          <w:tcPr>
            <w:tcW w:w="1641" w:type="dxa"/>
            <w:tcBorders>
              <w:left w:val="single" w:sz="8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41"/>
              <w:ind w:right="295"/>
              <w:rPr>
                <w:sz w:val="23"/>
              </w:rPr>
            </w:pPr>
            <w:r>
              <w:rPr>
                <w:w w:val="90"/>
                <w:sz w:val="23"/>
              </w:rPr>
              <w:t>14,088</w:t>
            </w:r>
          </w:p>
        </w:tc>
        <w:tc>
          <w:tcPr>
            <w:tcW w:w="1468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1"/>
              <w:ind w:right="354"/>
              <w:rPr>
                <w:sz w:val="23"/>
              </w:rPr>
            </w:pPr>
            <w:r>
              <w:rPr>
                <w:w w:val="90"/>
                <w:sz w:val="23"/>
              </w:rPr>
              <w:t>63.97</w:t>
            </w:r>
          </w:p>
        </w:tc>
        <w:tc>
          <w:tcPr>
            <w:tcW w:w="1052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1"/>
              <w:ind w:right="-15"/>
              <w:rPr>
                <w:sz w:val="23"/>
              </w:rPr>
            </w:pPr>
            <w:r>
              <w:rPr>
                <w:w w:val="90"/>
                <w:sz w:val="23"/>
              </w:rPr>
              <w:t>100.00</w:t>
            </w:r>
          </w:p>
        </w:tc>
      </w:tr>
      <w:tr>
        <w:trPr>
          <w:trHeight w:val="494" w:hRule="atLeast"/>
        </w:trPr>
        <w:tc>
          <w:tcPr>
            <w:tcW w:w="1460" w:type="dxa"/>
            <w:tcBorders>
              <w:top w:val="dashSmallGap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8"/>
              <w:ind w:right="171"/>
              <w:rPr>
                <w:sz w:val="23"/>
              </w:rPr>
            </w:pPr>
            <w:r>
              <w:rPr>
                <w:w w:val="90"/>
                <w:sz w:val="23"/>
              </w:rPr>
              <w:t>Total</w:t>
            </w:r>
          </w:p>
        </w:tc>
        <w:tc>
          <w:tcPr>
            <w:tcW w:w="1641" w:type="dxa"/>
            <w:tcBorders>
              <w:top w:val="dashSmallGap" w:sz="12" w:space="0" w:color="000000"/>
              <w:left w:val="single" w:sz="8" w:space="0" w:color="000000"/>
            </w:tcBorders>
          </w:tcPr>
          <w:p>
            <w:pPr>
              <w:pStyle w:val="TableParagraph"/>
              <w:spacing w:before="208"/>
              <w:ind w:right="295"/>
              <w:rPr>
                <w:sz w:val="23"/>
              </w:rPr>
            </w:pPr>
            <w:r>
              <w:rPr>
                <w:w w:val="90"/>
                <w:sz w:val="23"/>
              </w:rPr>
              <w:t>22,022</w:t>
            </w:r>
          </w:p>
        </w:tc>
        <w:tc>
          <w:tcPr>
            <w:tcW w:w="1468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08"/>
              <w:ind w:right="354"/>
              <w:rPr>
                <w:sz w:val="23"/>
              </w:rPr>
            </w:pPr>
            <w:r>
              <w:rPr>
                <w:w w:val="90"/>
                <w:sz w:val="23"/>
              </w:rPr>
              <w:t>100.00</w:t>
            </w:r>
          </w:p>
        </w:tc>
        <w:tc>
          <w:tcPr>
            <w:tcW w:w="1052" w:type="dxa"/>
            <w:tcBorders>
              <w:top w:val="dashSmallGap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line="275" w:lineRule="exact"/>
        <w:ind w:left="197" w:right="515"/>
        <w:jc w:val="center"/>
      </w:pPr>
      <w:r>
        <w:rPr/>
        <w:t>APPENDIX</w:t>
      </w:r>
      <w:r>
        <w:rPr>
          <w:spacing w:val="-3"/>
        </w:rPr>
        <w:t> </w:t>
      </w:r>
      <w:r>
        <w:rPr/>
        <w:t>E:</w:t>
      </w:r>
    </w:p>
    <w:p>
      <w:pPr>
        <w:spacing w:line="252" w:lineRule="exact" w:before="0" w:after="8"/>
        <w:ind w:left="197" w:right="518" w:firstLine="0"/>
        <w:jc w:val="center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E1:</w:t>
      </w:r>
      <w:r>
        <w:rPr>
          <w:spacing w:val="-4"/>
          <w:sz w:val="22"/>
        </w:rPr>
        <w:t> </w:t>
      </w:r>
      <w:r>
        <w:rPr>
          <w:sz w:val="22"/>
        </w:rPr>
        <w:t>SOURCES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INCOME</w:t>
      </w:r>
      <w:r>
        <w:rPr>
          <w:spacing w:val="-1"/>
          <w:sz w:val="22"/>
        </w:rPr>
        <w:t> </w:t>
      </w:r>
      <w:r>
        <w:rPr>
          <w:sz w:val="22"/>
        </w:rPr>
        <w:t>DISPARITIES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NIGERIA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7105"/>
      </w:tblGrid>
      <w:tr>
        <w:trPr>
          <w:trHeight w:val="412" w:hRule="atLeast"/>
        </w:trPr>
        <w:tc>
          <w:tcPr>
            <w:tcW w:w="2246" w:type="dxa"/>
          </w:tcPr>
          <w:p>
            <w:pPr>
              <w:pStyle w:val="TableParagraph"/>
              <w:spacing w:line="270" w:lineRule="exact"/>
              <w:ind w:left="186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Sources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of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Incomes</w:t>
            </w:r>
          </w:p>
        </w:tc>
        <w:tc>
          <w:tcPr>
            <w:tcW w:w="7105" w:type="dxa"/>
          </w:tcPr>
          <w:p>
            <w:pPr>
              <w:pStyle w:val="TableParagraph"/>
              <w:spacing w:line="270" w:lineRule="exact"/>
              <w:ind w:left="2963" w:right="2958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Description</w:t>
            </w:r>
          </w:p>
        </w:tc>
      </w:tr>
      <w:tr>
        <w:trPr>
          <w:trHeight w:val="1140" w:hRule="atLeast"/>
        </w:trPr>
        <w:tc>
          <w:tcPr>
            <w:tcW w:w="2246" w:type="dxa"/>
          </w:tcPr>
          <w:p>
            <w:pPr>
              <w:pStyle w:val="TableParagraph"/>
              <w:spacing w:line="360" w:lineRule="auto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Farm</w:t>
            </w:r>
            <w:r>
              <w:rPr>
                <w:rFonts w:ascii="Times New Roman"/>
                <w:spacing w:val="17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  <w:r>
              <w:rPr>
                <w:rFonts w:ascii="Times New Roman"/>
                <w:spacing w:val="20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Livestock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Income</w:t>
            </w:r>
          </w:p>
        </w:tc>
        <w:tc>
          <w:tcPr>
            <w:tcW w:w="7105" w:type="dxa"/>
          </w:tcPr>
          <w:p>
            <w:pPr>
              <w:pStyle w:val="TableParagraph"/>
              <w:spacing w:line="360" w:lineRule="auto"/>
              <w:ind w:left="106" w:right="9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The agricultural and livestock incomes include net income (cash as well as in-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kind)</w:t>
            </w:r>
            <w:r>
              <w:rPr>
                <w:rFonts w:ascii="Times New Roman"/>
                <w:spacing w:val="2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2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all</w:t>
            </w:r>
            <w:r>
              <w:rPr>
                <w:rFonts w:ascii="Times New Roman"/>
                <w:spacing w:val="2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crop</w:t>
            </w:r>
            <w:r>
              <w:rPr>
                <w:rFonts w:ascii="Times New Roman"/>
                <w:spacing w:val="2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production</w:t>
            </w:r>
            <w:r>
              <w:rPr>
                <w:rFonts w:ascii="Times New Roman"/>
                <w:spacing w:val="2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(both</w:t>
            </w:r>
            <w:r>
              <w:rPr>
                <w:rFonts w:ascii="Times New Roman"/>
                <w:spacing w:val="2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cash</w:t>
            </w:r>
            <w:r>
              <w:rPr>
                <w:rFonts w:ascii="Times New Roman"/>
                <w:spacing w:val="2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crops</w:t>
            </w:r>
            <w:r>
              <w:rPr>
                <w:rFonts w:ascii="Times New Roman"/>
                <w:spacing w:val="2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  <w:r>
              <w:rPr>
                <w:rFonts w:ascii="Times New Roman"/>
                <w:spacing w:val="2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others),</w:t>
            </w:r>
            <w:r>
              <w:rPr>
                <w:rFonts w:ascii="Times New Roman"/>
                <w:spacing w:val="2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wage</w:t>
            </w:r>
            <w:r>
              <w:rPr>
                <w:rFonts w:ascii="Times New Roman"/>
                <w:spacing w:val="2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earnings</w:t>
            </w:r>
          </w:p>
          <w:p>
            <w:pPr>
              <w:pStyle w:val="TableParagraph"/>
              <w:spacing w:line="252" w:lineRule="exact"/>
              <w:ind w:left="106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agricultural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productions and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labour,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traded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livestock.</w:t>
            </w:r>
          </w:p>
        </w:tc>
      </w:tr>
      <w:tr>
        <w:trPr>
          <w:trHeight w:val="1137" w:hRule="atLeast"/>
        </w:trPr>
        <w:tc>
          <w:tcPr>
            <w:tcW w:w="224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Non-farm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Income</w:t>
            </w:r>
          </w:p>
        </w:tc>
        <w:tc>
          <w:tcPr>
            <w:tcW w:w="7105" w:type="dxa"/>
          </w:tcPr>
          <w:p>
            <w:pPr>
              <w:pStyle w:val="TableParagraph"/>
              <w:spacing w:line="247" w:lineRule="exact"/>
              <w:ind w:left="106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Non-agricultural</w:t>
            </w:r>
            <w:r>
              <w:rPr>
                <w:rFonts w:ascii="Times New Roman"/>
                <w:spacing w:val="18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incomes</w:t>
            </w:r>
            <w:r>
              <w:rPr>
                <w:rFonts w:ascii="Times New Roman"/>
                <w:spacing w:val="2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consist</w:t>
            </w:r>
            <w:r>
              <w:rPr>
                <w:rFonts w:ascii="Times New Roman"/>
                <w:spacing w:val="19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17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salaries</w:t>
            </w:r>
            <w:r>
              <w:rPr>
                <w:rFonts w:ascii="Times New Roman"/>
                <w:spacing w:val="2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2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wage</w:t>
            </w:r>
            <w:r>
              <w:rPr>
                <w:rFonts w:ascii="Times New Roman"/>
                <w:spacing w:val="18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earning</w:t>
            </w:r>
            <w:r>
              <w:rPr>
                <w:rFonts w:ascii="Times New Roman"/>
                <w:spacing w:val="17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1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non-farm</w:t>
            </w:r>
          </w:p>
          <w:p>
            <w:pPr>
              <w:pStyle w:val="TableParagraph"/>
              <w:spacing w:line="380" w:lineRule="atLeast"/>
              <w:ind w:left="106" w:right="9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labour</w:t>
            </w:r>
            <w:r>
              <w:rPr>
                <w:rFonts w:ascii="Times New Roman"/>
                <w:spacing w:val="1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including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trading,</w:t>
            </w:r>
            <w:r>
              <w:rPr>
                <w:rFonts w:ascii="Times New Roman"/>
                <w:spacing w:val="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business,</w:t>
            </w:r>
            <w:r>
              <w:rPr>
                <w:rFonts w:ascii="Times New Roman"/>
                <w:spacing w:val="1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self-employment,</w:t>
            </w:r>
            <w:r>
              <w:rPr>
                <w:rFonts w:ascii="Times New Roman"/>
                <w:spacing w:val="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government</w:t>
            </w:r>
            <w:r>
              <w:rPr>
                <w:rFonts w:ascii="Times New Roman"/>
                <w:spacing w:val="1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  <w:r>
              <w:rPr>
                <w:rFonts w:ascii="Times New Roman"/>
                <w:spacing w:val="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private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sector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employment.</w:t>
            </w:r>
          </w:p>
        </w:tc>
      </w:tr>
      <w:tr>
        <w:trPr>
          <w:trHeight w:val="760" w:hRule="atLeast"/>
        </w:trPr>
        <w:tc>
          <w:tcPr>
            <w:tcW w:w="2246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Transfer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Income</w:t>
            </w:r>
          </w:p>
        </w:tc>
        <w:tc>
          <w:tcPr>
            <w:tcW w:w="7105" w:type="dxa"/>
          </w:tcPr>
          <w:p>
            <w:pPr>
              <w:pStyle w:val="TableParagraph"/>
              <w:spacing w:line="249" w:lineRule="exact"/>
              <w:ind w:left="106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"/>
                <w:sz w:val="22"/>
              </w:rPr>
              <w:t>Transfer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income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relates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both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internal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foreign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remittances,</w:t>
            </w:r>
            <w:r>
              <w:rPr>
                <w:rFonts w:ascii="Times New Roman"/>
                <w:spacing w:val="-1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income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earned</w:t>
            </w:r>
          </w:p>
          <w:p>
            <w:pPr>
              <w:pStyle w:val="TableParagraph"/>
              <w:spacing w:before="126"/>
              <w:ind w:left="106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migration, pensions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 any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assistance and/or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payments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poor.</w:t>
            </w:r>
          </w:p>
        </w:tc>
      </w:tr>
      <w:tr>
        <w:trPr>
          <w:trHeight w:val="758" w:hRule="atLeast"/>
        </w:trPr>
        <w:tc>
          <w:tcPr>
            <w:tcW w:w="224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Rental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Income</w:t>
            </w:r>
          </w:p>
        </w:tc>
        <w:tc>
          <w:tcPr>
            <w:tcW w:w="7105" w:type="dxa"/>
          </w:tcPr>
          <w:p>
            <w:pPr>
              <w:pStyle w:val="TableParagraph"/>
              <w:spacing w:line="247" w:lineRule="exact"/>
              <w:ind w:left="106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rental</w:t>
            </w:r>
            <w:r>
              <w:rPr>
                <w:rFonts w:ascii="Times New Roman"/>
                <w:spacing w:val="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income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includes</w:t>
            </w:r>
            <w:r>
              <w:rPr>
                <w:rFonts w:ascii="Times New Roman"/>
                <w:spacing w:val="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rents</w:t>
            </w:r>
            <w:r>
              <w:rPr>
                <w:rFonts w:ascii="Times New Roman"/>
                <w:spacing w:val="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received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ownership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assets</w:t>
            </w:r>
            <w:r>
              <w:rPr>
                <w:rFonts w:ascii="Times New Roman"/>
                <w:spacing w:val="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including</w:t>
            </w:r>
          </w:p>
          <w:p>
            <w:pPr>
              <w:pStyle w:val="TableParagraph"/>
              <w:spacing w:before="127"/>
              <w:ind w:left="106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land,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machinery,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investment,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building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properties.</w:t>
            </w:r>
          </w:p>
        </w:tc>
      </w:tr>
    </w:tbl>
    <w:p>
      <w:pPr>
        <w:spacing w:before="0"/>
        <w:ind w:left="120" w:right="0" w:firstLine="0"/>
        <w:jc w:val="left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NBS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Waves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Heading4"/>
        <w:spacing w:line="274" w:lineRule="exact" w:before="77"/>
        <w:ind w:left="197" w:right="515"/>
        <w:jc w:val="center"/>
      </w:pPr>
      <w:r>
        <w:rPr/>
        <w:t>APPENDIX</w:t>
      </w:r>
      <w:r>
        <w:rPr>
          <w:spacing w:val="-2"/>
        </w:rPr>
        <w:t> </w:t>
      </w:r>
      <w:r>
        <w:rPr/>
        <w:t>F:</w:t>
      </w:r>
    </w:p>
    <w:p>
      <w:pPr>
        <w:pStyle w:val="BodyText"/>
        <w:spacing w:line="274" w:lineRule="exact" w:after="8"/>
        <w:ind w:left="197" w:right="515"/>
        <w:jc w:val="center"/>
      </w:pPr>
      <w:r>
        <w:rPr/>
        <w:t>TABLE</w:t>
      </w:r>
      <w:r>
        <w:rPr>
          <w:spacing w:val="-1"/>
        </w:rPr>
        <w:t> </w:t>
      </w:r>
      <w:r>
        <w:rPr/>
        <w:t>F1:</w:t>
      </w:r>
      <w:r>
        <w:rPr>
          <w:spacing w:val="-2"/>
        </w:rPr>
        <w:t> </w:t>
      </w:r>
      <w:r>
        <w:rPr/>
        <w:t>HOUSEHOLD’S</w:t>
      </w:r>
      <w:r>
        <w:rPr>
          <w:spacing w:val="-2"/>
        </w:rPr>
        <w:t> </w:t>
      </w:r>
      <w:r>
        <w:rPr/>
        <w:t>TOTAL</w:t>
      </w:r>
      <w:r>
        <w:rPr>
          <w:spacing w:val="-3"/>
        </w:rPr>
        <w:t> </w:t>
      </w:r>
      <w:r>
        <w:rPr/>
        <w:t>INCOMES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WAVE</w:t>
      </w:r>
      <w:r>
        <w:rPr>
          <w:spacing w:val="-1"/>
        </w:rPr>
        <w:t> </w:t>
      </w:r>
      <w:r>
        <w:rPr/>
        <w:t>I</w:t>
      </w:r>
      <w:r>
        <w:rPr>
          <w:spacing w:val="-8"/>
        </w:rPr>
        <w:t> </w:t>
      </w:r>
      <w:r>
        <w:rPr/>
        <w:t>(NAIRA)</w:t>
      </w:r>
    </w:p>
    <w:tbl>
      <w:tblPr>
        <w:tblW w:w="0" w:type="auto"/>
        <w:jc w:val="left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9"/>
        <w:gridCol w:w="1080"/>
        <w:gridCol w:w="1260"/>
        <w:gridCol w:w="1172"/>
      </w:tblGrid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21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Household's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Incomes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(Naira)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left="3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Freq.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left="28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Percent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left="35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Cum.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#0 -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20,750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49" w:lineRule="exact" w:before="30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#100,000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9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525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2.425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98.425</w:t>
            </w:r>
          </w:p>
        </w:tc>
      </w:tr>
      <w:tr>
        <w:trPr>
          <w:trHeight w:val="302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30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#150,000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157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0.73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99.155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#200,000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99.455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#250,000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0.15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99.605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#300,000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0.11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99.715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#350,000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0.07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99.785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49" w:lineRule="exact" w:before="30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#400,000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9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99.795</w:t>
            </w:r>
          </w:p>
        </w:tc>
      </w:tr>
      <w:tr>
        <w:trPr>
          <w:trHeight w:val="302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31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#450,000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31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3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3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99.835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#500,000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99.865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#500,001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#550,000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99.885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#550,001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#600,000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99.895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#600,001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#650,000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99.895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49" w:lineRule="exact" w:before="30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#650,001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#700,000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9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99.895</w:t>
            </w:r>
          </w:p>
        </w:tc>
      </w:tr>
      <w:tr>
        <w:trPr>
          <w:trHeight w:val="301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30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#700,001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#750,000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0.014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99.909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#750,001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#800,000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99.914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#800,001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#850,000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0.018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99.932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#850,001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#900,000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99.932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#900,001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#950,000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99.932</w:t>
            </w:r>
          </w:p>
        </w:tc>
      </w:tr>
      <w:tr>
        <w:trPr>
          <w:trHeight w:val="300" w:hRule="atLeast"/>
        </w:trPr>
        <w:tc>
          <w:tcPr>
            <w:tcW w:w="3509" w:type="dxa"/>
          </w:tcPr>
          <w:p>
            <w:pPr>
              <w:pStyle w:val="TableParagraph"/>
              <w:spacing w:line="249" w:lineRule="exact" w:before="30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#950,001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#1,000,000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9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99.937</w:t>
            </w:r>
          </w:p>
        </w:tc>
      </w:tr>
      <w:tr>
        <w:trPr>
          <w:trHeight w:val="302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30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#1,000,001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#1,050,000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99.947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#1,050,001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#1,100,000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#1,100,001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#1,150,000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#1,150,001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#1,200,000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#1,200,001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#1,250,000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49" w:lineRule="exact" w:before="30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#1,250,001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#1,300,000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9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301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30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#1,300,001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#1,350,000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#1,350,001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#1,400,000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#1,400,001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#1,450,000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#1,450,001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#1,500,000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300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#1,500,001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#1,550,000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49" w:lineRule="exact" w:before="30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#1,550,001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#1,600,000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9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302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30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#1,600,001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#1,650,000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#1,650,001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#1,700,000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#1,700,001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#1,750,000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#1,750,001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#1,800,000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#1,800,001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#1,850,000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301" w:hRule="atLeast"/>
        </w:trPr>
        <w:tc>
          <w:tcPr>
            <w:tcW w:w="3509" w:type="dxa"/>
          </w:tcPr>
          <w:p>
            <w:pPr>
              <w:pStyle w:val="TableParagraph"/>
              <w:spacing w:line="252" w:lineRule="exact" w:before="30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#1,850,001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#1,900,000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</w:tbl>
    <w:p>
      <w:pPr>
        <w:spacing w:after="0" w:line="252" w:lineRule="exact"/>
        <w:rPr>
          <w:rFonts w:ascii="Calibri"/>
          <w:sz w:val="22"/>
        </w:rPr>
        <w:sectPr>
          <w:pgSz w:w="12240" w:h="15840"/>
          <w:pgMar w:header="0" w:footer="935" w:top="1360" w:bottom="1200" w:left="1320" w:right="1000"/>
        </w:sectPr>
      </w:pPr>
    </w:p>
    <w:tbl>
      <w:tblPr>
        <w:tblW w:w="0" w:type="auto"/>
        <w:jc w:val="left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9"/>
        <w:gridCol w:w="1080"/>
        <w:gridCol w:w="1260"/>
        <w:gridCol w:w="1172"/>
      </w:tblGrid>
      <w:tr>
        <w:trPr>
          <w:trHeight w:val="300" w:hRule="atLeast"/>
        </w:trPr>
        <w:tc>
          <w:tcPr>
            <w:tcW w:w="3509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#1,900,001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#1,950,000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#1,950,001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#2,000,000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99.957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#2,000,001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#2,050,000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99.967</w:t>
            </w:r>
          </w:p>
        </w:tc>
      </w:tr>
      <w:tr>
        <w:trPr>
          <w:trHeight w:val="301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5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#2,050,001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#2,100,000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#2,100,001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#2,150,000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#2,150,001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#2,200,000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#2,200,001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#2,250,000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#2,250,001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#2,300,000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#2,300,001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#2,350,000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301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5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#2,350,001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#2,400,000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#2,400,001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#2,450,000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300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#2,450,001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#2,500,000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#2,500,001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#2,550,000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#2,550,001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#2,600,000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#2,600,001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#2,650,000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301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5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#2,650,001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#2,700,000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#2,700,001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#2,750,000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#2,750,001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#2,800,000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#2,800,001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#2,850,000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#2,850,001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#2,900,000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#2,900,001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#2,950,000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301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5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#2,950,001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#3,000,000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300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#3,000,001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#3,050,000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#3,050,001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#3,100,000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#3,100,001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#3,150,000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#3,150,001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#3,200,000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#3,200,001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#3,250,000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302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5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#3,250,001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#3,300,000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#3,300,001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#3,350,000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#3,350,001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#3,400,000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#3,400,001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#3,450,000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#3,450,001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#3,500,000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300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#3,500,001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#3,550,000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301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5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#3,550,001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#3,600,000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#3,600,001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#3,650,000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#3,650,001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#3,700,000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#3,700,001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#3,750,000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#3,750,001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#3,800,000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#3,800,001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#3,850,000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301" w:hRule="atLeast"/>
        </w:trPr>
        <w:tc>
          <w:tcPr>
            <w:tcW w:w="3509" w:type="dxa"/>
          </w:tcPr>
          <w:p>
            <w:pPr>
              <w:pStyle w:val="TableParagraph"/>
              <w:spacing w:line="256" w:lineRule="exact" w:before="25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#3,850,001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#3,900,000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#3,900,001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#3,950,000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</w:tbl>
    <w:p>
      <w:pPr>
        <w:spacing w:after="0" w:line="257" w:lineRule="exact"/>
        <w:rPr>
          <w:rFonts w:ascii="Calibri"/>
          <w:sz w:val="22"/>
        </w:rPr>
        <w:sectPr>
          <w:pgSz w:w="12240" w:h="15840"/>
          <w:pgMar w:header="0" w:footer="935" w:top="1440" w:bottom="1120" w:left="1320" w:right="1000"/>
        </w:sectPr>
      </w:pPr>
    </w:p>
    <w:tbl>
      <w:tblPr>
        <w:tblW w:w="0" w:type="auto"/>
        <w:jc w:val="left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9"/>
        <w:gridCol w:w="1080"/>
        <w:gridCol w:w="1260"/>
        <w:gridCol w:w="1172"/>
      </w:tblGrid>
      <w:tr>
        <w:trPr>
          <w:trHeight w:val="300" w:hRule="atLeast"/>
        </w:trPr>
        <w:tc>
          <w:tcPr>
            <w:tcW w:w="3509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#3,950,001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#4,000,000</w:t>
            </w: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99.977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#4,000,001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#4,050,000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#4,050,001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#4,100,000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301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5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#4,100,001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#4,150,000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#4,150,001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#4,200,000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#4,200,001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#4,250,000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#4,250,001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#4,300,000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#4,300,001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#4,350,000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#4,350,001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#4,400,000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301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5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#4,400,001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#4,450,000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#4,450,001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#4,500,000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300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#4,500,001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#4,550,000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#4,550,001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#4,600,000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#4,600,001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#4,650,000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#4,650,001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#4,700,000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301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5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#4,700,001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#4,750,000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#4,750,001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#4,800,000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#4,800,001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#4,850,000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#4,850,001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#4,900,000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#4,900,001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#4,950,000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299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#4,950,001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#5,000,000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99.982</w:t>
            </w:r>
          </w:p>
        </w:tc>
      </w:tr>
      <w:tr>
        <w:trPr>
          <w:trHeight w:val="301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5"/>
              <w:ind w:left="100"/>
              <w:jc w:val="left"/>
              <w:rPr>
                <w:rFonts w:ascii="Calibri"/>
                <w:sz w:val="22"/>
              </w:rPr>
            </w:pPr>
            <w:r>
              <w:rPr>
                <w:rFonts w:ascii="Cambria Math"/>
                <w:sz w:val="22"/>
              </w:rPr>
              <w:t>&gt;</w:t>
            </w:r>
            <w:r>
              <w:rPr>
                <w:rFonts w:ascii="Cambria Math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#5,000,000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0.018</w:t>
            </w:r>
          </w:p>
        </w:tc>
        <w:tc>
          <w:tcPr>
            <w:tcW w:w="1172" w:type="dxa"/>
          </w:tcPr>
          <w:p>
            <w:pPr>
              <w:pStyle w:val="TableParagraph"/>
              <w:spacing w:line="257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</w:tr>
      <w:tr>
        <w:trPr>
          <w:trHeight w:val="300" w:hRule="atLeast"/>
        </w:trPr>
        <w:tc>
          <w:tcPr>
            <w:tcW w:w="3509" w:type="dxa"/>
          </w:tcPr>
          <w:p>
            <w:pPr>
              <w:pStyle w:val="TableParagraph"/>
              <w:spacing w:line="257" w:lineRule="exact" w:before="23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</w:p>
        </w:tc>
        <w:tc>
          <w:tcPr>
            <w:tcW w:w="108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21,612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  <w:tc>
          <w:tcPr>
            <w:tcW w:w="1172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90" w:after="9"/>
        <w:ind w:left="243" w:right="562"/>
        <w:jc w:val="center"/>
      </w:pPr>
      <w:r>
        <w:rPr/>
        <w:t>TABLE</w:t>
      </w:r>
      <w:r>
        <w:rPr>
          <w:spacing w:val="-1"/>
        </w:rPr>
        <w:t> </w:t>
      </w:r>
      <w:r>
        <w:rPr/>
        <w:t>F2:</w:t>
      </w:r>
      <w:r>
        <w:rPr>
          <w:spacing w:val="-3"/>
        </w:rPr>
        <w:t> </w:t>
      </w:r>
      <w:r>
        <w:rPr/>
        <w:t>HOUSEHOLD’S</w:t>
      </w:r>
      <w:r>
        <w:rPr>
          <w:spacing w:val="-3"/>
        </w:rPr>
        <w:t> </w:t>
      </w:r>
      <w:r>
        <w:rPr/>
        <w:t>TOTAL</w:t>
      </w:r>
      <w:r>
        <w:rPr>
          <w:spacing w:val="-3"/>
        </w:rPr>
        <w:t> </w:t>
      </w:r>
      <w:r>
        <w:rPr/>
        <w:t>INCOMES -</w:t>
      </w:r>
      <w:r>
        <w:rPr>
          <w:spacing w:val="-4"/>
        </w:rPr>
        <w:t> </w:t>
      </w:r>
      <w:r>
        <w:rPr/>
        <w:t>WAVE</w:t>
      </w:r>
      <w:r>
        <w:rPr>
          <w:spacing w:val="-1"/>
        </w:rPr>
        <w:t> </w:t>
      </w:r>
      <w:r>
        <w:rPr/>
        <w:t>II</w:t>
      </w:r>
      <w:r>
        <w:rPr>
          <w:spacing w:val="-4"/>
        </w:rPr>
        <w:t> </w:t>
      </w:r>
      <w:r>
        <w:rPr/>
        <w:t>(NAIRA)</w:t>
      </w:r>
    </w:p>
    <w:tbl>
      <w:tblPr>
        <w:tblW w:w="0" w:type="auto"/>
        <w:jc w:val="left"/>
        <w:tblInd w:w="1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1"/>
        <w:gridCol w:w="900"/>
        <w:gridCol w:w="991"/>
        <w:gridCol w:w="900"/>
      </w:tblGrid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Household's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Incomes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(Naira)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Freq.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Percent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Cum.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#0 -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21,231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88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88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#50,001 -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#100,000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1,627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6.74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94.74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49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#150,000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801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3.32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98.06</w:t>
            </w:r>
          </w:p>
        </w:tc>
      </w:tr>
      <w:tr>
        <w:trPr>
          <w:trHeight w:val="302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#200,000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159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0.65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98.71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#250,000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61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0.25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98.96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#300,000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0.14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#350,000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0.08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99.18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#400,000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99.22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49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#450,000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99.25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#500,000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0.033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99.283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#500,001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#550,000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99.303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#550,001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#600,000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99.313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#600,001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#650,000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99.313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#650,001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#700,000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99.313</w:t>
            </w:r>
          </w:p>
        </w:tc>
      </w:tr>
    </w:tbl>
    <w:p>
      <w:pPr>
        <w:spacing w:after="0" w:line="252" w:lineRule="exact"/>
        <w:rPr>
          <w:rFonts w:ascii="Calibri"/>
          <w:sz w:val="22"/>
        </w:rPr>
        <w:sectPr>
          <w:pgSz w:w="12240" w:h="15840"/>
          <w:pgMar w:header="0" w:footer="935" w:top="1440" w:bottom="1120" w:left="1320" w:right="1000"/>
        </w:sectPr>
      </w:pPr>
    </w:p>
    <w:tbl>
      <w:tblPr>
        <w:tblW w:w="0" w:type="auto"/>
        <w:jc w:val="left"/>
        <w:tblInd w:w="1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1"/>
        <w:gridCol w:w="900"/>
        <w:gridCol w:w="991"/>
        <w:gridCol w:w="900"/>
      </w:tblGrid>
      <w:tr>
        <w:trPr>
          <w:trHeight w:val="300" w:hRule="atLeast"/>
        </w:trPr>
        <w:tc>
          <w:tcPr>
            <w:tcW w:w="3601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#700,001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#750,000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0.012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99.325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#750,001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#800,000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#800,001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#850,000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99.35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#850,001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#900,000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#900,001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#950,000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#950,001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#1,000,000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99.355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#1,000,001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#1,050,000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99.365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#1,050,001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#1,100,000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99.37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#1,100,001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#1,150,000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99.41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#1,150,001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#1,200,000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99.415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#1,200,001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#1,250,000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99.415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#1,250,001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#1,300,000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99.415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#1,300,001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#1,350,000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99.415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#1,350,001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#1,400,000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99.415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#1,400,001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#1,450,000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99.415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#1,450,001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#1,500,000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99.415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#1,500,001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#1,550,000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99.415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#1,550,001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#1,600,000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99.415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#1,600,001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#1,650,000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99.415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#1,650,001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#1,700,000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99.42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#1,700,001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#1,750,000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99.425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#1,750,001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#1,800,000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99.43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#1,800,001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#1,850,000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99.48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#1,850,001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#1,900,000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99.485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#1,900,001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#1,950,000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99.485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#1,950,001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#2,000,000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99.485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#2,000,001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#2,050,000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99.49</w:t>
            </w:r>
          </w:p>
        </w:tc>
      </w:tr>
      <w:tr>
        <w:trPr>
          <w:trHeight w:val="302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#2,050,001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#2,100,000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0.058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99.548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#2,100,001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#2,150,000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99.553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#2,150,001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#2,200,000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99.563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#2,200,001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#2,250,000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99.568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#2,250,001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#2,300,000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99.578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#2,300,001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#2,350,000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99.598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#2,350,001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#2,400,000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99.603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#2,400,001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#2,450,000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99.608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#2,450,001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#2,500,000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99.618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#2,500,001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#2,550,000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99.623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#2,550,001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#2,600,000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99.628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#2,600,001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#2,650,000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99.628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6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#2,650,001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#2,700,000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0.045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99.673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#2,700,001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#2,750,000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99.673</w:t>
            </w:r>
          </w:p>
        </w:tc>
      </w:tr>
    </w:tbl>
    <w:p>
      <w:pPr>
        <w:spacing w:after="0" w:line="257" w:lineRule="exact"/>
        <w:rPr>
          <w:rFonts w:ascii="Calibri"/>
          <w:sz w:val="22"/>
        </w:rPr>
        <w:sectPr>
          <w:pgSz w:w="12240" w:h="15840"/>
          <w:pgMar w:header="0" w:footer="935" w:top="1440" w:bottom="1120" w:left="1320" w:right="1000"/>
        </w:sectPr>
      </w:pPr>
    </w:p>
    <w:tbl>
      <w:tblPr>
        <w:tblW w:w="0" w:type="auto"/>
        <w:jc w:val="left"/>
        <w:tblInd w:w="1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1"/>
        <w:gridCol w:w="900"/>
        <w:gridCol w:w="991"/>
        <w:gridCol w:w="900"/>
      </w:tblGrid>
      <w:tr>
        <w:trPr>
          <w:trHeight w:val="300" w:hRule="atLeast"/>
        </w:trPr>
        <w:tc>
          <w:tcPr>
            <w:tcW w:w="3601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#2,750,001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#2,800,000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99.673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#2,800,001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#2,850,000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99.673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#2,850,001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#2,900,000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99.673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#2,900,001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#2,950,000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99.678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#2,950,001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#3,000,000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0.037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99.715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#3,000,001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#3,050,000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99.735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#3,050,001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#3,100,000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#3,100,001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#3,150,000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#3,150,001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#3,200,000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99.74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#3,200,001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#3,250,000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#3,250,001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#3,300,000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99.745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#3,300,001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#3,350,000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99.745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#3,350,001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#3,400,000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0.012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99.757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#3,400,001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#3,450,000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99.757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#3,450,001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#3,500,000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99.762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#3,500,001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#3,550,000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99.762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#3,550,001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#3,600,000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99.767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#3,600,001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#3,650,000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99.767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#3,650,001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#3,700,000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99.772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#3,700,001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#3,750,000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0.037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99.809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#3,750,001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#3,800,000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99.809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#3,800,001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#3,850,000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99.814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#3,850,001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#3,900,000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99.819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#3,900,001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#3,950,000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99.819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#3,950,001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#4,000,000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99.824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#4,000,001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#4,050,000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99.829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#4,050,001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#4,100,000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99.834</w:t>
            </w:r>
          </w:p>
        </w:tc>
      </w:tr>
      <w:tr>
        <w:trPr>
          <w:trHeight w:val="302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#4,100,001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#4,150,000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99.839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#4,150,001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#4,200,000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99.839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#4,200,001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#4,250,000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99.839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#4,250,001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#4,300,000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99.884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#4,300,001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#4,350,000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99.884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#4,350,001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#4,400,000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0.012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99.896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#4,400,001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#4,450,000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99.896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#4,450,001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#4,500,000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99.896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#4,500,001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#4,550,000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99.901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#4,550,001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#4,600,000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99.901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#4,600,001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#4,650,000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99.901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#4,650,001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#4,700,000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99.906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6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#4,700,001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#4,750,000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99.906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#4,750,001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#4,800,000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99.906</w:t>
            </w:r>
          </w:p>
        </w:tc>
      </w:tr>
    </w:tbl>
    <w:p>
      <w:pPr>
        <w:spacing w:after="0" w:line="257" w:lineRule="exact"/>
        <w:rPr>
          <w:rFonts w:ascii="Calibri"/>
          <w:sz w:val="22"/>
        </w:rPr>
        <w:sectPr>
          <w:pgSz w:w="12240" w:h="15840"/>
          <w:pgMar w:header="0" w:footer="935" w:top="1440" w:bottom="1120" w:left="1320" w:right="1000"/>
        </w:sectPr>
      </w:pPr>
    </w:p>
    <w:tbl>
      <w:tblPr>
        <w:tblW w:w="0" w:type="auto"/>
        <w:jc w:val="left"/>
        <w:tblInd w:w="1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1"/>
        <w:gridCol w:w="900"/>
        <w:gridCol w:w="991"/>
        <w:gridCol w:w="900"/>
      </w:tblGrid>
      <w:tr>
        <w:trPr>
          <w:trHeight w:val="300" w:hRule="atLeast"/>
        </w:trPr>
        <w:tc>
          <w:tcPr>
            <w:tcW w:w="3601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#4,800,001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#4,850,000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99.916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#4,850,001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#4,900,000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99.916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#4,900,001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#4,950,000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99.916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#4,950,001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#5,000,000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99.916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mbria Math"/>
                <w:sz w:val="22"/>
              </w:rPr>
              <w:t>&gt;</w:t>
            </w:r>
            <w:r>
              <w:rPr>
                <w:rFonts w:ascii="Cambria Math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#5,000,000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0.074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24,123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90" w:after="9"/>
        <w:ind w:left="197" w:right="518"/>
        <w:jc w:val="center"/>
      </w:pPr>
      <w:r>
        <w:rPr/>
        <w:t>TABLE</w:t>
      </w:r>
      <w:r>
        <w:rPr>
          <w:spacing w:val="-1"/>
        </w:rPr>
        <w:t> </w:t>
      </w:r>
      <w:r>
        <w:rPr/>
        <w:t>F3:</w:t>
      </w:r>
      <w:r>
        <w:rPr>
          <w:spacing w:val="-3"/>
        </w:rPr>
        <w:t> </w:t>
      </w:r>
      <w:r>
        <w:rPr/>
        <w:t>HOUSEHOLD’S</w:t>
      </w:r>
      <w:r>
        <w:rPr>
          <w:spacing w:val="-3"/>
        </w:rPr>
        <w:t> </w:t>
      </w:r>
      <w:r>
        <w:rPr/>
        <w:t>TOTAL</w:t>
      </w:r>
      <w:r>
        <w:rPr>
          <w:spacing w:val="-3"/>
        </w:rPr>
        <w:t> </w:t>
      </w:r>
      <w:r>
        <w:rPr/>
        <w:t>INCOMES -</w:t>
      </w:r>
      <w:r>
        <w:rPr>
          <w:spacing w:val="-4"/>
        </w:rPr>
        <w:t> </w:t>
      </w:r>
      <w:r>
        <w:rPr/>
        <w:t>WAVE</w:t>
      </w:r>
      <w:r>
        <w:rPr>
          <w:spacing w:val="-2"/>
        </w:rPr>
        <w:t> </w:t>
      </w:r>
      <w:r>
        <w:rPr/>
        <w:t>III</w:t>
      </w:r>
      <w:r>
        <w:rPr>
          <w:spacing w:val="-4"/>
        </w:rPr>
        <w:t> </w:t>
      </w:r>
      <w:r>
        <w:rPr/>
        <w:t>(NAIRA)</w:t>
      </w:r>
    </w:p>
    <w:tbl>
      <w:tblPr>
        <w:tblW w:w="0" w:type="auto"/>
        <w:jc w:val="left"/>
        <w:tblInd w:w="1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1"/>
        <w:gridCol w:w="900"/>
        <w:gridCol w:w="991"/>
        <w:gridCol w:w="900"/>
      </w:tblGrid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Household's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Incomes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(Naira)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Freq.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Percent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left="10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Cum.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#0 -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19,983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81.54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81.54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49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#50,001 -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#100,000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2,769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30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92.84</w:t>
            </w:r>
          </w:p>
        </w:tc>
      </w:tr>
      <w:tr>
        <w:trPr>
          <w:trHeight w:val="302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#150,000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721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2.95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95.79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#200,000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111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0.453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96.243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#250,000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0.11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96.353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#300,000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0.16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96.513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#350,000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96.563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49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#400,000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0.036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96.599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#450,000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0.029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96.623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#500,000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0.024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96.647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#500,001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#550,000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0.016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96.663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#550,001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#600,000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0.008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96.671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#600,001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#650,000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96.671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49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#650,001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#700,000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30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96.671</w:t>
            </w:r>
          </w:p>
        </w:tc>
      </w:tr>
      <w:tr>
        <w:trPr>
          <w:trHeight w:val="302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#700,001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#750,000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0.054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96.725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#750,001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#800,000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96.729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#800,001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#850,000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0.016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96.745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#850,001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#900,000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96.745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#900,001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#950,000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96.745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49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#950,001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#1,000,000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96.749</w:t>
            </w:r>
          </w:p>
        </w:tc>
      </w:tr>
      <w:tr>
        <w:trPr>
          <w:trHeight w:val="302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#1,000,001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#1,050,000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0.008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96.757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#1,050,001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#1,100,000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96.761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#1,100,001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#1,150,000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0.411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97.172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#1,150,001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#1,200,000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0.074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97.246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#1,200,001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#1,250,000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0.045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97.291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49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#1,250,001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#1,300,000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0.037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97.328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30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#1,300,001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#1,350,000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0.028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3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97.356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#1,350,001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#1,400,000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97.356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#1,400,001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#1,450,000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97.406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#1,450,001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#1,500,000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97.406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2" w:lineRule="exact" w:before="28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#1,500,001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#1,550,000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0.028</w:t>
            </w:r>
          </w:p>
        </w:tc>
        <w:tc>
          <w:tcPr>
            <w:tcW w:w="900" w:type="dxa"/>
          </w:tcPr>
          <w:p>
            <w:pPr>
              <w:pStyle w:val="TableParagraph"/>
              <w:spacing w:line="252" w:lineRule="exact" w:before="28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97.434</w:t>
            </w:r>
          </w:p>
        </w:tc>
      </w:tr>
    </w:tbl>
    <w:p>
      <w:pPr>
        <w:spacing w:after="0" w:line="252" w:lineRule="exact"/>
        <w:rPr>
          <w:rFonts w:ascii="Calibri"/>
          <w:sz w:val="22"/>
        </w:rPr>
        <w:sectPr>
          <w:pgSz w:w="12240" w:h="15840"/>
          <w:pgMar w:header="0" w:footer="935" w:top="1440" w:bottom="1120" w:left="1320" w:right="1000"/>
        </w:sectPr>
      </w:pPr>
    </w:p>
    <w:tbl>
      <w:tblPr>
        <w:tblW w:w="0" w:type="auto"/>
        <w:jc w:val="left"/>
        <w:tblInd w:w="1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1"/>
        <w:gridCol w:w="900"/>
        <w:gridCol w:w="991"/>
        <w:gridCol w:w="900"/>
      </w:tblGrid>
      <w:tr>
        <w:trPr>
          <w:trHeight w:val="300" w:hRule="atLeast"/>
        </w:trPr>
        <w:tc>
          <w:tcPr>
            <w:tcW w:w="3601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#1,550,001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#1,600,000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97.434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#1,600,001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#1,650,000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97.434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#1,650,001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#1,700,000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97.479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#1,700,001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#1,750,000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0.032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97.511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#1,750,001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#1,800,000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0.053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97.564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#1,800,001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#1,850,000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0.07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97.634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#1,850,001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#1,900,000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97.678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#1,900,001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#1,950,000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0.003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97.681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#1,950,001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#2,000,000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0.053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97.734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#2,000,001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#2,050,000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76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0.31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98.044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#2,050,001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#2,100,000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0.453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98.497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#2,100,001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#2,150,000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87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0.355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98.852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#2,150,001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#2,200,000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98.902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#2,200,001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#2,250,000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98.906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#2,250,001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#2,300,000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98.91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#2,300,001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#2,350,000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0.016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98.926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#2,350,001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#2,400,000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#2,400,001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#2,450,000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98.934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#2,450,001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#2,500,000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0.008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98.942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#2,500,001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#2,550,000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98.946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#2,550,001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#2,600,000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98.95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#2,600,001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#2,650,000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98.95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#2,650,001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#2,700,000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98.995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#2,700,001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#2,750,000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98.995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#2,750,001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#2,800,000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98.995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#2,800,001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#2,850,000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98.995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#2,850,001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#2,900,000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98.995</w:t>
            </w:r>
          </w:p>
        </w:tc>
      </w:tr>
      <w:tr>
        <w:trPr>
          <w:trHeight w:val="302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#2,900,001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#2,950,000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99.04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#2,950,001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#3,000,000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0.08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99.12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#3,000,001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#3,050,000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0.061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99.181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#3,050,001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#3,100,000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99.226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#3,100,001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#3,150,000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0.037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99.263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#3,150,001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#3,200,000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0.028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99.291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#3,200,001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#3,250,000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99.291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#3,250,001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#3,300,000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99.335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#3,300,001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#3,350,000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99.385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#3,350,001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#3,400,000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0.012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99.397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#3,400,001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#3,450,000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99.397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#3,450,001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#3,500,000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99.401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6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#3,500,001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#3,550,000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99.401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#3,550,001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#3,600,000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99.405</w:t>
            </w:r>
          </w:p>
        </w:tc>
      </w:tr>
    </w:tbl>
    <w:p>
      <w:pPr>
        <w:spacing w:after="0" w:line="257" w:lineRule="exact"/>
        <w:rPr>
          <w:rFonts w:ascii="Calibri"/>
          <w:sz w:val="22"/>
        </w:rPr>
        <w:sectPr>
          <w:pgSz w:w="12240" w:h="15840"/>
          <w:pgMar w:header="0" w:footer="935" w:top="1440" w:bottom="1120" w:left="1320" w:right="1000"/>
        </w:sectPr>
      </w:pPr>
    </w:p>
    <w:tbl>
      <w:tblPr>
        <w:tblW w:w="0" w:type="auto"/>
        <w:jc w:val="left"/>
        <w:tblInd w:w="1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1"/>
        <w:gridCol w:w="900"/>
        <w:gridCol w:w="991"/>
        <w:gridCol w:w="900"/>
      </w:tblGrid>
      <w:tr>
        <w:trPr>
          <w:trHeight w:val="300" w:hRule="atLeast"/>
        </w:trPr>
        <w:tc>
          <w:tcPr>
            <w:tcW w:w="3601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#3,600,001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#3,650,000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99.409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#3,650,001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#3,700,000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99.413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#3,700,001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#3,750,000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0.037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99.45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#3,750,001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#3,800,000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99.45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#3,800,001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#3,850,000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0.012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99.462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#3,850,001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#3,900,000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99.466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#3,900,001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#3,950,000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99.466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#3,950,001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#4,000,000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99.47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#4,000,001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#4,050,000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99.515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#4,050,001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#4,100,000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99.519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#4,100,001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#4,150,000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0.072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99.591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#4,150,001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#4,200,000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99.591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#4,200,001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#4,250,000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99.591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#4,250,001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#4,300,000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0.045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99.636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#4,300,001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#4,350,000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99.636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#4,350,001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#4,400,000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0.016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99.652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#4,400,001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#4,450,000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0.032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99.657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#4,450,001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#4,500,000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99.657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#4,500,001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#4,550,000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0.012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99.689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#4,550,001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#4,600,000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99.701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#4,600,001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#4,650,000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0.037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99.701</w:t>
            </w:r>
          </w:p>
        </w:tc>
      </w:tr>
      <w:tr>
        <w:trPr>
          <w:trHeight w:val="301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#4,650,001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#4,700,000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99.738</w:t>
            </w:r>
          </w:p>
        </w:tc>
      </w:tr>
      <w:tr>
        <w:trPr>
          <w:trHeight w:val="300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#4,700,001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#4,750,000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0.059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99.742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#4,750,001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#4,800,000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99.906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#4,800,001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#4,850,000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0.032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99.801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#4,850,001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#4,900,000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99.801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#4,900,001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#4,950,000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0.028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99.833</w:t>
            </w:r>
          </w:p>
        </w:tc>
      </w:tr>
      <w:tr>
        <w:trPr>
          <w:trHeight w:val="302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5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#4,950,001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#5,000,000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99.861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40" w:lineRule="exact" w:before="40"/>
              <w:ind w:left="103"/>
              <w:jc w:val="left"/>
              <w:rPr>
                <w:rFonts w:ascii="Calibri"/>
                <w:sz w:val="22"/>
              </w:rPr>
            </w:pPr>
            <w:r>
              <w:rPr>
                <w:rFonts w:ascii="Cambria Math"/>
                <w:sz w:val="22"/>
              </w:rPr>
              <w:t>&gt;</w:t>
            </w:r>
            <w:r>
              <w:rPr>
                <w:rFonts w:ascii="Cambria Math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#5,000,000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0.139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</w:tr>
      <w:tr>
        <w:trPr>
          <w:trHeight w:val="299" w:hRule="atLeast"/>
        </w:trPr>
        <w:tc>
          <w:tcPr>
            <w:tcW w:w="3601" w:type="dxa"/>
          </w:tcPr>
          <w:p>
            <w:pPr>
              <w:pStyle w:val="TableParagraph"/>
              <w:spacing w:line="257" w:lineRule="exact" w:before="23"/>
              <w:ind w:left="10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3"/>
              <w:ind w:righ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24,506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3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2"/>
        </w:rPr>
        <w:sectPr>
          <w:pgSz w:w="12240" w:h="15840"/>
          <w:pgMar w:header="0" w:footer="935" w:top="1440" w:bottom="1120" w:left="1320" w:right="1000"/>
        </w:sectPr>
      </w:pPr>
    </w:p>
    <w:p>
      <w:pPr>
        <w:pStyle w:val="BodyText"/>
        <w:spacing w:before="72" w:after="8"/>
        <w:ind w:left="1061"/>
      </w:pPr>
      <w:r>
        <w:rPr/>
        <w:t>TABLE</w:t>
      </w:r>
      <w:r>
        <w:rPr>
          <w:spacing w:val="-1"/>
        </w:rPr>
        <w:t> </w:t>
      </w:r>
      <w:r>
        <w:rPr/>
        <w:t>F4:</w:t>
      </w:r>
      <w:r>
        <w:rPr>
          <w:spacing w:val="-1"/>
        </w:rPr>
        <w:t> </w:t>
      </w:r>
      <w:r>
        <w:rPr/>
        <w:t>HOUSEHOLD’S</w:t>
      </w:r>
      <w:r>
        <w:rPr>
          <w:spacing w:val="-2"/>
        </w:rPr>
        <w:t> </w:t>
      </w:r>
      <w:r>
        <w:rPr/>
        <w:t>TOTAL</w:t>
      </w:r>
      <w:r>
        <w:rPr>
          <w:spacing w:val="-3"/>
        </w:rPr>
        <w:t> </w:t>
      </w:r>
      <w:r>
        <w:rPr/>
        <w:t>INCOMES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ALL</w:t>
      </w:r>
      <w:r>
        <w:rPr>
          <w:spacing w:val="-5"/>
        </w:rPr>
        <w:t> </w:t>
      </w:r>
      <w:r>
        <w:rPr/>
        <w:t>WAVES</w:t>
      </w:r>
      <w:r>
        <w:rPr>
          <w:spacing w:val="-2"/>
        </w:rPr>
        <w:t> </w:t>
      </w:r>
      <w:r>
        <w:rPr/>
        <w:t>(NAIRA)</w:t>
      </w:r>
    </w:p>
    <w:tbl>
      <w:tblPr>
        <w:tblW w:w="0" w:type="auto"/>
        <w:jc w:val="left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6"/>
        <w:gridCol w:w="1352"/>
        <w:gridCol w:w="1349"/>
        <w:gridCol w:w="1712"/>
      </w:tblGrid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Total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Household's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Incomes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(Naira)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Frequency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Percentage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Cum.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#0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61,964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77.16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77.12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#100,000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15,021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18.72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95.88</w:t>
            </w:r>
          </w:p>
        </w:tc>
      </w:tr>
      <w:tr>
        <w:trPr>
          <w:trHeight w:val="302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#100,001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#150,000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1,679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2.09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97.97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#150,001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#200,000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335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0.4161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98.3861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#200,001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#250,000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118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0.1501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98.5362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#250,001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#300,000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0.12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98.6562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#300,001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#350,000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46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0.06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98.7162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#350,001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#400,000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0.02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98.7362</w:t>
            </w:r>
          </w:p>
        </w:tc>
      </w:tr>
      <w:tr>
        <w:trPr>
          <w:trHeight w:val="301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#400,001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#450,000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25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0.03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98.7662</w:t>
            </w:r>
          </w:p>
        </w:tc>
      </w:tr>
      <w:tr>
        <w:trPr>
          <w:trHeight w:val="300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#450,001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#500,000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21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0.02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98.7862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#500,001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#550,000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98.7962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#550,001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#600,000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0.007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98.8032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#600,001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#650,000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98.8032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#650,001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#700,000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98.8032</w:t>
            </w:r>
          </w:p>
        </w:tc>
      </w:tr>
      <w:tr>
        <w:trPr>
          <w:trHeight w:val="302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#700,001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#750,000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19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0.023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98.8032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#750,001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#800,000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0.003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98.8262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#800,001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#850,000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98.8292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#850,001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#900,000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98.8392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#900,001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 #950,000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98.8392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#950,001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#1,000,000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0.003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98.8392</w:t>
            </w:r>
          </w:p>
        </w:tc>
      </w:tr>
      <w:tr>
        <w:trPr>
          <w:trHeight w:val="302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2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#1,000,001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#1,050,000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2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2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0.007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2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98.8422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#1,050,001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#1,100,000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0.003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98.8492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#1,100,001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#1,150,000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98.8522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#1,150,001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#1,200,000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98.9922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#1,200,001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#1,250,000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99.0162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#1,250,001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#1,300,000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99.0302</w:t>
            </w:r>
          </w:p>
        </w:tc>
      </w:tr>
      <w:tr>
        <w:trPr>
          <w:trHeight w:val="301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#1,300,001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#1,350,000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0.009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99.0412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#1,350,001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#1,400,000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99.0502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#1,400,001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#1,450,000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99.0502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#1,450,001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#1,500,000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99.0602</w:t>
            </w:r>
          </w:p>
        </w:tc>
      </w:tr>
      <w:tr>
        <w:trPr>
          <w:trHeight w:val="300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#1,500,001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#1,550,000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0.009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99.0602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#1,550,001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#1,600,000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99.0692</w:t>
            </w:r>
          </w:p>
        </w:tc>
      </w:tr>
      <w:tr>
        <w:trPr>
          <w:trHeight w:val="301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#1,600,001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#1,650,000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99.0692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#1,650,001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#1,700,000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99.0692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#1,700,001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#1,750,000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99.0792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#1,750,001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#1,800,000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0.017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99.0902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#1,800,001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#1,850,000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28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0.034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99.1072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#1,850,001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#1,900,000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99.1412</w:t>
            </w:r>
          </w:p>
        </w:tc>
      </w:tr>
      <w:tr>
        <w:trPr>
          <w:trHeight w:val="301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#1,900,001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#1,950,000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99.1512</w:t>
            </w:r>
          </w:p>
        </w:tc>
      </w:tr>
    </w:tbl>
    <w:p>
      <w:pPr>
        <w:spacing w:after="0" w:line="280" w:lineRule="exact"/>
        <w:jc w:val="left"/>
        <w:rPr>
          <w:rFonts w:ascii="Calibri"/>
          <w:sz w:val="24"/>
        </w:rPr>
        <w:sectPr>
          <w:pgSz w:w="12240" w:h="15840"/>
          <w:pgMar w:header="0" w:footer="935" w:top="1360" w:bottom="1120" w:left="1320" w:right="1000"/>
        </w:sectPr>
      </w:pPr>
    </w:p>
    <w:tbl>
      <w:tblPr>
        <w:tblW w:w="0" w:type="auto"/>
        <w:jc w:val="left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6"/>
        <w:gridCol w:w="1352"/>
        <w:gridCol w:w="1349"/>
        <w:gridCol w:w="1712"/>
      </w:tblGrid>
      <w:tr>
        <w:trPr>
          <w:trHeight w:val="300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#1,950,001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#2,000,000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0.017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99.1622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#2,000,001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#2,050,000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99.1792</w:t>
            </w:r>
          </w:p>
        </w:tc>
      </w:tr>
      <w:tr>
        <w:trPr>
          <w:trHeight w:val="301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#2,050,001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#2,100,000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127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0.16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99.2792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#2,100,001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#2,150,000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88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99.4392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#2,150,001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#2,200,000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0.017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99.5492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#2,200,001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#2,250,000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99.5662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#2,250,001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#2,300,000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99.5686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#2,300,001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#2,350,000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99.5686</w:t>
            </w:r>
          </w:p>
        </w:tc>
      </w:tr>
      <w:tr>
        <w:trPr>
          <w:trHeight w:val="301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#2,350,001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#2,400,000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99.581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#2,400,001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#2,450,000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99.5834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#2,450,001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#2,500,000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0.005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99.5858</w:t>
            </w:r>
          </w:p>
        </w:tc>
      </w:tr>
      <w:tr>
        <w:trPr>
          <w:trHeight w:val="300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#2,500,001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#2,550,000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99.5908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#2,550,001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#2,600,000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99.5932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#2,600,001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#2,650,000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99.5956</w:t>
            </w:r>
          </w:p>
        </w:tc>
      </w:tr>
      <w:tr>
        <w:trPr>
          <w:trHeight w:val="301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#2,650,001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#2,700,000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0.027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99.5956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#2,700,001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#2,750,000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99.6226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#2,750,001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#2,800,000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99.6226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#2,800,001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#2,850,000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99.6226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#2,850,001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#2,900,000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99.6226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#2,900,001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#2,950,000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99.6226</w:t>
            </w:r>
          </w:p>
        </w:tc>
      </w:tr>
      <w:tr>
        <w:trPr>
          <w:trHeight w:val="301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#2,950,001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#3,000,000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28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0.035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99.6326</w:t>
            </w:r>
          </w:p>
        </w:tc>
      </w:tr>
      <w:tr>
        <w:trPr>
          <w:trHeight w:val="297" w:hRule="atLeast"/>
        </w:trPr>
        <w:tc>
          <w:tcPr>
            <w:tcW w:w="41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7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#3,000,001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#3,050,000</w:t>
            </w:r>
          </w:p>
        </w:tc>
        <w:tc>
          <w:tcPr>
            <w:tcW w:w="13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7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7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0.024</w:t>
            </w:r>
          </w:p>
        </w:tc>
        <w:tc>
          <w:tcPr>
            <w:tcW w:w="17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7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99.6676</w:t>
            </w:r>
          </w:p>
        </w:tc>
      </w:tr>
      <w:tr>
        <w:trPr>
          <w:trHeight w:val="297" w:hRule="atLeast"/>
        </w:trPr>
        <w:tc>
          <w:tcPr>
            <w:tcW w:w="41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7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#3,050,001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#3,100,000</w:t>
            </w:r>
          </w:p>
        </w:tc>
        <w:tc>
          <w:tcPr>
            <w:tcW w:w="13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7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7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</w:t>
            </w:r>
          </w:p>
        </w:tc>
        <w:tc>
          <w:tcPr>
            <w:tcW w:w="17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7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99.6916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#3,100,001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#3,150,000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99.7016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#3,150,001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#3,200,000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0.009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99.7126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#3,200,001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#3,250,000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99.7216</w:t>
            </w:r>
          </w:p>
        </w:tc>
      </w:tr>
      <w:tr>
        <w:trPr>
          <w:trHeight w:val="302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#3,250,001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#3,300,000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99.7216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#3,300,001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#3,350,000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99.7316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#3,350,001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#3,400,000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0.0074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99.7416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#3,400,001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#3,450,000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99.749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#3,450,001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#3,500,000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99.749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#3,500,001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#3,550,000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99.7514</w:t>
            </w:r>
          </w:p>
        </w:tc>
      </w:tr>
      <w:tr>
        <w:trPr>
          <w:trHeight w:val="302" w:hRule="atLeast"/>
        </w:trPr>
        <w:tc>
          <w:tcPr>
            <w:tcW w:w="4136" w:type="dxa"/>
          </w:tcPr>
          <w:p>
            <w:pPr>
              <w:pStyle w:val="TableParagraph"/>
              <w:spacing w:line="281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#3,550,001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#3,600,000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1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spacing w:line="281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1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99.7514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#3,600,001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#3,650,000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0.0012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99.7538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#3,650,001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#3,700,000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99.755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#3,700,001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#3,750,000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0.022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99.7574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#3,750,001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#3,800,000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99.7794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#3,800,001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#3,850,000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0.005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99.7794</w:t>
            </w:r>
          </w:p>
        </w:tc>
      </w:tr>
      <w:tr>
        <w:trPr>
          <w:trHeight w:val="302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#3,850,001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#3,900,000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99.7844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#3,900,001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#3,950,000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99.7868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#3,950,001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#4,000,000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99.7868</w:t>
            </w:r>
          </w:p>
        </w:tc>
      </w:tr>
    </w:tbl>
    <w:p>
      <w:pPr>
        <w:spacing w:after="0" w:line="280" w:lineRule="exact"/>
        <w:jc w:val="left"/>
        <w:rPr>
          <w:rFonts w:ascii="Calibri"/>
          <w:sz w:val="24"/>
        </w:rPr>
        <w:sectPr>
          <w:pgSz w:w="12240" w:h="15840"/>
          <w:pgMar w:header="0" w:footer="935" w:top="1440" w:bottom="1120" w:left="1320" w:right="1000"/>
        </w:sectPr>
      </w:pPr>
    </w:p>
    <w:tbl>
      <w:tblPr>
        <w:tblW w:w="0" w:type="auto"/>
        <w:jc w:val="left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6"/>
        <w:gridCol w:w="1352"/>
        <w:gridCol w:w="1349"/>
        <w:gridCol w:w="1712"/>
      </w:tblGrid>
      <w:tr>
        <w:trPr>
          <w:trHeight w:val="300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#4,000,001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#4,050,000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0.016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99.7892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#4,050,001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#4,100,000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99.8052</w:t>
            </w:r>
          </w:p>
        </w:tc>
      </w:tr>
      <w:tr>
        <w:trPr>
          <w:trHeight w:val="301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#4,100,001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#4,150,000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0.022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99.8076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#4,150,001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#4,200,000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99.8296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#4,200,001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#4,250,000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99.8296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#4,250,001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#4,300,000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0.027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99.8296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#4,300,001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#4,350,000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99.8566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#4,350,001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#4,400,000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0.009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99.8566</w:t>
            </w:r>
          </w:p>
        </w:tc>
      </w:tr>
      <w:tr>
        <w:trPr>
          <w:trHeight w:val="301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#4,400,001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#4,450,000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99.8656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#4,450,001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#4,500,000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99.8756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#4,500,001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#4,550,000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0.005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99.8756</w:t>
            </w:r>
          </w:p>
        </w:tc>
      </w:tr>
      <w:tr>
        <w:trPr>
          <w:trHeight w:val="300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#4,550,001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#4,600,000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99.8806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#4,600,001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#4,650,000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99.8806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#4,650,001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#4,700,000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0.0024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99.8916</w:t>
            </w:r>
          </w:p>
        </w:tc>
      </w:tr>
      <w:tr>
        <w:trPr>
          <w:trHeight w:val="301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#4,700,001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#4,750,000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99.894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#4,750,001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#4,800,000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99.904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#4,800,001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#4,850,000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0.013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99.904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#4,850,001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#4,900,000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99.917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#4,900,001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#4,950,000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0.009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99.917</w:t>
            </w:r>
          </w:p>
        </w:tc>
      </w:tr>
      <w:tr>
        <w:trPr>
          <w:trHeight w:val="299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#4,950,001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#5,000,000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99.926</w:t>
            </w:r>
          </w:p>
        </w:tc>
      </w:tr>
      <w:tr>
        <w:trPr>
          <w:trHeight w:val="301" w:hRule="atLeast"/>
        </w:trPr>
        <w:tc>
          <w:tcPr>
            <w:tcW w:w="4136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Greater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than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#5,000,000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80" w:lineRule="exact" w:before="1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57</w:t>
            </w:r>
          </w:p>
        </w:tc>
        <w:tc>
          <w:tcPr>
            <w:tcW w:w="1349" w:type="dxa"/>
          </w:tcPr>
          <w:p>
            <w:pPr>
              <w:pStyle w:val="TableParagraph"/>
              <w:spacing w:line="280" w:lineRule="exact" w:before="1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0.074</w:t>
            </w:r>
          </w:p>
        </w:tc>
        <w:tc>
          <w:tcPr>
            <w:tcW w:w="1712" w:type="dxa"/>
          </w:tcPr>
          <w:p>
            <w:pPr>
              <w:pStyle w:val="TableParagraph"/>
              <w:spacing w:line="280" w:lineRule="exact" w:before="1"/>
              <w:ind w:left="10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100</w:t>
            </w:r>
          </w:p>
        </w:tc>
      </w:tr>
      <w:tr>
        <w:trPr>
          <w:trHeight w:val="297" w:hRule="atLeast"/>
        </w:trPr>
        <w:tc>
          <w:tcPr>
            <w:tcW w:w="41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7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TOTAL</w:t>
            </w:r>
          </w:p>
        </w:tc>
        <w:tc>
          <w:tcPr>
            <w:tcW w:w="13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7" w:lineRule="exact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80,344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7" w:lineRule="exact"/>
              <w:ind w:left="10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100</w:t>
            </w:r>
          </w:p>
        </w:tc>
        <w:tc>
          <w:tcPr>
            <w:tcW w:w="1712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2"/>
        </w:rPr>
        <w:sectPr>
          <w:pgSz w:w="12240" w:h="15840"/>
          <w:pgMar w:header="0" w:footer="935" w:top="1440" w:bottom="1120" w:left="1320" w:right="1000"/>
        </w:sectPr>
      </w:pPr>
    </w:p>
    <w:p>
      <w:pPr>
        <w:pStyle w:val="Heading5"/>
        <w:spacing w:before="79"/>
        <w:ind w:left="195" w:right="518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G:</w:t>
      </w:r>
      <w:r>
        <w:rPr>
          <w:spacing w:val="-4"/>
        </w:rPr>
        <w:t> </w:t>
      </w:r>
      <w:r>
        <w:rPr/>
        <w:t>ESTIMATION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NGHPS</w:t>
      </w:r>
      <w:r>
        <w:rPr>
          <w:spacing w:val="-2"/>
        </w:rPr>
        <w:t> </w:t>
      </w:r>
      <w:r>
        <w:rPr/>
        <w:t>WAVES</w:t>
      </w:r>
    </w:p>
    <w:p>
      <w:pPr>
        <w:pStyle w:val="BodyText"/>
        <w:spacing w:before="132"/>
        <w:ind w:left="197" w:right="517"/>
        <w:jc w:val="center"/>
      </w:pPr>
      <w:r>
        <w:rPr/>
        <w:t>TABLE</w:t>
      </w:r>
      <w:r>
        <w:rPr>
          <w:spacing w:val="-2"/>
        </w:rPr>
        <w:t> </w:t>
      </w:r>
      <w:r>
        <w:rPr/>
        <w:t>G1:</w:t>
      </w:r>
      <w:r>
        <w:rPr>
          <w:spacing w:val="-2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NGHPS</w:t>
      </w:r>
      <w:r>
        <w:rPr>
          <w:spacing w:val="1"/>
        </w:rPr>
        <w:t> </w:t>
      </w:r>
      <w:r>
        <w:rPr/>
        <w:t>WAVES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2206" w:type="dxa"/>
        <w:tblBorders>
          <w:top w:val="single" w:sz="8" w:space="0" w:color="D3D3D3"/>
          <w:left w:val="single" w:sz="8" w:space="0" w:color="D3D3D3"/>
          <w:bottom w:val="single" w:sz="8" w:space="0" w:color="D3D3D3"/>
          <w:right w:val="single" w:sz="8" w:space="0" w:color="D3D3D3"/>
          <w:insideH w:val="single" w:sz="8" w:space="0" w:color="D3D3D3"/>
          <w:insideV w:val="single" w:sz="8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1522"/>
      </w:tblGrid>
      <w:tr>
        <w:trPr>
          <w:trHeight w:val="282" w:hRule="atLeast"/>
        </w:trPr>
        <w:tc>
          <w:tcPr>
            <w:tcW w:w="3682" w:type="dxa"/>
            <w:tcBorders>
              <w:left w:val="single" w:sz="6" w:space="0" w:color="D3D3D3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9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Item</w:t>
            </w:r>
          </w:p>
        </w:tc>
        <w:tc>
          <w:tcPr>
            <w:tcW w:w="1522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9" w:lineRule="exact" w:before="13"/>
              <w:ind w:left="421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alpha</w:t>
            </w:r>
          </w:p>
        </w:tc>
      </w:tr>
      <w:tr>
        <w:trPr>
          <w:trHeight w:val="282" w:hRule="atLeast"/>
        </w:trPr>
        <w:tc>
          <w:tcPr>
            <w:tcW w:w="3682" w:type="dxa"/>
            <w:tcBorders>
              <w:top w:val="single" w:sz="12" w:space="0" w:color="000000"/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illness</w:t>
            </w:r>
          </w:p>
        </w:tc>
        <w:tc>
          <w:tcPr>
            <w:tcW w:w="152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5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0.7813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familysize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0.8342</w:t>
            </w:r>
          </w:p>
        </w:tc>
      </w:tr>
      <w:tr>
        <w:trPr>
          <w:trHeight w:val="279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hungerandfood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0.8611</w:t>
            </w:r>
          </w:p>
        </w:tc>
      </w:tr>
      <w:tr>
        <w:trPr>
          <w:trHeight w:val="279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gari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0.8532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rice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0.8512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yamorcassavaormaizeflour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0.8425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beans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0.8803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mosquitonetpossession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0.8125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primaryeducation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0.8106</w:t>
            </w:r>
          </w:p>
        </w:tc>
      </w:tr>
      <w:tr>
        <w:trPr>
          <w:trHeight w:val="279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secondaryeducation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0.7424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higherdegree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0.8322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nobasiceducation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0.7899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hadelectricity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0.8327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noelectricity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0.8111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pipebornewater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0.8444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boreholeandwell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0.8067</w:t>
            </w:r>
          </w:p>
        </w:tc>
      </w:tr>
      <w:tr>
        <w:trPr>
          <w:trHeight w:val="279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riverandspring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0.8442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noacesstowater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0.8308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waterormodernlatrine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0.7942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pitorlatrine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0.8621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notoiletfacility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0.8598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selfmedication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0.8443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seekingmedicalcare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0.8471</w:t>
            </w:r>
          </w:p>
        </w:tc>
      </w:tr>
      <w:tr>
        <w:trPr>
          <w:trHeight w:val="279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otherhealthcare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0.8767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wageandsalaries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0.8795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entreprisesandbusiness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0.8246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farmingcropandlivestock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0.8992</w:t>
            </w:r>
          </w:p>
        </w:tc>
      </w:tr>
      <w:tr>
        <w:trPr>
          <w:trHeight w:val="282" w:hRule="atLeast"/>
        </w:trPr>
        <w:tc>
          <w:tcPr>
            <w:tcW w:w="3682" w:type="dxa"/>
            <w:tcBorders>
              <w:left w:val="single" w:sz="6" w:space="0" w:color="D3D3D3"/>
              <w:bottom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9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remittances</w:t>
            </w:r>
          </w:p>
        </w:tc>
        <w:tc>
          <w:tcPr>
            <w:tcW w:w="1522" w:type="dxa"/>
            <w:tcBorders>
              <w:left w:val="single" w:sz="12" w:space="0" w:color="000000"/>
              <w:bottom w:val="single" w:sz="6" w:space="0" w:color="D3D3D3"/>
            </w:tcBorders>
          </w:tcPr>
          <w:p>
            <w:pPr>
              <w:pStyle w:val="TableParagraph"/>
              <w:spacing w:line="249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0.8861</w:t>
            </w:r>
          </w:p>
        </w:tc>
      </w:tr>
      <w:tr>
        <w:trPr>
          <w:trHeight w:val="285" w:hRule="atLeast"/>
        </w:trPr>
        <w:tc>
          <w:tcPr>
            <w:tcW w:w="368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50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monetaryandconditionaltransfers</w:t>
            </w:r>
          </w:p>
        </w:tc>
        <w:tc>
          <w:tcPr>
            <w:tcW w:w="1522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</w:tcBorders>
          </w:tcPr>
          <w:p>
            <w:pPr>
              <w:pStyle w:val="TableParagraph"/>
              <w:spacing w:line="250" w:lineRule="exact" w:before="15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0.8912</w:t>
            </w:r>
          </w:p>
        </w:tc>
      </w:tr>
      <w:tr>
        <w:trPr>
          <w:trHeight w:val="282" w:hRule="atLeast"/>
        </w:trPr>
        <w:tc>
          <w:tcPr>
            <w:tcW w:w="3682" w:type="dxa"/>
            <w:tcBorders>
              <w:top w:val="single" w:sz="6" w:space="0" w:color="D3D3D3"/>
              <w:left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pensionsandgrants</w:t>
            </w:r>
          </w:p>
        </w:tc>
        <w:tc>
          <w:tcPr>
            <w:tcW w:w="1522" w:type="dxa"/>
            <w:tcBorders>
              <w:top w:val="single" w:sz="6" w:space="0" w:color="D3D3D3"/>
              <w:left w:val="single" w:sz="12" w:space="0" w:color="000000"/>
            </w:tcBorders>
          </w:tcPr>
          <w:p>
            <w:pPr>
              <w:pStyle w:val="TableParagraph"/>
              <w:spacing w:line="247" w:lineRule="exact" w:before="15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0.8655</w:t>
            </w:r>
          </w:p>
        </w:tc>
      </w:tr>
      <w:tr>
        <w:trPr>
          <w:trHeight w:val="282" w:hRule="atLeast"/>
        </w:trPr>
        <w:tc>
          <w:tcPr>
            <w:tcW w:w="3682" w:type="dxa"/>
            <w:tcBorders>
              <w:left w:val="single" w:sz="6" w:space="0" w:color="D3D3D3"/>
              <w:bottom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9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dividendandinterestfrominvestment</w:t>
            </w:r>
          </w:p>
        </w:tc>
        <w:tc>
          <w:tcPr>
            <w:tcW w:w="1522" w:type="dxa"/>
            <w:tcBorders>
              <w:left w:val="single" w:sz="12" w:space="0" w:color="000000"/>
              <w:bottom w:val="single" w:sz="6" w:space="0" w:color="D3D3D3"/>
            </w:tcBorders>
          </w:tcPr>
          <w:p>
            <w:pPr>
              <w:pStyle w:val="TableParagraph"/>
              <w:spacing w:line="249" w:lineRule="exact" w:before="13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0.8889</w:t>
            </w:r>
          </w:p>
        </w:tc>
      </w:tr>
      <w:tr>
        <w:trPr>
          <w:trHeight w:val="285" w:hRule="atLeast"/>
        </w:trPr>
        <w:tc>
          <w:tcPr>
            <w:tcW w:w="368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incomesfromlandandproprotiesowned</w:t>
            </w:r>
          </w:p>
        </w:tc>
        <w:tc>
          <w:tcPr>
            <w:tcW w:w="1522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</w:tcBorders>
          </w:tcPr>
          <w:p>
            <w:pPr>
              <w:pStyle w:val="TableParagraph"/>
              <w:spacing w:line="249" w:lineRule="exact" w:before="15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0.9113</w:t>
            </w:r>
          </w:p>
        </w:tc>
      </w:tr>
      <w:tr>
        <w:trPr>
          <w:trHeight w:val="285" w:hRule="atLeast"/>
        </w:trPr>
        <w:tc>
          <w:tcPr>
            <w:tcW w:w="3682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ginicoefficient</w:t>
            </w:r>
          </w:p>
        </w:tc>
        <w:tc>
          <w:tcPr>
            <w:tcW w:w="1522" w:type="dxa"/>
            <w:tcBorders>
              <w:top w:val="single" w:sz="6" w:space="0" w:color="D3D3D3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0.8582</w:t>
            </w:r>
          </w:p>
        </w:tc>
      </w:tr>
      <w:tr>
        <w:trPr>
          <w:trHeight w:val="285" w:hRule="atLeast"/>
        </w:trPr>
        <w:tc>
          <w:tcPr>
            <w:tcW w:w="3682" w:type="dxa"/>
            <w:tcBorders>
              <w:top w:val="single" w:sz="12" w:space="0" w:color="000000"/>
              <w:left w:val="single" w:sz="6" w:space="0" w:color="D3D3D3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Testscale</w:t>
            </w:r>
          </w:p>
        </w:tc>
        <w:tc>
          <w:tcPr>
            <w:tcW w:w="1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443" w:right="4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0.8439</w:t>
            </w:r>
          </w:p>
        </w:tc>
      </w:tr>
    </w:tbl>
    <w:p>
      <w:pPr>
        <w:spacing w:after="0" w:line="249" w:lineRule="exact"/>
        <w:jc w:val="center"/>
        <w:rPr>
          <w:rFonts w:ascii="Calibri"/>
          <w:sz w:val="22"/>
        </w:rPr>
        <w:sectPr>
          <w:pgSz w:w="12240" w:h="15840"/>
          <w:pgMar w:header="0" w:footer="935" w:top="1360" w:bottom="1120" w:left="1320" w:right="1000"/>
        </w:sectPr>
      </w:pPr>
    </w:p>
    <w:p>
      <w:pPr>
        <w:pStyle w:val="BodyText"/>
        <w:spacing w:before="72" w:after="40"/>
        <w:ind w:left="197" w:right="518"/>
        <w:jc w:val="center"/>
      </w:pPr>
      <w:r>
        <w:rPr/>
        <w:t>TABLE</w:t>
      </w:r>
      <w:r>
        <w:rPr>
          <w:spacing w:val="-2"/>
        </w:rPr>
        <w:t> </w:t>
      </w:r>
      <w:r>
        <w:rPr/>
        <w:t>G2:</w:t>
      </w:r>
      <w:r>
        <w:rPr>
          <w:spacing w:val="-1"/>
        </w:rPr>
        <w:t> </w:t>
      </w:r>
      <w:r>
        <w:rPr/>
        <w:t>POLS</w:t>
      </w:r>
      <w:r>
        <w:rPr>
          <w:spacing w:val="-2"/>
        </w:rPr>
        <w:t> </w:t>
      </w:r>
      <w:r>
        <w:rPr/>
        <w:t>ESTIMATIONS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NGHPS</w:t>
      </w:r>
      <w:r>
        <w:rPr>
          <w:spacing w:val="-1"/>
        </w:rPr>
        <w:t> </w:t>
      </w:r>
      <w:r>
        <w:rPr/>
        <w:t>WAVES</w:t>
      </w: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"/>
        <w:gridCol w:w="1076"/>
        <w:gridCol w:w="196"/>
        <w:gridCol w:w="3230"/>
        <w:gridCol w:w="684"/>
        <w:gridCol w:w="783"/>
        <w:gridCol w:w="441"/>
        <w:gridCol w:w="928"/>
      </w:tblGrid>
      <w:tr>
        <w:trPr>
          <w:trHeight w:val="242" w:hRule="atLeast"/>
        </w:trPr>
        <w:tc>
          <w:tcPr>
            <w:tcW w:w="6359" w:type="dxa"/>
            <w:gridSpan w:val="6"/>
          </w:tcPr>
          <w:p>
            <w:pPr>
              <w:pStyle w:val="TableParagraph"/>
              <w:tabs>
                <w:tab w:pos="4940" w:val="left" w:leader="none"/>
              </w:tabs>
              <w:spacing w:before="6"/>
              <w:ind w:left="49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Logistic</w:t>
            </w:r>
            <w:r>
              <w:rPr>
                <w:spacing w:val="5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regression</w:t>
              <w:tab/>
            </w:r>
            <w:r>
              <w:rPr>
                <w:w w:val="90"/>
                <w:sz w:val="18"/>
              </w:rPr>
              <w:t>Number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 obs</w:t>
            </w:r>
          </w:p>
        </w:tc>
        <w:tc>
          <w:tcPr>
            <w:tcW w:w="441" w:type="dxa"/>
          </w:tcPr>
          <w:p>
            <w:pPr>
              <w:pStyle w:val="TableParagraph"/>
              <w:spacing w:before="6"/>
              <w:ind w:left="146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928" w:type="dxa"/>
          </w:tcPr>
          <w:p>
            <w:pPr>
              <w:pStyle w:val="TableParagraph"/>
              <w:spacing w:before="6"/>
              <w:ind w:right="52"/>
              <w:rPr>
                <w:sz w:val="18"/>
              </w:rPr>
            </w:pPr>
            <w:r>
              <w:rPr>
                <w:w w:val="95"/>
                <w:sz w:val="18"/>
              </w:rPr>
              <w:t>71410</w:t>
            </w:r>
          </w:p>
        </w:tc>
      </w:tr>
      <w:tr>
        <w:trPr>
          <w:trHeight w:val="242" w:hRule="atLeast"/>
        </w:trPr>
        <w:tc>
          <w:tcPr>
            <w:tcW w:w="6359" w:type="dxa"/>
            <w:gridSpan w:val="6"/>
          </w:tcPr>
          <w:p>
            <w:pPr>
              <w:pStyle w:val="TableParagraph"/>
              <w:spacing w:line="186" w:lineRule="exact" w:before="36"/>
              <w:ind w:right="346"/>
              <w:rPr>
                <w:sz w:val="18"/>
              </w:rPr>
            </w:pPr>
            <w:r>
              <w:rPr>
                <w:w w:val="85"/>
                <w:sz w:val="18"/>
              </w:rPr>
              <w:t>LR</w:t>
            </w:r>
            <w:r>
              <w:rPr>
                <w:spacing w:val="3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chi2(34)</w:t>
            </w:r>
          </w:p>
        </w:tc>
        <w:tc>
          <w:tcPr>
            <w:tcW w:w="441" w:type="dxa"/>
          </w:tcPr>
          <w:p>
            <w:pPr>
              <w:pStyle w:val="TableParagraph"/>
              <w:spacing w:line="186" w:lineRule="exact" w:before="36"/>
              <w:ind w:left="146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928" w:type="dxa"/>
          </w:tcPr>
          <w:p>
            <w:pPr>
              <w:pStyle w:val="TableParagraph"/>
              <w:spacing w:line="186" w:lineRule="exact" w:before="36"/>
              <w:ind w:right="52"/>
              <w:rPr>
                <w:sz w:val="18"/>
              </w:rPr>
            </w:pPr>
            <w:r>
              <w:rPr>
                <w:w w:val="95"/>
                <w:sz w:val="18"/>
              </w:rPr>
              <w:t>6469.49</w:t>
            </w:r>
          </w:p>
        </w:tc>
      </w:tr>
      <w:tr>
        <w:trPr>
          <w:trHeight w:val="303" w:hRule="atLeast"/>
        </w:trPr>
        <w:tc>
          <w:tcPr>
            <w:tcW w:w="39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before="67"/>
              <w:ind w:left="12" w:right="1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Prob &gt;</w:t>
            </w:r>
          </w:p>
        </w:tc>
        <w:tc>
          <w:tcPr>
            <w:tcW w:w="783" w:type="dxa"/>
          </w:tcPr>
          <w:p>
            <w:pPr>
              <w:pStyle w:val="TableParagraph"/>
              <w:spacing w:before="67"/>
              <w:ind w:left="4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chi2</w:t>
            </w:r>
          </w:p>
        </w:tc>
        <w:tc>
          <w:tcPr>
            <w:tcW w:w="441" w:type="dxa"/>
          </w:tcPr>
          <w:p>
            <w:pPr>
              <w:pStyle w:val="TableParagraph"/>
              <w:spacing w:before="67"/>
              <w:ind w:left="146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928" w:type="dxa"/>
          </w:tcPr>
          <w:p>
            <w:pPr>
              <w:pStyle w:val="TableParagraph"/>
              <w:spacing w:before="67"/>
              <w:ind w:right="52"/>
              <w:rPr>
                <w:sz w:val="18"/>
              </w:rPr>
            </w:pPr>
            <w:r>
              <w:rPr>
                <w:w w:val="95"/>
                <w:sz w:val="18"/>
              </w:rPr>
              <w:t>0.0000</w:t>
            </w:r>
          </w:p>
        </w:tc>
      </w:tr>
      <w:tr>
        <w:trPr>
          <w:trHeight w:val="242" w:hRule="atLeast"/>
        </w:trPr>
        <w:tc>
          <w:tcPr>
            <w:tcW w:w="390" w:type="dxa"/>
          </w:tcPr>
          <w:p>
            <w:pPr>
              <w:pStyle w:val="TableParagraph"/>
              <w:spacing w:line="186" w:lineRule="exact" w:before="36"/>
              <w:ind w:left="50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Log</w:t>
            </w:r>
          </w:p>
        </w:tc>
        <w:tc>
          <w:tcPr>
            <w:tcW w:w="1076" w:type="dxa"/>
          </w:tcPr>
          <w:p>
            <w:pPr>
              <w:pStyle w:val="TableParagraph"/>
              <w:spacing w:line="186" w:lineRule="exact" w:before="36"/>
              <w:ind w:left="5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likelihood</w:t>
            </w:r>
          </w:p>
        </w:tc>
        <w:tc>
          <w:tcPr>
            <w:tcW w:w="196" w:type="dxa"/>
          </w:tcPr>
          <w:p>
            <w:pPr>
              <w:pStyle w:val="TableParagraph"/>
              <w:spacing w:line="186" w:lineRule="exact" w:before="36"/>
              <w:ind w:left="5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3230" w:type="dxa"/>
          </w:tcPr>
          <w:p>
            <w:pPr>
              <w:pStyle w:val="TableParagraph"/>
              <w:spacing w:line="186" w:lineRule="exact" w:before="36"/>
              <w:ind w:left="51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-25975.539</w:t>
            </w:r>
          </w:p>
        </w:tc>
        <w:tc>
          <w:tcPr>
            <w:tcW w:w="684" w:type="dxa"/>
          </w:tcPr>
          <w:p>
            <w:pPr>
              <w:pStyle w:val="TableParagraph"/>
              <w:spacing w:line="186" w:lineRule="exact" w:before="36"/>
              <w:ind w:left="12" w:right="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Pseudo</w:t>
            </w:r>
          </w:p>
        </w:tc>
        <w:tc>
          <w:tcPr>
            <w:tcW w:w="783" w:type="dxa"/>
          </w:tcPr>
          <w:p>
            <w:pPr>
              <w:pStyle w:val="TableParagraph"/>
              <w:spacing w:line="186" w:lineRule="exact" w:before="36"/>
              <w:ind w:left="4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R2</w:t>
            </w:r>
          </w:p>
        </w:tc>
        <w:tc>
          <w:tcPr>
            <w:tcW w:w="441" w:type="dxa"/>
          </w:tcPr>
          <w:p>
            <w:pPr>
              <w:pStyle w:val="TableParagraph"/>
              <w:spacing w:line="186" w:lineRule="exact" w:before="36"/>
              <w:ind w:left="146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928" w:type="dxa"/>
          </w:tcPr>
          <w:p>
            <w:pPr>
              <w:pStyle w:val="TableParagraph"/>
              <w:spacing w:line="186" w:lineRule="exact" w:before="36"/>
              <w:ind w:right="52"/>
              <w:rPr>
                <w:sz w:val="18"/>
              </w:rPr>
            </w:pPr>
            <w:r>
              <w:rPr>
                <w:w w:val="95"/>
                <w:sz w:val="18"/>
              </w:rPr>
              <w:t>0.1107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0"/>
        <w:gridCol w:w="1269"/>
        <w:gridCol w:w="1125"/>
        <w:gridCol w:w="832"/>
        <w:gridCol w:w="831"/>
        <w:gridCol w:w="1320"/>
        <w:gridCol w:w="924"/>
      </w:tblGrid>
      <w:tr>
        <w:trPr>
          <w:trHeight w:val="526" w:hRule="atLeast"/>
        </w:trPr>
        <w:tc>
          <w:tcPr>
            <w:tcW w:w="3270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3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illness</w:t>
            </w:r>
          </w:p>
        </w:tc>
        <w:tc>
          <w:tcPr>
            <w:tcW w:w="1269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3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Coef.</w:t>
            </w:r>
          </w:p>
        </w:tc>
        <w:tc>
          <w:tcPr>
            <w:tcW w:w="1125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3"/>
              <w:ind w:left="15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Std.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Err.</w:t>
            </w:r>
          </w:p>
        </w:tc>
        <w:tc>
          <w:tcPr>
            <w:tcW w:w="832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3"/>
              <w:ind w:right="237"/>
              <w:rPr>
                <w:sz w:val="18"/>
              </w:rPr>
            </w:pPr>
            <w:r>
              <w:rPr>
                <w:w w:val="85"/>
                <w:sz w:val="18"/>
              </w:rPr>
              <w:t>z</w:t>
            </w:r>
          </w:p>
        </w:tc>
        <w:tc>
          <w:tcPr>
            <w:tcW w:w="831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3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P&gt;|z|</w:t>
            </w:r>
          </w:p>
        </w:tc>
        <w:tc>
          <w:tcPr>
            <w:tcW w:w="1320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3"/>
              <w:ind w:left="304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[95%</w:t>
            </w:r>
            <w:r>
              <w:rPr>
                <w:spacing w:val="3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Conf.</w:t>
            </w:r>
          </w:p>
        </w:tc>
        <w:tc>
          <w:tcPr>
            <w:tcW w:w="924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3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Interval]</w:t>
            </w:r>
          </w:p>
        </w:tc>
      </w:tr>
      <w:tr>
        <w:trPr>
          <w:trHeight w:val="409" w:hRule="atLeast"/>
        </w:trPr>
        <w:tc>
          <w:tcPr>
            <w:tcW w:w="3270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3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familysize</w:t>
            </w:r>
          </w:p>
        </w:tc>
        <w:tc>
          <w:tcPr>
            <w:tcW w:w="1269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73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.0381474</w:t>
            </w:r>
          </w:p>
        </w:tc>
        <w:tc>
          <w:tcPr>
            <w:tcW w:w="1125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3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.0105493</w:t>
            </w:r>
          </w:p>
        </w:tc>
        <w:tc>
          <w:tcPr>
            <w:tcW w:w="832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3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3.62</w:t>
            </w:r>
          </w:p>
        </w:tc>
        <w:tc>
          <w:tcPr>
            <w:tcW w:w="831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3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3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.0174711</w:t>
            </w:r>
          </w:p>
        </w:tc>
        <w:tc>
          <w:tcPr>
            <w:tcW w:w="924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3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.0588236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hungerandnofood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.3432284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.0284571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12.06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.2874534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.3990033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gari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-.062702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.0370006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-1.69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0.090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-.1352219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.009818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rice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-.2722251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25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.029642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-9.18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-.3303223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-.2141278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yamorcassavaormaizeflour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-1.44879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.0287003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-50.48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-1.505042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-1.392539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beans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-.0135538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.0326628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-0.41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0.678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-.0775717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.0504642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meatorfish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-.0007025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.0009161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-0.77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0.443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-.002498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.0010929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mosquitonetpossession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-.4029384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.0380418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-10.59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-.477499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-.3283777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nobasiceducation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7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.9418967</w:t>
            </w:r>
          </w:p>
        </w:tc>
        <w:tc>
          <w:tcPr>
            <w:tcW w:w="1125" w:type="dxa"/>
          </w:tcPr>
          <w:p>
            <w:pPr>
              <w:pStyle w:val="TableParagraph"/>
              <w:spacing w:before="37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.0262058</w:t>
            </w:r>
          </w:p>
        </w:tc>
        <w:tc>
          <w:tcPr>
            <w:tcW w:w="832" w:type="dxa"/>
          </w:tcPr>
          <w:p>
            <w:pPr>
              <w:pStyle w:val="TableParagraph"/>
              <w:spacing w:before="37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35.94</w:t>
            </w:r>
          </w:p>
        </w:tc>
        <w:tc>
          <w:tcPr>
            <w:tcW w:w="831" w:type="dxa"/>
          </w:tcPr>
          <w:p>
            <w:pPr>
              <w:pStyle w:val="TableParagraph"/>
              <w:spacing w:before="37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7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.8905343</w:t>
            </w:r>
          </w:p>
        </w:tc>
        <w:tc>
          <w:tcPr>
            <w:tcW w:w="924" w:type="dxa"/>
          </w:tcPr>
          <w:p>
            <w:pPr>
              <w:pStyle w:val="TableParagraph"/>
              <w:spacing w:before="37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.993259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primarycertificate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.0171766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.0102696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1.67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0.094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-.0029515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.0373047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secondarycertificate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-.1972543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.0286938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-6.87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-.2534932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-.1410154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higherdegree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-.6530241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.0450512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-14.50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-.7413229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-.5647253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hadelectricity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-.1036453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.0237419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-4.37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-.1501786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-.0571119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noelectricity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.0265391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.0181329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1.46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0.143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-.0090008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.0620789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pipebornewater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-.24982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.0089684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-27.86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-.2673977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-.2322423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boreholeandwell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-.0406135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.0090724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-4.48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-.058395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-.0228319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riverandspring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1.072979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.0320015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33.53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1.010257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1.135701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noaccesstowater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.1391453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.0466455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2.98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0.003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.0477219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.2305687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waterormodernlatrine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-.237945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.0309789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-7.68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-.2986625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-.1772275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pitorlatrine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.0035459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.0039197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0.90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0.366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-.0041365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.0112282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notoiletfacility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.1657891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.0273535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6.06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.1121772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.2194011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alcoholicdrinks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-.0017547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.0011704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-1.50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0.134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-.0040487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.0005393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selfmedication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.2970138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.0392556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7.57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.2200742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.3739534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seekingmedicalcare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-.1665206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.0230242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-7.23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-.2116473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-.121394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otherhealthcare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-.0022535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.0132056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-0.17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0.865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-.028136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.023629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wagesandsalaries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-.0701157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.0083863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-8.36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-.0865526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-.0536789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entreprisesandbusiness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-.0172407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.0066896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-2.58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0.010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-.030352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-.0041294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farmingcropandlivestock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-.3442488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.0355255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-9.69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-.4138775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-.2746201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remittances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-.0185139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.0182816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-1.01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0.311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-.0543452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.0173174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85"/>
                <w:sz w:val="18"/>
              </w:rPr>
              <w:t>monetaryandconditionaltransfers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-.2038729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.0474526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-4.30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-.2968783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-.1108675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pensionsandgrants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.0121673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.0379535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0.32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0.749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-.0622202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.0865548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85"/>
                <w:sz w:val="18"/>
              </w:rPr>
              <w:t>dividendandinterestfrominvestmen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.1128894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.0706562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1.60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0.110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-.0255942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.251373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85"/>
                <w:sz w:val="18"/>
              </w:rPr>
              <w:t>incomesfromlandandhouseownership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-.0118017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.0078411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-1.51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0.132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2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-.0271701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.0035666</w:t>
            </w:r>
          </w:p>
        </w:tc>
      </w:tr>
      <w:tr>
        <w:trPr>
          <w:trHeight w:val="273" w:hRule="atLeast"/>
        </w:trPr>
        <w:tc>
          <w:tcPr>
            <w:tcW w:w="3270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ginicoefficient</w:t>
            </w:r>
          </w:p>
        </w:tc>
        <w:tc>
          <w:tcPr>
            <w:tcW w:w="126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.0999082</w:t>
            </w:r>
          </w:p>
        </w:tc>
        <w:tc>
          <w:tcPr>
            <w:tcW w:w="1125" w:type="dxa"/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.0276902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3.61</w:t>
            </w:r>
          </w:p>
        </w:tc>
        <w:tc>
          <w:tcPr>
            <w:tcW w:w="831" w:type="dxa"/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36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.0456364</w:t>
            </w:r>
          </w:p>
        </w:tc>
        <w:tc>
          <w:tcPr>
            <w:tcW w:w="924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.15418</w:t>
            </w:r>
          </w:p>
        </w:tc>
      </w:tr>
      <w:tr>
        <w:trPr>
          <w:trHeight w:val="389" w:hRule="atLeast"/>
        </w:trPr>
        <w:tc>
          <w:tcPr>
            <w:tcW w:w="3270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_cons</w:t>
            </w:r>
          </w:p>
        </w:tc>
        <w:tc>
          <w:tcPr>
            <w:tcW w:w="1269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.4980075</w:t>
            </w:r>
          </w:p>
        </w:tc>
        <w:tc>
          <w:tcPr>
            <w:tcW w:w="1125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.1383456</w:t>
            </w:r>
          </w:p>
        </w:tc>
        <w:tc>
          <w:tcPr>
            <w:tcW w:w="83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right="140"/>
              <w:rPr>
                <w:sz w:val="18"/>
              </w:rPr>
            </w:pPr>
            <w:r>
              <w:rPr>
                <w:w w:val="95"/>
                <w:sz w:val="18"/>
              </w:rPr>
              <w:t>3.60</w:t>
            </w:r>
          </w:p>
        </w:tc>
        <w:tc>
          <w:tcPr>
            <w:tcW w:w="831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left="123" w:right="1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left="3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.2268551</w:t>
            </w:r>
          </w:p>
        </w:tc>
        <w:tc>
          <w:tcPr>
            <w:tcW w:w="924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.7691599</w:t>
            </w:r>
          </w:p>
        </w:tc>
      </w:tr>
    </w:tbl>
    <w:p>
      <w:pPr>
        <w:pStyle w:val="BodyText"/>
        <w:spacing w:before="8"/>
        <w:rPr>
          <w:sz w:val="29"/>
        </w:rPr>
      </w:pPr>
    </w:p>
    <w:p>
      <w:pPr>
        <w:spacing w:before="106"/>
        <w:ind w:left="161" w:right="0" w:firstLine="0"/>
        <w:jc w:val="left"/>
        <w:rPr>
          <w:rFonts w:ascii="Courier New"/>
          <w:sz w:val="18"/>
        </w:rPr>
      </w:pPr>
      <w:r>
        <w:rPr>
          <w:rFonts w:ascii="Courier New"/>
          <w:w w:val="85"/>
          <w:sz w:val="18"/>
        </w:rPr>
        <w:t>.</w:t>
      </w:r>
    </w:p>
    <w:p>
      <w:pPr>
        <w:spacing w:after="0"/>
        <w:jc w:val="left"/>
        <w:rPr>
          <w:rFonts w:ascii="Courier New"/>
          <w:sz w:val="18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5"/>
        <w:jc w:val="center"/>
      </w:pPr>
      <w:r>
        <w:rPr/>
        <w:pict>
          <v:shape style="position:absolute;margin-left:71.567574pt;margin-top:19.025167pt;width:382pt;height:19.25pt;mso-position-horizontal-relative:page;mso-position-vertical-relative:paragraph;z-index:15786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65"/>
                    <w:gridCol w:w="2418"/>
                    <w:gridCol w:w="484"/>
                    <w:gridCol w:w="773"/>
                  </w:tblGrid>
                  <w:tr>
                    <w:trPr>
                      <w:trHeight w:val="192" w:hRule="atLeast"/>
                    </w:trPr>
                    <w:tc>
                      <w:tcPr>
                        <w:tcW w:w="3965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5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Fixed-effects</w:t>
                        </w:r>
                        <w:r>
                          <w:rPr>
                            <w:spacing w:val="8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(within)</w:t>
                        </w:r>
                        <w:r>
                          <w:rPr>
                            <w:spacing w:val="8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regression</w:t>
                        </w:r>
                      </w:p>
                    </w:tc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72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Number</w:t>
                        </w:r>
                        <w:r>
                          <w:rPr>
                            <w:spacing w:val="3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of</w:t>
                        </w:r>
                        <w:r>
                          <w:rPr>
                            <w:spacing w:val="3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obs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14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01"/>
                            <w:sz w:val="15"/>
                          </w:rPr>
                          <w:t>=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169" w:lineRule="exact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71410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3965" w:type="dxa"/>
                      </w:tcPr>
                      <w:p>
                        <w:pPr>
                          <w:pStyle w:val="TableParagraph"/>
                          <w:spacing w:line="150" w:lineRule="exact" w:before="22"/>
                          <w:ind w:left="5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Group</w:t>
                        </w:r>
                        <w:r>
                          <w:rPr>
                            <w:spacing w:val="5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variable:</w:t>
                        </w:r>
                        <w:r>
                          <w:rPr>
                            <w:spacing w:val="5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state</w:t>
                        </w:r>
                      </w:p>
                    </w:tc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line="150" w:lineRule="exact" w:before="22"/>
                          <w:ind w:left="72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Number</w:t>
                        </w:r>
                        <w:r>
                          <w:rPr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of</w:t>
                        </w:r>
                        <w:r>
                          <w:rPr>
                            <w:spacing w:val="4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groups</w:t>
                        </w:r>
                      </w:p>
                    </w:tc>
                    <w:tc>
                      <w:tcPr>
                        <w:tcW w:w="484" w:type="dxa"/>
                      </w:tcPr>
                      <w:p>
                        <w:pPr>
                          <w:pStyle w:val="TableParagraph"/>
                          <w:spacing w:line="150" w:lineRule="exact" w:before="22"/>
                          <w:ind w:left="14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01"/>
                            <w:sz w:val="15"/>
                          </w:rPr>
                          <w:t>=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150" w:lineRule="exact" w:before="22"/>
                          <w:ind w:right="4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G3:</w:t>
      </w:r>
      <w:r>
        <w:rPr>
          <w:spacing w:val="1"/>
        </w:rPr>
        <w:t> </w:t>
      </w:r>
      <w:r>
        <w:rPr/>
        <w:t>FIXED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ESTIMATIONS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NGHPS</w:t>
      </w:r>
      <w:r>
        <w:rPr>
          <w:spacing w:val="-3"/>
        </w:rPr>
        <w:t> </w:t>
      </w:r>
      <w:r>
        <w:rPr/>
        <w:t>WAVES</w:t>
      </w:r>
    </w:p>
    <w:p>
      <w:pPr>
        <w:tabs>
          <w:tab w:pos="4804" w:val="left" w:leader="none"/>
          <w:tab w:pos="7700" w:val="right" w:leader="none"/>
        </w:tabs>
        <w:spacing w:before="679"/>
        <w:ind w:left="161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R-sq:</w:t>
      </w:r>
      <w:r>
        <w:rPr>
          <w:rFonts w:ascii="Courier New"/>
          <w:spacing w:val="139"/>
          <w:sz w:val="15"/>
        </w:rPr>
        <w:t> </w:t>
      </w:r>
      <w:r>
        <w:rPr>
          <w:rFonts w:ascii="Courier New"/>
          <w:sz w:val="15"/>
        </w:rPr>
        <w:t>within</w:t>
      </w:r>
      <w:r>
        <w:rPr>
          <w:rFonts w:ascii="Courier New"/>
          <w:spacing w:val="139"/>
          <w:sz w:val="15"/>
        </w:rPr>
        <w:t> </w:t>
      </w:r>
      <w:r>
        <w:rPr>
          <w:rFonts w:ascii="Courier New"/>
          <w:sz w:val="15"/>
        </w:rPr>
        <w:t>=</w:t>
      </w:r>
      <w:r>
        <w:rPr>
          <w:rFonts w:ascii="Courier New"/>
          <w:spacing w:val="28"/>
          <w:sz w:val="15"/>
        </w:rPr>
        <w:t> </w:t>
      </w:r>
      <w:r>
        <w:rPr>
          <w:rFonts w:ascii="Courier New"/>
          <w:sz w:val="15"/>
        </w:rPr>
        <w:t>0.0998</w:t>
        <w:tab/>
        <w:t>Obs</w:t>
      </w:r>
      <w:r>
        <w:rPr>
          <w:rFonts w:ascii="Courier New"/>
          <w:spacing w:val="20"/>
          <w:sz w:val="15"/>
        </w:rPr>
        <w:t> </w:t>
      </w:r>
      <w:r>
        <w:rPr>
          <w:rFonts w:ascii="Courier New"/>
          <w:sz w:val="15"/>
        </w:rPr>
        <w:t>per</w:t>
      </w:r>
      <w:r>
        <w:rPr>
          <w:rFonts w:ascii="Courier New"/>
          <w:spacing w:val="19"/>
          <w:sz w:val="15"/>
        </w:rPr>
        <w:t> </w:t>
      </w:r>
      <w:r>
        <w:rPr>
          <w:rFonts w:ascii="Courier New"/>
          <w:sz w:val="15"/>
        </w:rPr>
        <w:t>group:</w:t>
      </w:r>
      <w:r>
        <w:rPr>
          <w:rFonts w:ascii="Courier New"/>
          <w:spacing w:val="20"/>
          <w:sz w:val="15"/>
        </w:rPr>
        <w:t> </w:t>
      </w:r>
      <w:r>
        <w:rPr>
          <w:rFonts w:ascii="Courier New"/>
          <w:sz w:val="15"/>
        </w:rPr>
        <w:t>min</w:t>
      </w:r>
      <w:r>
        <w:rPr>
          <w:rFonts w:ascii="Courier New"/>
          <w:spacing w:val="20"/>
          <w:sz w:val="15"/>
        </w:rPr>
        <w:t> </w:t>
      </w:r>
      <w:r>
        <w:rPr>
          <w:rFonts w:ascii="Courier New"/>
          <w:sz w:val="15"/>
        </w:rPr>
        <w:t>=</w:t>
        <w:tab/>
        <w:t>232</w:t>
      </w:r>
    </w:p>
    <w:p>
      <w:pPr>
        <w:tabs>
          <w:tab w:pos="6255" w:val="left" w:leader="none"/>
          <w:tab w:pos="7125" w:val="left" w:leader="none"/>
        </w:tabs>
        <w:spacing w:before="47"/>
        <w:ind w:left="838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between</w:t>
      </w:r>
      <w:r>
        <w:rPr>
          <w:rFonts w:ascii="Courier New"/>
          <w:spacing w:val="37"/>
          <w:sz w:val="15"/>
        </w:rPr>
        <w:t> </w:t>
      </w:r>
      <w:r>
        <w:rPr>
          <w:rFonts w:ascii="Courier New"/>
          <w:sz w:val="15"/>
        </w:rPr>
        <w:t>=</w:t>
      </w:r>
      <w:r>
        <w:rPr>
          <w:rFonts w:ascii="Courier New"/>
          <w:spacing w:val="37"/>
          <w:sz w:val="15"/>
        </w:rPr>
        <w:t> </w:t>
      </w:r>
      <w:r>
        <w:rPr>
          <w:rFonts w:ascii="Courier New"/>
          <w:sz w:val="15"/>
        </w:rPr>
        <w:t>0.3617</w:t>
        <w:tab/>
        <w:t>avg</w:t>
      </w:r>
      <w:r>
        <w:rPr>
          <w:rFonts w:ascii="Courier New"/>
          <w:spacing w:val="20"/>
          <w:sz w:val="15"/>
        </w:rPr>
        <w:t> </w:t>
      </w:r>
      <w:r>
        <w:rPr>
          <w:rFonts w:ascii="Courier New"/>
          <w:sz w:val="15"/>
        </w:rPr>
        <w:t>=</w:t>
        <w:tab/>
        <w:t>1930.0</w:t>
      </w:r>
    </w:p>
    <w:p>
      <w:pPr>
        <w:tabs>
          <w:tab w:pos="6255" w:val="left" w:leader="none"/>
          <w:tab w:pos="7700" w:val="right" w:leader="none"/>
        </w:tabs>
        <w:spacing w:before="46"/>
        <w:ind w:left="838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overall</w:t>
      </w:r>
      <w:r>
        <w:rPr>
          <w:rFonts w:ascii="Courier New"/>
          <w:spacing w:val="37"/>
          <w:sz w:val="15"/>
        </w:rPr>
        <w:t> </w:t>
      </w:r>
      <w:r>
        <w:rPr>
          <w:rFonts w:ascii="Courier New"/>
          <w:sz w:val="15"/>
        </w:rPr>
        <w:t>=</w:t>
      </w:r>
      <w:r>
        <w:rPr>
          <w:rFonts w:ascii="Courier New"/>
          <w:spacing w:val="37"/>
          <w:sz w:val="15"/>
        </w:rPr>
        <w:t> </w:t>
      </w:r>
      <w:r>
        <w:rPr>
          <w:rFonts w:ascii="Courier New"/>
          <w:sz w:val="15"/>
        </w:rPr>
        <w:t>0.1040</w:t>
        <w:tab/>
        <w:t>max</w:t>
      </w:r>
      <w:r>
        <w:rPr>
          <w:rFonts w:ascii="Courier New"/>
          <w:spacing w:val="17"/>
          <w:sz w:val="15"/>
        </w:rPr>
        <w:t> </w:t>
      </w:r>
      <w:r>
        <w:rPr>
          <w:rFonts w:ascii="Courier New"/>
          <w:sz w:val="15"/>
        </w:rPr>
        <w:t>=</w:t>
        <w:tab/>
        <w:t>4110</w:t>
      </w:r>
    </w:p>
    <w:p>
      <w:pPr>
        <w:pStyle w:val="BodyText"/>
        <w:spacing w:before="3"/>
        <w:rPr>
          <w:rFonts w:ascii="Courier New"/>
          <w:sz w:val="2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435"/>
        <w:gridCol w:w="241"/>
        <w:gridCol w:w="1837"/>
        <w:gridCol w:w="2659"/>
        <w:gridCol w:w="676"/>
        <w:gridCol w:w="820"/>
      </w:tblGrid>
      <w:tr>
        <w:trPr>
          <w:trHeight w:val="192" w:hRule="atLeast"/>
        </w:trPr>
        <w:tc>
          <w:tcPr>
            <w:tcW w:w="3479" w:type="dxa"/>
            <w:gridSpan w:val="4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659" w:type="dxa"/>
          </w:tcPr>
          <w:p>
            <w:pPr>
              <w:pStyle w:val="TableParagraph"/>
              <w:spacing w:line="169" w:lineRule="exact"/>
              <w:ind w:left="1214"/>
              <w:jc w:val="left"/>
              <w:rPr>
                <w:sz w:val="15"/>
              </w:rPr>
            </w:pPr>
            <w:r>
              <w:rPr>
                <w:sz w:val="15"/>
              </w:rPr>
              <w:t>F(34,71339)</w:t>
            </w:r>
          </w:p>
        </w:tc>
        <w:tc>
          <w:tcPr>
            <w:tcW w:w="676" w:type="dxa"/>
          </w:tcPr>
          <w:p>
            <w:pPr>
              <w:pStyle w:val="TableParagraph"/>
              <w:spacing w:line="169" w:lineRule="exact"/>
              <w:ind w:right="190"/>
              <w:rPr>
                <w:sz w:val="15"/>
              </w:rPr>
            </w:pPr>
            <w:r>
              <w:rPr>
                <w:w w:val="101"/>
                <w:sz w:val="15"/>
              </w:rPr>
              <w:t>=</w:t>
            </w:r>
          </w:p>
        </w:tc>
        <w:tc>
          <w:tcPr>
            <w:tcW w:w="820" w:type="dxa"/>
          </w:tcPr>
          <w:p>
            <w:pPr>
              <w:pStyle w:val="TableParagraph"/>
              <w:spacing w:line="169" w:lineRule="exact"/>
              <w:ind w:right="42"/>
              <w:rPr>
                <w:sz w:val="15"/>
              </w:rPr>
            </w:pPr>
            <w:r>
              <w:rPr>
                <w:sz w:val="15"/>
              </w:rPr>
              <w:t>232.65</w:t>
            </w:r>
          </w:p>
        </w:tc>
      </w:tr>
      <w:tr>
        <w:trPr>
          <w:trHeight w:val="192" w:hRule="atLeast"/>
        </w:trPr>
        <w:tc>
          <w:tcPr>
            <w:tcW w:w="966" w:type="dxa"/>
          </w:tcPr>
          <w:p>
            <w:pPr>
              <w:pStyle w:val="TableParagraph"/>
              <w:spacing w:line="150" w:lineRule="exact" w:before="22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corr(u_i,</w:t>
            </w:r>
          </w:p>
        </w:tc>
        <w:tc>
          <w:tcPr>
            <w:tcW w:w="435" w:type="dxa"/>
          </w:tcPr>
          <w:p>
            <w:pPr>
              <w:pStyle w:val="TableParagraph"/>
              <w:spacing w:line="150" w:lineRule="exact" w:before="22"/>
              <w:ind w:left="51"/>
              <w:jc w:val="left"/>
              <w:rPr>
                <w:sz w:val="15"/>
              </w:rPr>
            </w:pPr>
            <w:r>
              <w:rPr>
                <w:sz w:val="15"/>
              </w:rPr>
              <w:t>Xb)</w:t>
            </w:r>
          </w:p>
        </w:tc>
        <w:tc>
          <w:tcPr>
            <w:tcW w:w="241" w:type="dxa"/>
          </w:tcPr>
          <w:p>
            <w:pPr>
              <w:pStyle w:val="TableParagraph"/>
              <w:spacing w:line="150" w:lineRule="exact" w:before="22"/>
              <w:ind w:left="99"/>
              <w:jc w:val="left"/>
              <w:rPr>
                <w:sz w:val="15"/>
              </w:rPr>
            </w:pPr>
            <w:r>
              <w:rPr>
                <w:w w:val="101"/>
                <w:sz w:val="15"/>
              </w:rPr>
              <w:t>=</w:t>
            </w:r>
          </w:p>
        </w:tc>
        <w:tc>
          <w:tcPr>
            <w:tcW w:w="1837" w:type="dxa"/>
          </w:tcPr>
          <w:p>
            <w:pPr>
              <w:pStyle w:val="TableParagraph"/>
              <w:spacing w:line="150" w:lineRule="exact" w:before="22"/>
              <w:ind w:left="52"/>
              <w:jc w:val="left"/>
              <w:rPr>
                <w:sz w:val="15"/>
              </w:rPr>
            </w:pPr>
            <w:r>
              <w:rPr>
                <w:sz w:val="15"/>
              </w:rPr>
              <w:t>0.0489</w:t>
            </w:r>
          </w:p>
        </w:tc>
        <w:tc>
          <w:tcPr>
            <w:tcW w:w="2659" w:type="dxa"/>
          </w:tcPr>
          <w:p>
            <w:pPr>
              <w:pStyle w:val="TableParagraph"/>
              <w:spacing w:line="150" w:lineRule="exact" w:before="22"/>
              <w:ind w:left="1214"/>
              <w:jc w:val="left"/>
              <w:rPr>
                <w:sz w:val="15"/>
              </w:rPr>
            </w:pPr>
            <w:r>
              <w:rPr>
                <w:sz w:val="15"/>
              </w:rPr>
              <w:t>Prob</w:t>
            </w:r>
            <w:r>
              <w:rPr>
                <w:spacing w:val="20"/>
                <w:sz w:val="15"/>
              </w:rPr>
              <w:t> </w:t>
            </w:r>
            <w:r>
              <w:rPr>
                <w:sz w:val="15"/>
              </w:rPr>
              <w:t>&gt;</w:t>
            </w:r>
            <w:r>
              <w:rPr>
                <w:spacing w:val="21"/>
                <w:sz w:val="15"/>
              </w:rPr>
              <w:t> </w:t>
            </w:r>
            <w:r>
              <w:rPr>
                <w:sz w:val="15"/>
              </w:rPr>
              <w:t>F</w:t>
            </w:r>
          </w:p>
        </w:tc>
        <w:tc>
          <w:tcPr>
            <w:tcW w:w="676" w:type="dxa"/>
          </w:tcPr>
          <w:p>
            <w:pPr>
              <w:pStyle w:val="TableParagraph"/>
              <w:spacing w:line="150" w:lineRule="exact" w:before="22"/>
              <w:ind w:right="190"/>
              <w:rPr>
                <w:sz w:val="15"/>
              </w:rPr>
            </w:pPr>
            <w:r>
              <w:rPr>
                <w:w w:val="101"/>
                <w:sz w:val="15"/>
              </w:rPr>
              <w:t>=</w:t>
            </w:r>
          </w:p>
        </w:tc>
        <w:tc>
          <w:tcPr>
            <w:tcW w:w="820" w:type="dxa"/>
          </w:tcPr>
          <w:p>
            <w:pPr>
              <w:pStyle w:val="TableParagraph"/>
              <w:spacing w:line="150" w:lineRule="exact" w:before="22"/>
              <w:ind w:right="42"/>
              <w:rPr>
                <w:sz w:val="15"/>
              </w:rPr>
            </w:pPr>
            <w:r>
              <w:rPr>
                <w:sz w:val="15"/>
              </w:rPr>
              <w:t>0.0000</w:t>
            </w:r>
          </w:p>
        </w:tc>
      </w:tr>
    </w:tbl>
    <w:p>
      <w:pPr>
        <w:pStyle w:val="BodyText"/>
        <w:spacing w:before="4"/>
        <w:rPr>
          <w:rFonts w:ascii="Courier New"/>
          <w:sz w:val="29"/>
        </w:rPr>
      </w:pPr>
    </w:p>
    <w:tbl>
      <w:tblPr>
        <w:tblW w:w="0" w:type="auto"/>
        <w:jc w:val="left"/>
        <w:tblInd w:w="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4"/>
        <w:gridCol w:w="1255"/>
        <w:gridCol w:w="2612"/>
        <w:gridCol w:w="291"/>
        <w:gridCol w:w="1162"/>
        <w:gridCol w:w="916"/>
      </w:tblGrid>
      <w:tr>
        <w:trPr>
          <w:trHeight w:val="417" w:hRule="atLeast"/>
        </w:trPr>
        <w:tc>
          <w:tcPr>
            <w:tcW w:w="3234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1"/>
              <w:ind w:right="134"/>
              <w:rPr>
                <w:sz w:val="15"/>
              </w:rPr>
            </w:pPr>
            <w:r>
              <w:rPr>
                <w:sz w:val="15"/>
              </w:rPr>
              <w:t>illness</w:t>
            </w:r>
          </w:p>
        </w:tc>
        <w:tc>
          <w:tcPr>
            <w:tcW w:w="1255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1"/>
              <w:ind w:right="139"/>
              <w:rPr>
                <w:sz w:val="15"/>
              </w:rPr>
            </w:pPr>
            <w:r>
              <w:rPr>
                <w:sz w:val="15"/>
              </w:rPr>
              <w:t>Coef.</w:t>
            </w:r>
          </w:p>
        </w:tc>
        <w:tc>
          <w:tcPr>
            <w:tcW w:w="261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tabs>
                <w:tab w:pos="1450" w:val="left" w:leader="none"/>
                <w:tab w:pos="1934" w:val="left" w:leader="none"/>
              </w:tabs>
              <w:spacing w:before="131"/>
              <w:ind w:right="43"/>
              <w:rPr>
                <w:sz w:val="15"/>
              </w:rPr>
            </w:pPr>
            <w:r>
              <w:rPr>
                <w:sz w:val="15"/>
              </w:rPr>
              <w:t>Std.</w:t>
            </w:r>
            <w:r>
              <w:rPr>
                <w:spacing w:val="33"/>
                <w:sz w:val="15"/>
              </w:rPr>
              <w:t> </w:t>
            </w:r>
            <w:r>
              <w:rPr>
                <w:sz w:val="15"/>
              </w:rPr>
              <w:t>Err.</w:t>
              <w:tab/>
              <w:t>t</w:t>
              <w:tab/>
              <w:t>P&gt;|t|</w:t>
            </w:r>
          </w:p>
        </w:tc>
        <w:tc>
          <w:tcPr>
            <w:tcW w:w="291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1"/>
              <w:ind w:left="153"/>
              <w:jc w:val="left"/>
              <w:rPr>
                <w:sz w:val="15"/>
              </w:rPr>
            </w:pPr>
            <w:r>
              <w:rPr>
                <w:sz w:val="15"/>
              </w:rPr>
              <w:t>[95%</w:t>
            </w:r>
            <w:r>
              <w:rPr>
                <w:spacing w:val="42"/>
                <w:sz w:val="15"/>
              </w:rPr>
              <w:t> </w:t>
            </w:r>
            <w:r>
              <w:rPr>
                <w:sz w:val="15"/>
              </w:rPr>
              <w:t>Conf.</w:t>
            </w:r>
          </w:p>
        </w:tc>
        <w:tc>
          <w:tcPr>
            <w:tcW w:w="91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1"/>
              <w:ind w:right="-15"/>
              <w:rPr>
                <w:sz w:val="15"/>
              </w:rPr>
            </w:pPr>
            <w:r>
              <w:rPr>
                <w:sz w:val="15"/>
              </w:rPr>
              <w:t>Interval]</w:t>
            </w:r>
          </w:p>
        </w:tc>
      </w:tr>
      <w:tr>
        <w:trPr>
          <w:trHeight w:val="324" w:hRule="atLeast"/>
        </w:trPr>
        <w:tc>
          <w:tcPr>
            <w:tcW w:w="3234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1"/>
              <w:ind w:right="134"/>
              <w:rPr>
                <w:sz w:val="15"/>
              </w:rPr>
            </w:pPr>
            <w:r>
              <w:rPr>
                <w:sz w:val="15"/>
              </w:rPr>
              <w:t>familysize</w:t>
            </w:r>
          </w:p>
        </w:tc>
        <w:tc>
          <w:tcPr>
            <w:tcW w:w="1255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31"/>
              <w:ind w:right="139"/>
              <w:rPr>
                <w:sz w:val="15"/>
              </w:rPr>
            </w:pPr>
            <w:r>
              <w:rPr>
                <w:sz w:val="15"/>
              </w:rPr>
              <w:t>.0039184</w:t>
            </w:r>
          </w:p>
        </w:tc>
        <w:tc>
          <w:tcPr>
            <w:tcW w:w="2612" w:type="dxa"/>
            <w:tcBorders>
              <w:top w:val="dashSmallGap" w:sz="6" w:space="0" w:color="000000"/>
            </w:tcBorders>
          </w:tcPr>
          <w:p>
            <w:pPr>
              <w:pStyle w:val="TableParagraph"/>
              <w:tabs>
                <w:tab w:pos="1257" w:val="left" w:leader="none"/>
                <w:tab w:pos="1934" w:val="left" w:leader="none"/>
              </w:tabs>
              <w:spacing w:before="131"/>
              <w:ind w:right="43"/>
              <w:rPr>
                <w:sz w:val="15"/>
              </w:rPr>
            </w:pPr>
            <w:r>
              <w:rPr>
                <w:sz w:val="15"/>
              </w:rPr>
              <w:t>.0012471</w:t>
              <w:tab/>
              <w:t>3.14</w:t>
              <w:tab/>
              <w:t>0.002</w:t>
            </w:r>
          </w:p>
        </w:tc>
        <w:tc>
          <w:tcPr>
            <w:tcW w:w="291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1"/>
              <w:ind w:left="249"/>
              <w:jc w:val="left"/>
              <w:rPr>
                <w:sz w:val="15"/>
              </w:rPr>
            </w:pPr>
            <w:r>
              <w:rPr>
                <w:sz w:val="15"/>
              </w:rPr>
              <w:t>.001474</w:t>
            </w:r>
          </w:p>
        </w:tc>
        <w:tc>
          <w:tcPr>
            <w:tcW w:w="916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1"/>
              <w:ind w:right="-15"/>
              <w:rPr>
                <w:sz w:val="15"/>
              </w:rPr>
            </w:pPr>
            <w:r>
              <w:rPr>
                <w:sz w:val="15"/>
              </w:rPr>
              <w:t>.0063628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hungerandnofood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.045932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.0036743</w:t>
              <w:tab/>
              <w:t>12.50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153"/>
              <w:jc w:val="left"/>
              <w:rPr>
                <w:sz w:val="15"/>
              </w:rPr>
            </w:pPr>
            <w:r>
              <w:rPr>
                <w:sz w:val="15"/>
              </w:rPr>
              <w:t>.0387304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.0531336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gari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-.0078191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.0041286</w:t>
              <w:tab/>
              <w:t>-1.89</w:t>
              <w:tab/>
              <w:t>0.058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-.0159113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.000273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rice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-.0469344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063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.0035535</w:t>
              <w:tab/>
              <w:t>-13.21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-.0538993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-.0399695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yamorcassavaormaizeflour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-.1829267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063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.0032953</w:t>
              <w:tab/>
              <w:t>-55.51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-.1893855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-.1764679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34"/>
              <w:rPr>
                <w:sz w:val="15"/>
              </w:rPr>
            </w:pPr>
            <w:r>
              <w:rPr>
                <w:sz w:val="15"/>
              </w:rPr>
              <w:t>beans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9"/>
              <w:rPr>
                <w:sz w:val="15"/>
              </w:rPr>
            </w:pPr>
            <w:r>
              <w:rPr>
                <w:sz w:val="15"/>
              </w:rPr>
              <w:t>-.0148558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3"/>
              <w:ind w:right="43"/>
              <w:rPr>
                <w:sz w:val="15"/>
              </w:rPr>
            </w:pPr>
            <w:r>
              <w:rPr>
                <w:sz w:val="15"/>
              </w:rPr>
              <w:t>.0039024</w:t>
              <w:tab/>
              <w:t>-3.81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3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-.0225044</w:t>
            </w:r>
          </w:p>
        </w:tc>
        <w:tc>
          <w:tcPr>
            <w:tcW w:w="91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-.0072072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meatorfish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-.0001301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.0000896</w:t>
              <w:tab/>
              <w:t>-1.45</w:t>
              <w:tab/>
              <w:t>0.146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-.0003057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.0000455</w:t>
            </w:r>
          </w:p>
        </w:tc>
      </w:tr>
      <w:tr>
        <w:trPr>
          <w:trHeight w:val="215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mosquitonetpossession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-.0605506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967" w:val="left" w:leader="none"/>
                <w:tab w:pos="1837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.004681</w:t>
              <w:tab/>
              <w:t>-12.94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-.0697253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-.051376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nobasiceducation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.1445293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967" w:val="left" w:leader="none"/>
                <w:tab w:pos="1741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.00335</w:t>
              <w:tab/>
              <w:t>43.14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153"/>
              <w:jc w:val="left"/>
              <w:rPr>
                <w:sz w:val="15"/>
              </w:rPr>
            </w:pPr>
            <w:r>
              <w:rPr>
                <w:sz w:val="15"/>
              </w:rPr>
              <w:t>.1379634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.1510953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primarycertificate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.0001904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257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.0011992</w:t>
              <w:tab/>
              <w:t>0.16</w:t>
              <w:tab/>
              <w:t>0.874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-.0021601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.0025408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secondarycertificate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-.0258914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.0033159</w:t>
              <w:tab/>
              <w:t>-7.81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-.0323905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-.0193922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higherdegree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-.0913771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063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.0054338</w:t>
              <w:tab/>
              <w:t>-16.82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-.1020274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-.0807269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34"/>
              <w:rPr>
                <w:sz w:val="15"/>
              </w:rPr>
            </w:pPr>
            <w:r>
              <w:rPr>
                <w:sz w:val="15"/>
              </w:rPr>
              <w:t>hadelectricity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9"/>
              <w:rPr>
                <w:sz w:val="15"/>
              </w:rPr>
            </w:pPr>
            <w:r>
              <w:rPr>
                <w:sz w:val="15"/>
              </w:rPr>
              <w:t>-.0085172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3"/>
              <w:ind w:right="43"/>
              <w:rPr>
                <w:sz w:val="15"/>
              </w:rPr>
            </w:pPr>
            <w:r>
              <w:rPr>
                <w:sz w:val="15"/>
              </w:rPr>
              <w:t>.0022632</w:t>
              <w:tab/>
              <w:t>-3.76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3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-.0129531</w:t>
            </w:r>
          </w:p>
        </w:tc>
        <w:tc>
          <w:tcPr>
            <w:tcW w:w="91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-.0040814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noelectricity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.0038081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257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.0019962</w:t>
              <w:tab/>
              <w:t>1.91</w:t>
              <w:tab/>
              <w:t>0.056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-.0001045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.0077207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pipebornewater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-.0295207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063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.0010658</w:t>
              <w:tab/>
              <w:t>-27.70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-.0316096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-.0274318</w:t>
            </w:r>
          </w:p>
        </w:tc>
      </w:tr>
      <w:tr>
        <w:trPr>
          <w:trHeight w:val="215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boreholeandwell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-.004076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.0010224</w:t>
              <w:tab/>
              <w:t>-3.99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-.0060799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-.002072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riverandspring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.1406367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.0036203</w:t>
              <w:tab/>
              <w:t>38.85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249"/>
              <w:jc w:val="left"/>
              <w:rPr>
                <w:sz w:val="15"/>
              </w:rPr>
            </w:pPr>
            <w:r>
              <w:rPr>
                <w:sz w:val="15"/>
              </w:rPr>
              <w:t>.133541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.1477324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noaccesstowater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.0286839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257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.0050816</w:t>
              <w:tab/>
              <w:t>5.64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249"/>
              <w:jc w:val="left"/>
              <w:rPr>
                <w:sz w:val="15"/>
              </w:rPr>
            </w:pPr>
            <w:r>
              <w:rPr>
                <w:sz w:val="15"/>
              </w:rPr>
              <w:t>.018724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.0386438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34"/>
              <w:rPr>
                <w:sz w:val="15"/>
              </w:rPr>
            </w:pPr>
            <w:r>
              <w:rPr>
                <w:sz w:val="15"/>
              </w:rPr>
              <w:t>waterormodernlatrine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9"/>
              <w:rPr>
                <w:sz w:val="15"/>
              </w:rPr>
            </w:pPr>
            <w:r>
              <w:rPr>
                <w:sz w:val="15"/>
              </w:rPr>
              <w:t>-.0281634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063" w:val="left" w:leader="none"/>
                <w:tab w:pos="1837" w:val="left" w:leader="none"/>
              </w:tabs>
              <w:spacing w:before="23"/>
              <w:ind w:right="43"/>
              <w:rPr>
                <w:sz w:val="15"/>
              </w:rPr>
            </w:pPr>
            <w:r>
              <w:rPr>
                <w:sz w:val="15"/>
              </w:rPr>
              <w:t>.003255</w:t>
              <w:tab/>
              <w:t>-8.65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3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-.0345433</w:t>
            </w:r>
          </w:p>
        </w:tc>
        <w:tc>
          <w:tcPr>
            <w:tcW w:w="91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-.0217835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pitorlatrine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-.0005467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063" w:val="left" w:leader="none"/>
                <w:tab w:pos="1837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.000443</w:t>
              <w:tab/>
              <w:t>-1.23</w:t>
              <w:tab/>
              <w:t>0.217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153"/>
              <w:jc w:val="left"/>
              <w:rPr>
                <w:sz w:val="15"/>
              </w:rPr>
            </w:pPr>
            <w:r>
              <w:rPr>
                <w:sz w:val="15"/>
              </w:rPr>
              <w:t>-.001415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.0003215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notoiletfacility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.027668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063" w:val="left" w:leader="none"/>
                <w:tab w:pos="1741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.00339</w:t>
              <w:tab/>
              <w:t>8.16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153"/>
              <w:jc w:val="left"/>
              <w:rPr>
                <w:sz w:val="15"/>
              </w:rPr>
            </w:pPr>
            <w:r>
              <w:rPr>
                <w:sz w:val="15"/>
              </w:rPr>
              <w:t>.0210237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.0343123</w:t>
            </w:r>
          </w:p>
        </w:tc>
      </w:tr>
      <w:tr>
        <w:trPr>
          <w:trHeight w:val="215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alcoholicdrinks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-.0000301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.0001417</w:t>
              <w:tab/>
              <w:t>-0.21</w:t>
              <w:tab/>
              <w:t>0.832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-.0003078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.0002475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selfmedication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.0363698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257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.0046966</w:t>
              <w:tab/>
              <w:t>7.74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153"/>
              <w:jc w:val="left"/>
              <w:rPr>
                <w:sz w:val="15"/>
              </w:rPr>
            </w:pPr>
            <w:r>
              <w:rPr>
                <w:sz w:val="15"/>
              </w:rPr>
              <w:t>.0271645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.0455751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seekingmedicalcare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-.0187611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.0025426</w:t>
              <w:tab/>
              <w:t>-7.38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-.0237445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-.0137777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34"/>
              <w:rPr>
                <w:sz w:val="15"/>
              </w:rPr>
            </w:pPr>
            <w:r>
              <w:rPr>
                <w:sz w:val="15"/>
              </w:rPr>
              <w:t>otherhealthcare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9"/>
              <w:rPr>
                <w:sz w:val="15"/>
              </w:rPr>
            </w:pPr>
            <w:r>
              <w:rPr>
                <w:sz w:val="15"/>
              </w:rPr>
              <w:t>-.0004229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3"/>
              <w:ind w:right="43"/>
              <w:rPr>
                <w:sz w:val="15"/>
              </w:rPr>
            </w:pPr>
            <w:r>
              <w:rPr>
                <w:sz w:val="15"/>
              </w:rPr>
              <w:t>.0012542</w:t>
              <w:tab/>
              <w:t>-0.34</w:t>
              <w:tab/>
              <w:t>0.736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3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-.0028811</w:t>
            </w:r>
          </w:p>
        </w:tc>
        <w:tc>
          <w:tcPr>
            <w:tcW w:w="91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.0020352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wagesandsalaries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-.0124347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063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.0009386</w:t>
              <w:tab/>
              <w:t>-13.25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-.0142744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-.0105951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entreprisesandbusiness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-.0023993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.0007204</w:t>
              <w:tab/>
              <w:t>-3.33</w:t>
              <w:tab/>
              <w:t>0.001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-.0038112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-.0009874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farmingcropandlivestock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-.0414946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063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.0039421</w:t>
              <w:tab/>
              <w:t>-10.53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153"/>
              <w:jc w:val="left"/>
              <w:rPr>
                <w:sz w:val="15"/>
              </w:rPr>
            </w:pPr>
            <w:r>
              <w:rPr>
                <w:sz w:val="15"/>
              </w:rPr>
              <w:t>-.049221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-.0337682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remittances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-.0031222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.0021167</w:t>
              <w:tab/>
              <w:t>-1.48</w:t>
              <w:tab/>
              <w:t>0.140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-.0072708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.0010265</w:t>
            </w:r>
          </w:p>
        </w:tc>
      </w:tr>
      <w:tr>
        <w:trPr>
          <w:trHeight w:val="215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monetaryandconditionaltransfers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-.0207743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.0045121</w:t>
              <w:tab/>
              <w:t>-4.60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-.0296179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-.0119307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pensionsandgrants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.0011295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257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.0041099</w:t>
              <w:tab/>
              <w:t>0.27</w:t>
              <w:tab/>
              <w:t>0.783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-.0069259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.0091849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34"/>
              <w:rPr>
                <w:sz w:val="15"/>
              </w:rPr>
            </w:pPr>
            <w:r>
              <w:rPr>
                <w:sz w:val="15"/>
              </w:rPr>
              <w:t>dividendandinterestfrominvestmen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9"/>
              <w:rPr>
                <w:sz w:val="15"/>
              </w:rPr>
            </w:pPr>
            <w:r>
              <w:rPr>
                <w:sz w:val="15"/>
              </w:rPr>
              <w:t>.0142808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257" w:val="left" w:leader="none"/>
                <w:tab w:pos="1934" w:val="left" w:leader="none"/>
              </w:tabs>
              <w:spacing w:before="23"/>
              <w:ind w:right="43"/>
              <w:rPr>
                <w:sz w:val="15"/>
              </w:rPr>
            </w:pPr>
            <w:r>
              <w:rPr>
                <w:sz w:val="15"/>
              </w:rPr>
              <w:t>.0078244</w:t>
              <w:tab/>
              <w:t>1.83</w:t>
              <w:tab/>
              <w:t>0.068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3"/>
              <w:ind w:left="153"/>
              <w:jc w:val="left"/>
              <w:rPr>
                <w:sz w:val="15"/>
              </w:rPr>
            </w:pPr>
            <w:r>
              <w:rPr>
                <w:sz w:val="15"/>
              </w:rPr>
              <w:t>-.001055</w:t>
            </w:r>
          </w:p>
        </w:tc>
        <w:tc>
          <w:tcPr>
            <w:tcW w:w="91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.0296167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incomesfromlandandhouseownership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-.0014322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160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.0008514</w:t>
              <w:tab/>
              <w:t>-1.68</w:t>
              <w:tab/>
              <w:t>0.093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-.0031009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.0002366</w:t>
            </w: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ginicoefficient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.0144032</w:t>
            </w:r>
          </w:p>
        </w:tc>
        <w:tc>
          <w:tcPr>
            <w:tcW w:w="2612" w:type="dxa"/>
          </w:tcPr>
          <w:p>
            <w:pPr>
              <w:pStyle w:val="TableParagraph"/>
              <w:tabs>
                <w:tab w:pos="1257" w:val="left" w:leader="none"/>
                <w:tab w:pos="1934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.0032476</w:t>
              <w:tab/>
              <w:t>4.43</w:t>
              <w:tab/>
              <w:t>0.000</w:t>
            </w: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2"/>
              <w:ind w:left="153"/>
              <w:jc w:val="left"/>
              <w:rPr>
                <w:sz w:val="15"/>
              </w:rPr>
            </w:pPr>
            <w:r>
              <w:rPr>
                <w:sz w:val="15"/>
              </w:rPr>
              <w:t>.0080379</w:t>
            </w:r>
          </w:p>
        </w:tc>
        <w:tc>
          <w:tcPr>
            <w:tcW w:w="91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.0207686</w:t>
            </w:r>
          </w:p>
        </w:tc>
      </w:tr>
      <w:tr>
        <w:trPr>
          <w:trHeight w:val="308" w:hRule="atLeast"/>
        </w:trPr>
        <w:tc>
          <w:tcPr>
            <w:tcW w:w="3234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_cons</w:t>
            </w:r>
          </w:p>
        </w:tc>
        <w:tc>
          <w:tcPr>
            <w:tcW w:w="1255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.4600936</w:t>
            </w:r>
          </w:p>
        </w:tc>
        <w:tc>
          <w:tcPr>
            <w:tcW w:w="2612" w:type="dxa"/>
            <w:tcBorders>
              <w:bottom w:val="dashSmallGap" w:sz="6" w:space="0" w:color="000000"/>
            </w:tcBorders>
          </w:tcPr>
          <w:p>
            <w:pPr>
              <w:pStyle w:val="TableParagraph"/>
              <w:tabs>
                <w:tab w:pos="1063" w:val="left" w:leader="none"/>
                <w:tab w:pos="1837" w:val="left" w:leader="none"/>
              </w:tabs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.015932</w:t>
              <w:tab/>
              <w:t>28.88</w:t>
              <w:tab/>
              <w:t>0.000</w:t>
            </w:r>
          </w:p>
        </w:tc>
        <w:tc>
          <w:tcPr>
            <w:tcW w:w="291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left="153"/>
              <w:jc w:val="left"/>
              <w:rPr>
                <w:sz w:val="15"/>
              </w:rPr>
            </w:pPr>
            <w:r>
              <w:rPr>
                <w:sz w:val="15"/>
              </w:rPr>
              <w:t>.4288669</w:t>
            </w:r>
          </w:p>
        </w:tc>
        <w:tc>
          <w:tcPr>
            <w:tcW w:w="91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.4913204</w:t>
            </w:r>
          </w:p>
        </w:tc>
      </w:tr>
      <w:tr>
        <w:trPr>
          <w:trHeight w:val="324" w:hRule="atLeast"/>
        </w:trPr>
        <w:tc>
          <w:tcPr>
            <w:tcW w:w="3234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1"/>
              <w:ind w:right="134"/>
              <w:rPr>
                <w:sz w:val="15"/>
              </w:rPr>
            </w:pPr>
            <w:r>
              <w:rPr>
                <w:sz w:val="15"/>
              </w:rPr>
              <w:t>sigma_u</w:t>
            </w:r>
          </w:p>
        </w:tc>
        <w:tc>
          <w:tcPr>
            <w:tcW w:w="1255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31"/>
              <w:ind w:right="139"/>
              <w:rPr>
                <w:sz w:val="15"/>
              </w:rPr>
            </w:pPr>
            <w:r>
              <w:rPr>
                <w:sz w:val="15"/>
              </w:rPr>
              <w:t>.04520972</w:t>
            </w:r>
          </w:p>
        </w:tc>
        <w:tc>
          <w:tcPr>
            <w:tcW w:w="2612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1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23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34"/>
              <w:rPr>
                <w:sz w:val="15"/>
              </w:rPr>
            </w:pPr>
            <w:r>
              <w:rPr>
                <w:sz w:val="15"/>
              </w:rPr>
              <w:t>sigma_e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9"/>
              <w:rPr>
                <w:sz w:val="15"/>
              </w:rPr>
            </w:pPr>
            <w:r>
              <w:rPr>
                <w:sz w:val="15"/>
              </w:rPr>
              <w:t>.32786453</w:t>
            </w:r>
          </w:p>
        </w:tc>
        <w:tc>
          <w:tcPr>
            <w:tcW w:w="26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08" w:hRule="atLeast"/>
        </w:trPr>
        <w:tc>
          <w:tcPr>
            <w:tcW w:w="3234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5"/>
              </w:rPr>
            </w:pPr>
            <w:r>
              <w:rPr>
                <w:sz w:val="15"/>
              </w:rPr>
              <w:t>rho</w:t>
            </w:r>
          </w:p>
        </w:tc>
        <w:tc>
          <w:tcPr>
            <w:tcW w:w="1255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right="139"/>
              <w:rPr>
                <w:sz w:val="15"/>
              </w:rPr>
            </w:pPr>
            <w:r>
              <w:rPr>
                <w:sz w:val="15"/>
              </w:rPr>
              <w:t>.01865927</w:t>
            </w:r>
          </w:p>
        </w:tc>
        <w:tc>
          <w:tcPr>
            <w:tcW w:w="261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right="43"/>
              <w:rPr>
                <w:sz w:val="15"/>
              </w:rPr>
            </w:pPr>
            <w:r>
              <w:rPr>
                <w:sz w:val="15"/>
              </w:rPr>
              <w:t>(fraction</w:t>
            </w:r>
            <w:r>
              <w:rPr>
                <w:spacing w:val="45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44"/>
                <w:sz w:val="15"/>
              </w:rPr>
              <w:t> </w:t>
            </w:r>
            <w:r>
              <w:rPr>
                <w:sz w:val="15"/>
              </w:rPr>
              <w:t>variance</w:t>
            </w:r>
            <w:r>
              <w:rPr>
                <w:spacing w:val="44"/>
                <w:sz w:val="15"/>
              </w:rPr>
              <w:t> </w:t>
            </w:r>
            <w:r>
              <w:rPr>
                <w:sz w:val="15"/>
              </w:rPr>
              <w:t>due</w:t>
            </w:r>
          </w:p>
        </w:tc>
        <w:tc>
          <w:tcPr>
            <w:tcW w:w="291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left="57"/>
              <w:jc w:val="left"/>
              <w:rPr>
                <w:sz w:val="15"/>
              </w:rPr>
            </w:pPr>
            <w:r>
              <w:rPr>
                <w:sz w:val="15"/>
              </w:rPr>
              <w:t>to</w:t>
            </w:r>
          </w:p>
        </w:tc>
        <w:tc>
          <w:tcPr>
            <w:tcW w:w="116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u_i)</w:t>
            </w:r>
          </w:p>
        </w:tc>
        <w:tc>
          <w:tcPr>
            <w:tcW w:w="916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2773" w:val="left" w:leader="none"/>
          <w:tab w:pos="4514" w:val="left" w:leader="none"/>
          <w:tab w:pos="6061" w:val="left" w:leader="none"/>
        </w:tabs>
        <w:spacing w:before="132"/>
        <w:ind w:left="161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F</w:t>
      </w:r>
      <w:r>
        <w:rPr>
          <w:rFonts w:ascii="Courier New"/>
          <w:spacing w:val="29"/>
          <w:sz w:val="15"/>
        </w:rPr>
        <w:t> </w:t>
      </w:r>
      <w:r>
        <w:rPr>
          <w:rFonts w:ascii="Courier New"/>
          <w:sz w:val="15"/>
        </w:rPr>
        <w:t>test</w:t>
      </w:r>
      <w:r>
        <w:rPr>
          <w:rFonts w:ascii="Courier New"/>
          <w:spacing w:val="30"/>
          <w:sz w:val="15"/>
        </w:rPr>
        <w:t> </w:t>
      </w:r>
      <w:r>
        <w:rPr>
          <w:rFonts w:ascii="Courier New"/>
          <w:sz w:val="15"/>
        </w:rPr>
        <w:t>that</w:t>
      </w:r>
      <w:r>
        <w:rPr>
          <w:rFonts w:ascii="Courier New"/>
          <w:spacing w:val="30"/>
          <w:sz w:val="15"/>
        </w:rPr>
        <w:t> </w:t>
      </w:r>
      <w:r>
        <w:rPr>
          <w:rFonts w:ascii="Courier New"/>
          <w:sz w:val="15"/>
        </w:rPr>
        <w:t>all</w:t>
      </w:r>
      <w:r>
        <w:rPr>
          <w:rFonts w:ascii="Courier New"/>
          <w:spacing w:val="30"/>
          <w:sz w:val="15"/>
        </w:rPr>
        <w:t> </w:t>
      </w:r>
      <w:r>
        <w:rPr>
          <w:rFonts w:ascii="Courier New"/>
          <w:sz w:val="15"/>
        </w:rPr>
        <w:t>u_i=0:</w:t>
        <w:tab/>
        <w:t>F(36,</w:t>
      </w:r>
      <w:r>
        <w:rPr>
          <w:rFonts w:ascii="Courier New"/>
          <w:spacing w:val="32"/>
          <w:sz w:val="15"/>
        </w:rPr>
        <w:t> </w:t>
      </w:r>
      <w:r>
        <w:rPr>
          <w:rFonts w:ascii="Courier New"/>
          <w:sz w:val="15"/>
        </w:rPr>
        <w:t>71339)</w:t>
      </w:r>
      <w:r>
        <w:rPr>
          <w:rFonts w:ascii="Courier New"/>
          <w:spacing w:val="33"/>
          <w:sz w:val="15"/>
        </w:rPr>
        <w:t> </w:t>
      </w:r>
      <w:r>
        <w:rPr>
          <w:rFonts w:ascii="Courier New"/>
          <w:sz w:val="15"/>
        </w:rPr>
        <w:t>=</w:t>
        <w:tab/>
        <w:t>35.47</w:t>
        <w:tab/>
        <w:t>Prob</w:t>
      </w:r>
      <w:r>
        <w:rPr>
          <w:rFonts w:ascii="Courier New"/>
          <w:spacing w:val="25"/>
          <w:sz w:val="15"/>
        </w:rPr>
        <w:t> </w:t>
      </w:r>
      <w:r>
        <w:rPr>
          <w:rFonts w:ascii="Courier New"/>
          <w:sz w:val="15"/>
        </w:rPr>
        <w:t>&gt;</w:t>
      </w:r>
      <w:r>
        <w:rPr>
          <w:rFonts w:ascii="Courier New"/>
          <w:spacing w:val="26"/>
          <w:sz w:val="15"/>
        </w:rPr>
        <w:t> </w:t>
      </w:r>
      <w:r>
        <w:rPr>
          <w:rFonts w:ascii="Courier New"/>
          <w:sz w:val="15"/>
        </w:rPr>
        <w:t>F</w:t>
      </w:r>
      <w:r>
        <w:rPr>
          <w:rFonts w:ascii="Courier New"/>
          <w:spacing w:val="24"/>
          <w:sz w:val="15"/>
        </w:rPr>
        <w:t> </w:t>
      </w:r>
      <w:r>
        <w:rPr>
          <w:rFonts w:ascii="Courier New"/>
          <w:sz w:val="15"/>
        </w:rPr>
        <w:t>=</w:t>
      </w:r>
      <w:r>
        <w:rPr>
          <w:rFonts w:ascii="Courier New"/>
          <w:spacing w:val="26"/>
          <w:sz w:val="15"/>
        </w:rPr>
        <w:t> </w:t>
      </w:r>
      <w:r>
        <w:rPr>
          <w:rFonts w:ascii="Courier New"/>
          <w:sz w:val="15"/>
        </w:rPr>
        <w:t>0.0000</w:t>
      </w:r>
    </w:p>
    <w:p>
      <w:pPr>
        <w:pStyle w:val="BodyText"/>
        <w:spacing w:before="4"/>
        <w:rPr>
          <w:rFonts w:ascii="Courier New"/>
          <w:sz w:val="14"/>
        </w:rPr>
      </w:pPr>
    </w:p>
    <w:p>
      <w:pPr>
        <w:spacing w:before="99"/>
        <w:ind w:left="161" w:right="0" w:firstLine="0"/>
        <w:jc w:val="left"/>
        <w:rPr>
          <w:rFonts w:ascii="Courier New"/>
          <w:sz w:val="15"/>
        </w:rPr>
      </w:pPr>
      <w:r>
        <w:rPr>
          <w:rFonts w:ascii="Courier New"/>
          <w:w w:val="101"/>
          <w:sz w:val="15"/>
        </w:rPr>
        <w:t>.</w:t>
      </w:r>
    </w:p>
    <w:p>
      <w:pPr>
        <w:spacing w:after="0"/>
        <w:jc w:val="left"/>
        <w:rPr>
          <w:rFonts w:ascii="Courier New"/>
          <w:sz w:val="15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094"/>
      </w:pPr>
      <w:r>
        <w:rPr/>
        <w:pict>
          <v:shape style="position:absolute;margin-left:71.587532pt;margin-top:30.33086pt;width:385.6pt;height:20.05pt;mso-position-horizontal-relative:page;mso-position-vertical-relative:paragraph;z-index:15787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07"/>
                    <w:gridCol w:w="2636"/>
                    <w:gridCol w:w="488"/>
                    <w:gridCol w:w="779"/>
                  </w:tblGrid>
                  <w:tr>
                    <w:trPr>
                      <w:trHeight w:val="200" w:hRule="atLeast"/>
                    </w:trPr>
                    <w:tc>
                      <w:tcPr>
                        <w:tcW w:w="3807" w:type="dxa"/>
                      </w:tcPr>
                      <w:p>
                        <w:pPr>
                          <w:pStyle w:val="TableParagraph"/>
                          <w:spacing w:before="4"/>
                          <w:ind w:left="5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Random-effects</w:t>
                        </w:r>
                        <w:r>
                          <w:rPr>
                            <w:spacing w:val="8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GLS</w:t>
                        </w:r>
                        <w:r>
                          <w:rPr>
                            <w:spacing w:val="8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regression</w:t>
                        </w:r>
                      </w:p>
                    </w:tc>
                    <w:tc>
                      <w:tcPr>
                        <w:tcW w:w="2636" w:type="dxa"/>
                      </w:tcPr>
                      <w:p>
                        <w:pPr>
                          <w:pStyle w:val="TableParagraph"/>
                          <w:spacing w:before="4"/>
                          <w:ind w:left="93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Number</w:t>
                        </w:r>
                        <w:r>
                          <w:rPr>
                            <w:spacing w:val="38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of</w:t>
                        </w:r>
                        <w:r>
                          <w:rPr>
                            <w:spacing w:val="39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obs</w:t>
                        </w:r>
                      </w:p>
                    </w:tc>
                    <w:tc>
                      <w:tcPr>
                        <w:tcW w:w="488" w:type="dxa"/>
                      </w:tcPr>
                      <w:p>
                        <w:pPr>
                          <w:pStyle w:val="TableParagraph"/>
                          <w:spacing w:before="4"/>
                          <w:ind w:left="15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=</w:t>
                        </w:r>
                      </w:p>
                    </w:tc>
                    <w:tc>
                      <w:tcPr>
                        <w:tcW w:w="779" w:type="dxa"/>
                      </w:tcPr>
                      <w:p>
                        <w:pPr>
                          <w:pStyle w:val="TableParagraph"/>
                          <w:spacing w:before="4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71410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3807" w:type="dxa"/>
                      </w:tcPr>
                      <w:p>
                        <w:pPr>
                          <w:pStyle w:val="TableParagraph"/>
                          <w:spacing w:line="151" w:lineRule="exact" w:before="29"/>
                          <w:ind w:left="5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Group</w:t>
                        </w:r>
                        <w:r>
                          <w:rPr>
                            <w:spacing w:val="60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variable:</w:t>
                        </w:r>
                        <w:r>
                          <w:rPr>
                            <w:spacing w:val="6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state</w:t>
                        </w:r>
                      </w:p>
                    </w:tc>
                    <w:tc>
                      <w:tcPr>
                        <w:tcW w:w="2636" w:type="dxa"/>
                      </w:tcPr>
                      <w:p>
                        <w:pPr>
                          <w:pStyle w:val="TableParagraph"/>
                          <w:spacing w:line="151" w:lineRule="exact" w:before="29"/>
                          <w:ind w:left="93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Number</w:t>
                        </w:r>
                        <w:r>
                          <w:rPr>
                            <w:spacing w:val="47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of</w:t>
                        </w:r>
                        <w:r>
                          <w:rPr>
                            <w:spacing w:val="46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groups</w:t>
                        </w:r>
                      </w:p>
                    </w:tc>
                    <w:tc>
                      <w:tcPr>
                        <w:tcW w:w="488" w:type="dxa"/>
                      </w:tcPr>
                      <w:p>
                        <w:pPr>
                          <w:pStyle w:val="TableParagraph"/>
                          <w:spacing w:line="151" w:lineRule="exact" w:before="29"/>
                          <w:ind w:left="15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=</w:t>
                        </w:r>
                      </w:p>
                    </w:tc>
                    <w:tc>
                      <w:tcPr>
                        <w:tcW w:w="779" w:type="dxa"/>
                      </w:tcPr>
                      <w:p>
                        <w:pPr>
                          <w:pStyle w:val="TableParagraph"/>
                          <w:spacing w:line="151" w:lineRule="exact" w:before="29"/>
                          <w:ind w:right="46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G3:</w:t>
      </w:r>
      <w:r>
        <w:rPr>
          <w:spacing w:val="-2"/>
        </w:rPr>
        <w:t> </w:t>
      </w:r>
      <w:r>
        <w:rPr/>
        <w:t>RANDOM EFFECT</w:t>
      </w:r>
      <w:r>
        <w:rPr>
          <w:spacing w:val="-2"/>
        </w:rPr>
        <w:t> </w:t>
      </w:r>
      <w:r>
        <w:rPr/>
        <w:t>ESTIMATIONS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NGHPS</w:t>
      </w:r>
      <w:r>
        <w:rPr>
          <w:spacing w:val="-3"/>
        </w:rPr>
        <w:t> </w:t>
      </w:r>
      <w:r>
        <w:rPr/>
        <w:t>WAVES</w:t>
      </w:r>
    </w:p>
    <w:p>
      <w:pPr>
        <w:tabs>
          <w:tab w:pos="4849" w:val="left" w:leader="none"/>
          <w:tab w:pos="7773" w:val="right" w:leader="none"/>
        </w:tabs>
        <w:spacing w:before="938"/>
        <w:ind w:left="161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R-sq:</w:t>
      </w:r>
      <w:r>
        <w:rPr>
          <w:rFonts w:ascii="Courier New"/>
          <w:spacing w:val="147"/>
          <w:sz w:val="15"/>
        </w:rPr>
        <w:t> </w:t>
      </w:r>
      <w:r>
        <w:rPr>
          <w:rFonts w:ascii="Courier New"/>
          <w:sz w:val="15"/>
        </w:rPr>
        <w:t>within</w:t>
      </w:r>
      <w:r>
        <w:rPr>
          <w:rFonts w:ascii="Courier New"/>
          <w:spacing w:val="146"/>
          <w:sz w:val="15"/>
        </w:rPr>
        <w:t> </w:t>
      </w:r>
      <w:r>
        <w:rPr>
          <w:rFonts w:ascii="Courier New"/>
          <w:sz w:val="15"/>
        </w:rPr>
        <w:t>=</w:t>
      </w:r>
      <w:r>
        <w:rPr>
          <w:rFonts w:ascii="Courier New"/>
          <w:spacing w:val="32"/>
          <w:sz w:val="15"/>
        </w:rPr>
        <w:t> </w:t>
      </w:r>
      <w:r>
        <w:rPr>
          <w:rFonts w:ascii="Courier New"/>
          <w:sz w:val="15"/>
        </w:rPr>
        <w:t>0.0998</w:t>
        <w:tab/>
        <w:t>Obs</w:t>
      </w:r>
      <w:r>
        <w:rPr>
          <w:rFonts w:ascii="Courier New"/>
          <w:spacing w:val="22"/>
          <w:sz w:val="15"/>
        </w:rPr>
        <w:t> </w:t>
      </w:r>
      <w:r>
        <w:rPr>
          <w:rFonts w:ascii="Courier New"/>
          <w:sz w:val="15"/>
        </w:rPr>
        <w:t>per</w:t>
      </w:r>
      <w:r>
        <w:rPr>
          <w:rFonts w:ascii="Courier New"/>
          <w:spacing w:val="22"/>
          <w:sz w:val="15"/>
        </w:rPr>
        <w:t> </w:t>
      </w:r>
      <w:r>
        <w:rPr>
          <w:rFonts w:ascii="Courier New"/>
          <w:sz w:val="15"/>
        </w:rPr>
        <w:t>group:</w:t>
      </w:r>
      <w:r>
        <w:rPr>
          <w:rFonts w:ascii="Courier New"/>
          <w:spacing w:val="23"/>
          <w:sz w:val="15"/>
        </w:rPr>
        <w:t> </w:t>
      </w:r>
      <w:r>
        <w:rPr>
          <w:rFonts w:ascii="Courier New"/>
          <w:sz w:val="15"/>
        </w:rPr>
        <w:t>min</w:t>
      </w:r>
      <w:r>
        <w:rPr>
          <w:rFonts w:ascii="Courier New"/>
          <w:spacing w:val="23"/>
          <w:sz w:val="15"/>
        </w:rPr>
        <w:t> </w:t>
      </w:r>
      <w:r>
        <w:rPr>
          <w:rFonts w:ascii="Courier New"/>
          <w:sz w:val="15"/>
        </w:rPr>
        <w:t>=</w:t>
        <w:tab/>
        <w:t>232</w:t>
      </w:r>
    </w:p>
    <w:p>
      <w:pPr>
        <w:tabs>
          <w:tab w:pos="6314" w:val="left" w:leader="none"/>
          <w:tab w:pos="7193" w:val="left" w:leader="none"/>
        </w:tabs>
        <w:spacing w:before="55"/>
        <w:ind w:left="845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between</w:t>
      </w:r>
      <w:r>
        <w:rPr>
          <w:rFonts w:ascii="Courier New"/>
          <w:spacing w:val="42"/>
          <w:sz w:val="15"/>
        </w:rPr>
        <w:t> </w:t>
      </w:r>
      <w:r>
        <w:rPr>
          <w:rFonts w:ascii="Courier New"/>
          <w:sz w:val="15"/>
        </w:rPr>
        <w:t>=</w:t>
      </w:r>
      <w:r>
        <w:rPr>
          <w:rFonts w:ascii="Courier New"/>
          <w:spacing w:val="43"/>
          <w:sz w:val="15"/>
        </w:rPr>
        <w:t> </w:t>
      </w:r>
      <w:r>
        <w:rPr>
          <w:rFonts w:ascii="Courier New"/>
          <w:sz w:val="15"/>
        </w:rPr>
        <w:t>0.3671</w:t>
        <w:tab/>
        <w:t>avg</w:t>
      </w:r>
      <w:r>
        <w:rPr>
          <w:rFonts w:ascii="Courier New"/>
          <w:spacing w:val="23"/>
          <w:sz w:val="15"/>
        </w:rPr>
        <w:t> </w:t>
      </w:r>
      <w:r>
        <w:rPr>
          <w:rFonts w:ascii="Courier New"/>
          <w:sz w:val="15"/>
        </w:rPr>
        <w:t>=</w:t>
        <w:tab/>
        <w:t>1930.0</w:t>
      </w:r>
    </w:p>
    <w:p>
      <w:pPr>
        <w:tabs>
          <w:tab w:pos="6314" w:val="left" w:leader="none"/>
          <w:tab w:pos="7773" w:val="right" w:leader="none"/>
        </w:tabs>
        <w:spacing w:before="56"/>
        <w:ind w:left="845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overall</w:t>
      </w:r>
      <w:r>
        <w:rPr>
          <w:rFonts w:ascii="Courier New"/>
          <w:spacing w:val="42"/>
          <w:sz w:val="15"/>
        </w:rPr>
        <w:t> </w:t>
      </w:r>
      <w:r>
        <w:rPr>
          <w:rFonts w:ascii="Courier New"/>
          <w:sz w:val="15"/>
        </w:rPr>
        <w:t>=</w:t>
      </w:r>
      <w:r>
        <w:rPr>
          <w:rFonts w:ascii="Courier New"/>
          <w:spacing w:val="43"/>
          <w:sz w:val="15"/>
        </w:rPr>
        <w:t> </w:t>
      </w:r>
      <w:r>
        <w:rPr>
          <w:rFonts w:ascii="Courier New"/>
          <w:sz w:val="15"/>
        </w:rPr>
        <w:t>0.1041</w:t>
        <w:tab/>
        <w:t>max</w:t>
      </w:r>
      <w:r>
        <w:rPr>
          <w:rFonts w:ascii="Courier New"/>
          <w:spacing w:val="19"/>
          <w:sz w:val="15"/>
        </w:rPr>
        <w:t> </w:t>
      </w:r>
      <w:r>
        <w:rPr>
          <w:rFonts w:ascii="Courier New"/>
          <w:sz w:val="15"/>
        </w:rPr>
        <w:t>=</w:t>
        <w:tab/>
        <w:t>4110</w:t>
      </w:r>
    </w:p>
    <w:p>
      <w:pPr>
        <w:pStyle w:val="BodyText"/>
        <w:spacing w:before="4"/>
        <w:rPr>
          <w:rFonts w:ascii="Courier New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"/>
        <w:gridCol w:w="294"/>
        <w:gridCol w:w="2101"/>
        <w:gridCol w:w="2540"/>
        <w:gridCol w:w="538"/>
        <w:gridCol w:w="878"/>
      </w:tblGrid>
      <w:tr>
        <w:trPr>
          <w:trHeight w:val="200" w:hRule="atLeast"/>
        </w:trPr>
        <w:tc>
          <w:tcPr>
            <w:tcW w:w="3761" w:type="dxa"/>
            <w:gridSpan w:val="3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40" w:type="dxa"/>
          </w:tcPr>
          <w:p>
            <w:pPr>
              <w:pStyle w:val="TableParagraph"/>
              <w:spacing w:before="4"/>
              <w:ind w:left="976"/>
              <w:jc w:val="left"/>
              <w:rPr>
                <w:sz w:val="15"/>
              </w:rPr>
            </w:pPr>
            <w:r>
              <w:rPr>
                <w:sz w:val="15"/>
              </w:rPr>
              <w:t>Wald</w:t>
            </w:r>
            <w:r>
              <w:rPr>
                <w:spacing w:val="63"/>
                <w:sz w:val="15"/>
              </w:rPr>
              <w:t> </w:t>
            </w:r>
            <w:r>
              <w:rPr>
                <w:sz w:val="15"/>
              </w:rPr>
              <w:t>chi2(34)</w:t>
            </w:r>
          </w:p>
        </w:tc>
        <w:tc>
          <w:tcPr>
            <w:tcW w:w="538" w:type="dxa"/>
          </w:tcPr>
          <w:p>
            <w:pPr>
              <w:pStyle w:val="TableParagraph"/>
              <w:spacing w:before="4"/>
              <w:ind w:right="151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878" w:type="dxa"/>
          </w:tcPr>
          <w:p>
            <w:pPr>
              <w:pStyle w:val="TableParagraph"/>
              <w:spacing w:before="4"/>
              <w:ind w:right="53"/>
              <w:rPr>
                <w:sz w:val="15"/>
              </w:rPr>
            </w:pPr>
            <w:r>
              <w:rPr>
                <w:sz w:val="15"/>
              </w:rPr>
              <w:t>7995.55</w:t>
            </w:r>
          </w:p>
        </w:tc>
      </w:tr>
      <w:tr>
        <w:trPr>
          <w:trHeight w:val="200" w:hRule="atLeast"/>
        </w:trPr>
        <w:tc>
          <w:tcPr>
            <w:tcW w:w="1366" w:type="dxa"/>
          </w:tcPr>
          <w:p>
            <w:pPr>
              <w:pStyle w:val="TableParagraph"/>
              <w:spacing w:line="151" w:lineRule="exact" w:before="29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corr(u_i,</w:t>
            </w:r>
            <w:r>
              <w:rPr>
                <w:spacing w:val="58"/>
                <w:sz w:val="15"/>
              </w:rPr>
              <w:t> </w:t>
            </w:r>
            <w:r>
              <w:rPr>
                <w:sz w:val="15"/>
              </w:rPr>
              <w:t>X)</w:t>
            </w:r>
          </w:p>
        </w:tc>
        <w:tc>
          <w:tcPr>
            <w:tcW w:w="294" w:type="dxa"/>
          </w:tcPr>
          <w:p>
            <w:pPr>
              <w:pStyle w:val="TableParagraph"/>
              <w:spacing w:line="151" w:lineRule="exact" w:before="29"/>
              <w:ind w:left="148"/>
              <w:jc w:val="left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2101" w:type="dxa"/>
          </w:tcPr>
          <w:p>
            <w:pPr>
              <w:pStyle w:val="TableParagraph"/>
              <w:spacing w:line="151" w:lineRule="exact" w:before="29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0</w:t>
            </w:r>
            <w:r>
              <w:rPr>
                <w:spacing w:val="53"/>
                <w:sz w:val="15"/>
              </w:rPr>
              <w:t> </w:t>
            </w:r>
            <w:r>
              <w:rPr>
                <w:sz w:val="15"/>
              </w:rPr>
              <w:t>(assumed)</w:t>
            </w:r>
          </w:p>
        </w:tc>
        <w:tc>
          <w:tcPr>
            <w:tcW w:w="2540" w:type="dxa"/>
          </w:tcPr>
          <w:p>
            <w:pPr>
              <w:pStyle w:val="TableParagraph"/>
              <w:spacing w:line="151" w:lineRule="exact" w:before="29"/>
              <w:ind w:left="976"/>
              <w:jc w:val="left"/>
              <w:rPr>
                <w:sz w:val="15"/>
              </w:rPr>
            </w:pPr>
            <w:r>
              <w:rPr>
                <w:sz w:val="15"/>
              </w:rPr>
              <w:t>Prob</w:t>
            </w:r>
            <w:r>
              <w:rPr>
                <w:spacing w:val="32"/>
                <w:sz w:val="15"/>
              </w:rPr>
              <w:t> </w:t>
            </w:r>
            <w:r>
              <w:rPr>
                <w:sz w:val="15"/>
              </w:rPr>
              <w:t>&gt;</w:t>
            </w:r>
            <w:r>
              <w:rPr>
                <w:spacing w:val="33"/>
                <w:sz w:val="15"/>
              </w:rPr>
              <w:t> </w:t>
            </w:r>
            <w:r>
              <w:rPr>
                <w:sz w:val="15"/>
              </w:rPr>
              <w:t>chi2</w:t>
            </w:r>
          </w:p>
        </w:tc>
        <w:tc>
          <w:tcPr>
            <w:tcW w:w="538" w:type="dxa"/>
          </w:tcPr>
          <w:p>
            <w:pPr>
              <w:pStyle w:val="TableParagraph"/>
              <w:spacing w:line="151" w:lineRule="exact" w:before="29"/>
              <w:ind w:right="151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878" w:type="dxa"/>
          </w:tcPr>
          <w:p>
            <w:pPr>
              <w:pStyle w:val="TableParagraph"/>
              <w:spacing w:line="151" w:lineRule="exact" w:before="29"/>
              <w:ind w:right="53"/>
              <w:rPr>
                <w:sz w:val="15"/>
              </w:rPr>
            </w:pPr>
            <w:r>
              <w:rPr>
                <w:sz w:val="15"/>
              </w:rPr>
              <w:t>0.0000</w:t>
            </w: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7" w:after="1"/>
        <w:rPr>
          <w:rFonts w:ascii="Courier New"/>
          <w:sz w:val="10"/>
        </w:rPr>
      </w:pPr>
    </w:p>
    <w:tbl>
      <w:tblPr>
        <w:tblW w:w="0" w:type="auto"/>
        <w:jc w:val="left"/>
        <w:tblInd w:w="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5"/>
        <w:gridCol w:w="1267"/>
        <w:gridCol w:w="2637"/>
        <w:gridCol w:w="293"/>
        <w:gridCol w:w="1172"/>
        <w:gridCol w:w="924"/>
      </w:tblGrid>
      <w:tr>
        <w:trPr>
          <w:trHeight w:val="435" w:hRule="atLeast"/>
        </w:trPr>
        <w:tc>
          <w:tcPr>
            <w:tcW w:w="3265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42"/>
              <w:ind w:right="135"/>
              <w:rPr>
                <w:sz w:val="15"/>
              </w:rPr>
            </w:pPr>
            <w:r>
              <w:rPr>
                <w:sz w:val="15"/>
              </w:rPr>
              <w:t>illness</w:t>
            </w:r>
          </w:p>
        </w:tc>
        <w:tc>
          <w:tcPr>
            <w:tcW w:w="1267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42"/>
              <w:ind w:right="140"/>
              <w:rPr>
                <w:sz w:val="15"/>
              </w:rPr>
            </w:pPr>
            <w:r>
              <w:rPr>
                <w:sz w:val="15"/>
              </w:rPr>
              <w:t>Coef.</w:t>
            </w:r>
          </w:p>
        </w:tc>
        <w:tc>
          <w:tcPr>
            <w:tcW w:w="2637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tabs>
                <w:tab w:pos="1464" w:val="left" w:leader="none"/>
                <w:tab w:pos="1953" w:val="left" w:leader="none"/>
              </w:tabs>
              <w:spacing w:before="142"/>
              <w:ind w:right="43"/>
              <w:rPr>
                <w:sz w:val="15"/>
              </w:rPr>
            </w:pPr>
            <w:r>
              <w:rPr>
                <w:sz w:val="15"/>
              </w:rPr>
              <w:t>Std.</w:t>
            </w:r>
            <w:r>
              <w:rPr>
                <w:spacing w:val="38"/>
                <w:sz w:val="15"/>
              </w:rPr>
              <w:t> </w:t>
            </w:r>
            <w:r>
              <w:rPr>
                <w:sz w:val="15"/>
              </w:rPr>
              <w:t>Err.</w:t>
              <w:tab/>
              <w:t>z</w:t>
              <w:tab/>
              <w:t>P&gt;|z|</w:t>
            </w:r>
          </w:p>
        </w:tc>
        <w:tc>
          <w:tcPr>
            <w:tcW w:w="293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42"/>
              <w:ind w:left="156"/>
              <w:jc w:val="left"/>
              <w:rPr>
                <w:sz w:val="15"/>
              </w:rPr>
            </w:pPr>
            <w:r>
              <w:rPr>
                <w:sz w:val="15"/>
              </w:rPr>
              <w:t>[95%</w:t>
            </w:r>
            <w:r>
              <w:rPr>
                <w:spacing w:val="49"/>
                <w:sz w:val="15"/>
              </w:rPr>
              <w:t> </w:t>
            </w:r>
            <w:r>
              <w:rPr>
                <w:sz w:val="15"/>
              </w:rPr>
              <w:t>Conf.</w:t>
            </w:r>
          </w:p>
        </w:tc>
        <w:tc>
          <w:tcPr>
            <w:tcW w:w="924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42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Interval]</w:t>
            </w:r>
          </w:p>
        </w:tc>
      </w:tr>
      <w:tr>
        <w:trPr>
          <w:trHeight w:val="338" w:hRule="atLeast"/>
        </w:trPr>
        <w:tc>
          <w:tcPr>
            <w:tcW w:w="3265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42"/>
              <w:ind w:right="135"/>
              <w:rPr>
                <w:sz w:val="15"/>
              </w:rPr>
            </w:pPr>
            <w:r>
              <w:rPr>
                <w:sz w:val="15"/>
              </w:rPr>
              <w:t>familysize</w:t>
            </w:r>
          </w:p>
        </w:tc>
        <w:tc>
          <w:tcPr>
            <w:tcW w:w="1267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42"/>
              <w:ind w:right="140"/>
              <w:rPr>
                <w:sz w:val="15"/>
              </w:rPr>
            </w:pPr>
            <w:r>
              <w:rPr>
                <w:sz w:val="15"/>
              </w:rPr>
              <w:t>.003998</w:t>
            </w:r>
          </w:p>
        </w:tc>
        <w:tc>
          <w:tcPr>
            <w:tcW w:w="2637" w:type="dxa"/>
            <w:tcBorders>
              <w:top w:val="dashSmallGap" w:sz="6" w:space="0" w:color="000000"/>
            </w:tcBorders>
          </w:tcPr>
          <w:p>
            <w:pPr>
              <w:pStyle w:val="TableParagraph"/>
              <w:tabs>
                <w:tab w:pos="1269" w:val="left" w:leader="none"/>
                <w:tab w:pos="1953" w:val="left" w:leader="none"/>
              </w:tabs>
              <w:spacing w:before="142"/>
              <w:ind w:right="43"/>
              <w:rPr>
                <w:sz w:val="15"/>
              </w:rPr>
            </w:pPr>
            <w:r>
              <w:rPr>
                <w:sz w:val="15"/>
              </w:rPr>
              <w:t>.0012473</w:t>
              <w:tab/>
              <w:t>3.21</w:t>
              <w:tab/>
              <w:t>0.001</w:t>
            </w:r>
          </w:p>
        </w:tc>
        <w:tc>
          <w:tcPr>
            <w:tcW w:w="293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42"/>
              <w:ind w:left="156"/>
              <w:jc w:val="left"/>
              <w:rPr>
                <w:sz w:val="15"/>
              </w:rPr>
            </w:pPr>
            <w:r>
              <w:rPr>
                <w:sz w:val="15"/>
              </w:rPr>
              <w:t>.0015532</w:t>
            </w:r>
          </w:p>
        </w:tc>
        <w:tc>
          <w:tcPr>
            <w:tcW w:w="924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42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.0064427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hungerandnofood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.0457048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.0036519</w:t>
              <w:tab/>
              <w:t>12.52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156"/>
              <w:jc w:val="left"/>
              <w:rPr>
                <w:sz w:val="15"/>
              </w:rPr>
            </w:pPr>
            <w:r>
              <w:rPr>
                <w:sz w:val="15"/>
              </w:rPr>
              <w:t>.0385472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.0528625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gari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-.0081162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.0041258</w:t>
              <w:tab/>
              <w:t>-1.97</w:t>
              <w:tab/>
              <w:t>0.049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-.0162027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-.0000297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rice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-.0464224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074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.0035423</w:t>
              <w:tab/>
              <w:t>-13.11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-.0533652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-.0394795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yamorcassavaormaizeflour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-.1835649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074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.0032944</w:t>
              <w:tab/>
              <w:t>-55.72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-.1900217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-.177108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beans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-.0148825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.0038915</w:t>
              <w:tab/>
              <w:t>-3.82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-.0225097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-.0072553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meatorfish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-.0001169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.0000896</w:t>
              <w:tab/>
              <w:t>-1.30</w:t>
              <w:tab/>
              <w:t>0.192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-.0002926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.0000587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mosquitonetpossession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-.0608625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074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.0046825</w:t>
              <w:tab/>
              <w:t>-13.00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-.0700401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-.0516849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nobasiceducation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.1455923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.0033522</w:t>
              <w:tab/>
              <w:t>43.43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156"/>
              <w:jc w:val="left"/>
              <w:rPr>
                <w:sz w:val="15"/>
              </w:rPr>
            </w:pPr>
            <w:r>
              <w:rPr>
                <w:sz w:val="15"/>
              </w:rPr>
              <w:t>.1390222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.1521624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primarycertificate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.000502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269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.0011991</w:t>
              <w:tab/>
              <w:t>0.42</w:t>
              <w:tab/>
              <w:t>0.675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-.0018481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.0028522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secondarycertificate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-.0257013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.0033193</w:t>
              <w:tab/>
              <w:t>-7.74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-.0322069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-.0191956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higherdegree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-.0913068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074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.0054371</w:t>
              <w:tab/>
              <w:t>-16.79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-.1019633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-.0806504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hadelectricity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-.0084421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.0022648</w:t>
              <w:tab/>
              <w:t>-3.73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-.0128812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-.0040031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noelectricity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.0036356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269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.0019979</w:t>
              <w:tab/>
              <w:t>1.82</w:t>
              <w:tab/>
              <w:t>0.069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-.0002802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.0075514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pipebornewater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-.0299119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074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.0010591</w:t>
              <w:tab/>
              <w:t>-28.24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-.0319877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-.027836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boreholeandwell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-.0040421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073" w:val="left" w:leader="none"/>
                <w:tab w:pos="1855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.001022</w:t>
              <w:tab/>
              <w:t>-3.96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-.0060452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-.002039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riverandspring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.1412909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073" w:val="left" w:leader="none"/>
                <w:tab w:pos="1855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.003624</w:t>
              <w:tab/>
              <w:t>38.99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156"/>
              <w:jc w:val="left"/>
              <w:rPr>
                <w:sz w:val="15"/>
              </w:rPr>
            </w:pPr>
            <w:r>
              <w:rPr>
                <w:sz w:val="15"/>
              </w:rPr>
              <w:t>.1341879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.1483938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noaccesstowater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.0281756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269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.0050693</w:t>
              <w:tab/>
              <w:t>5.56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156"/>
              <w:jc w:val="left"/>
              <w:rPr>
                <w:sz w:val="15"/>
              </w:rPr>
            </w:pPr>
            <w:r>
              <w:rPr>
                <w:sz w:val="15"/>
              </w:rPr>
              <w:t>.0182399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.0381113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waterormodernlatrine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-.028445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.0032569</w:t>
              <w:tab/>
              <w:t>-8.73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-.0348284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-.0220616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pitorlatrine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-.0004515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.0004405</w:t>
              <w:tab/>
              <w:t>-1.03</w:t>
              <w:tab/>
              <w:t>0.305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-.0013148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.0004118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notoiletfacility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.0274538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269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.0033928</w:t>
              <w:tab/>
              <w:t>8.09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253"/>
              <w:jc w:val="left"/>
              <w:rPr>
                <w:sz w:val="15"/>
              </w:rPr>
            </w:pPr>
            <w:r>
              <w:rPr>
                <w:sz w:val="15"/>
              </w:rPr>
              <w:t>.020804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.0341037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alcoholicdrinks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-.0000454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.0001376</w:t>
              <w:tab/>
              <w:t>-0.33</w:t>
              <w:tab/>
              <w:t>0.741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156"/>
              <w:jc w:val="left"/>
              <w:rPr>
                <w:sz w:val="15"/>
              </w:rPr>
            </w:pPr>
            <w:r>
              <w:rPr>
                <w:sz w:val="15"/>
              </w:rPr>
              <w:t>-.000315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.0002242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selfmedication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.0371842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269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.0046958</w:t>
              <w:tab/>
              <w:t>7.92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156"/>
              <w:jc w:val="left"/>
              <w:rPr>
                <w:sz w:val="15"/>
              </w:rPr>
            </w:pPr>
            <w:r>
              <w:rPr>
                <w:sz w:val="15"/>
              </w:rPr>
              <w:t>.0279807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.0463878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seekingmedicalcare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-.0188258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.0025374</w:t>
              <w:tab/>
              <w:t>-7.42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156"/>
              <w:jc w:val="left"/>
              <w:rPr>
                <w:sz w:val="15"/>
              </w:rPr>
            </w:pPr>
            <w:r>
              <w:rPr>
                <w:sz w:val="15"/>
              </w:rPr>
              <w:t>-.023799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-.0138525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otherhealthcare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-.0003851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073" w:val="left" w:leader="none"/>
                <w:tab w:pos="1855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.001256</w:t>
              <w:tab/>
              <w:t>-0.31</w:t>
              <w:tab/>
              <w:t>0.759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-.0028467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.0020766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wagesandsalaries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-.012401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074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.0009359</w:t>
              <w:tab/>
              <w:t>-13.25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-.0142353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-.0105666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entreprisesandbusiness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-.0024031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.0007203</w:t>
              <w:tab/>
              <w:t>-3.34</w:t>
              <w:tab/>
              <w:t>0.001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-.0038148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-.0009914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farmingcropandlivestock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-.042475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074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.0039396</w:t>
              <w:tab/>
              <w:t>-10.78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-.0501964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-.0347535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remittances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-.0026962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.0020977</w:t>
              <w:tab/>
              <w:t>-1.29</w:t>
              <w:tab/>
              <w:t>0.199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-.0068076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.0014152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monetaryandconditionaltransfers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-.0218835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.0045032</w:t>
              <w:tab/>
              <w:t>-4.86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-.0307095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73"/>
              <w:jc w:val="center"/>
              <w:rPr>
                <w:sz w:val="15"/>
              </w:rPr>
            </w:pPr>
            <w:r>
              <w:rPr>
                <w:sz w:val="15"/>
              </w:rPr>
              <w:t>-.0130575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pensionsandgrants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.0008577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269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.0041006</w:t>
              <w:tab/>
              <w:t>0.21</w:t>
              <w:tab/>
              <w:t>0.834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-.0071793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.0088947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dividendandinterestfrominvestmen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.0142443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269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.0078019</w:t>
              <w:tab/>
              <w:t>1.83</w:t>
              <w:tab/>
              <w:t>0.068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-.0010472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.0295359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incomesfromlandandhouseownership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-.0013987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.0008523</w:t>
              <w:tab/>
              <w:t>-1.64</w:t>
              <w:tab/>
              <w:t>0.101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-.0030693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.0002718</w:t>
            </w: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ginicoefficient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.013586</w:t>
            </w:r>
          </w:p>
        </w:tc>
        <w:tc>
          <w:tcPr>
            <w:tcW w:w="2637" w:type="dxa"/>
          </w:tcPr>
          <w:p>
            <w:pPr>
              <w:pStyle w:val="TableParagraph"/>
              <w:tabs>
                <w:tab w:pos="1269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.0032477</w:t>
              <w:tab/>
              <w:t>4.18</w:t>
              <w:tab/>
              <w:t>0.000</w:t>
            </w: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9"/>
              <w:ind w:left="156"/>
              <w:jc w:val="left"/>
              <w:rPr>
                <w:sz w:val="15"/>
              </w:rPr>
            </w:pPr>
            <w:r>
              <w:rPr>
                <w:sz w:val="15"/>
              </w:rPr>
              <w:t>.0072206</w:t>
            </w:r>
          </w:p>
        </w:tc>
        <w:tc>
          <w:tcPr>
            <w:tcW w:w="924" w:type="dxa"/>
          </w:tcPr>
          <w:p>
            <w:pPr>
              <w:pStyle w:val="TableParagraph"/>
              <w:spacing w:before="29"/>
              <w:ind w:left="155" w:right="-15"/>
              <w:jc w:val="center"/>
              <w:rPr>
                <w:sz w:val="15"/>
              </w:rPr>
            </w:pPr>
            <w:r>
              <w:rPr>
                <w:sz w:val="15"/>
              </w:rPr>
              <w:t>.0199515</w:t>
            </w:r>
          </w:p>
        </w:tc>
      </w:tr>
      <w:tr>
        <w:trPr>
          <w:trHeight w:val="322" w:hRule="atLeast"/>
        </w:trPr>
        <w:tc>
          <w:tcPr>
            <w:tcW w:w="3265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_cons</w:t>
            </w:r>
          </w:p>
        </w:tc>
        <w:tc>
          <w:tcPr>
            <w:tcW w:w="1267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.4612471</w:t>
            </w:r>
          </w:p>
        </w:tc>
        <w:tc>
          <w:tcPr>
            <w:tcW w:w="2637" w:type="dxa"/>
            <w:tcBorders>
              <w:bottom w:val="dashSmallGap" w:sz="6" w:space="0" w:color="000000"/>
            </w:tcBorders>
          </w:tcPr>
          <w:p>
            <w:pPr>
              <w:pStyle w:val="TableParagraph"/>
              <w:tabs>
                <w:tab w:pos="1171" w:val="left" w:leader="none"/>
                <w:tab w:pos="1953" w:val="left" w:leader="none"/>
              </w:tabs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.0160156</w:t>
              <w:tab/>
              <w:t>28.80</w:t>
              <w:tab/>
              <w:t>0.000</w:t>
            </w:r>
          </w:p>
        </w:tc>
        <w:tc>
          <w:tcPr>
            <w:tcW w:w="293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9"/>
              <w:ind w:left="156"/>
              <w:jc w:val="left"/>
              <w:rPr>
                <w:sz w:val="15"/>
              </w:rPr>
            </w:pPr>
            <w:r>
              <w:rPr>
                <w:sz w:val="15"/>
              </w:rPr>
              <w:t>.4298572</w:t>
            </w:r>
          </w:p>
        </w:tc>
        <w:tc>
          <w:tcPr>
            <w:tcW w:w="924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9"/>
              <w:ind w:left="253" w:right="-15"/>
              <w:jc w:val="center"/>
              <w:rPr>
                <w:sz w:val="15"/>
              </w:rPr>
            </w:pPr>
            <w:r>
              <w:rPr>
                <w:sz w:val="15"/>
              </w:rPr>
              <w:t>.492637</w:t>
            </w:r>
          </w:p>
        </w:tc>
      </w:tr>
      <w:tr>
        <w:trPr>
          <w:trHeight w:val="338" w:hRule="atLeast"/>
        </w:trPr>
        <w:tc>
          <w:tcPr>
            <w:tcW w:w="3265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42"/>
              <w:ind w:right="135"/>
              <w:rPr>
                <w:sz w:val="15"/>
              </w:rPr>
            </w:pPr>
            <w:r>
              <w:rPr>
                <w:sz w:val="15"/>
              </w:rPr>
              <w:t>sigma_u</w:t>
            </w:r>
          </w:p>
        </w:tc>
        <w:tc>
          <w:tcPr>
            <w:tcW w:w="1267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42"/>
              <w:ind w:right="140"/>
              <w:rPr>
                <w:sz w:val="15"/>
              </w:rPr>
            </w:pPr>
            <w:r>
              <w:rPr>
                <w:sz w:val="15"/>
              </w:rPr>
              <w:t>.01397647</w:t>
            </w:r>
          </w:p>
        </w:tc>
        <w:tc>
          <w:tcPr>
            <w:tcW w:w="2637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3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24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32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sigma_e</w:t>
            </w:r>
          </w:p>
        </w:tc>
        <w:tc>
          <w:tcPr>
            <w:tcW w:w="126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.32786453</w:t>
            </w:r>
          </w:p>
        </w:tc>
        <w:tc>
          <w:tcPr>
            <w:tcW w:w="263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21" w:hRule="atLeast"/>
        </w:trPr>
        <w:tc>
          <w:tcPr>
            <w:tcW w:w="3265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5"/>
              </w:rPr>
            </w:pPr>
            <w:r>
              <w:rPr>
                <w:sz w:val="15"/>
              </w:rPr>
              <w:t>rho</w:t>
            </w:r>
          </w:p>
        </w:tc>
        <w:tc>
          <w:tcPr>
            <w:tcW w:w="1267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9"/>
              <w:ind w:right="140"/>
              <w:rPr>
                <w:sz w:val="15"/>
              </w:rPr>
            </w:pPr>
            <w:r>
              <w:rPr>
                <w:sz w:val="15"/>
              </w:rPr>
              <w:t>.00181392</w:t>
            </w:r>
          </w:p>
        </w:tc>
        <w:tc>
          <w:tcPr>
            <w:tcW w:w="2637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9"/>
              <w:ind w:right="43"/>
              <w:rPr>
                <w:sz w:val="15"/>
              </w:rPr>
            </w:pPr>
            <w:r>
              <w:rPr>
                <w:sz w:val="15"/>
              </w:rPr>
              <w:t>(fraction</w:t>
            </w:r>
            <w:r>
              <w:rPr>
                <w:spacing w:val="52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51"/>
                <w:sz w:val="15"/>
              </w:rPr>
              <w:t> </w:t>
            </w:r>
            <w:r>
              <w:rPr>
                <w:sz w:val="15"/>
              </w:rPr>
              <w:t>variance</w:t>
            </w:r>
            <w:r>
              <w:rPr>
                <w:spacing w:val="51"/>
                <w:sz w:val="15"/>
              </w:rPr>
              <w:t> </w:t>
            </w:r>
            <w:r>
              <w:rPr>
                <w:sz w:val="15"/>
              </w:rPr>
              <w:t>due</w:t>
            </w:r>
          </w:p>
        </w:tc>
        <w:tc>
          <w:tcPr>
            <w:tcW w:w="293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to</w:t>
            </w:r>
          </w:p>
        </w:tc>
        <w:tc>
          <w:tcPr>
            <w:tcW w:w="117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9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u_i)</w:t>
            </w:r>
          </w:p>
        </w:tc>
        <w:tc>
          <w:tcPr>
            <w:tcW w:w="924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rFonts w:ascii="Courier New"/>
          <w:sz w:val="18"/>
        </w:rPr>
      </w:pPr>
    </w:p>
    <w:p>
      <w:pPr>
        <w:pStyle w:val="BodyText"/>
        <w:spacing w:before="5"/>
        <w:rPr>
          <w:rFonts w:ascii="Courier New"/>
          <w:sz w:val="14"/>
        </w:rPr>
      </w:pPr>
    </w:p>
    <w:p>
      <w:pPr>
        <w:spacing w:before="0"/>
        <w:ind w:left="161" w:right="0" w:firstLine="0"/>
        <w:jc w:val="left"/>
        <w:rPr>
          <w:rFonts w:ascii="Courier New"/>
          <w:sz w:val="15"/>
        </w:rPr>
      </w:pPr>
      <w:r>
        <w:rPr>
          <w:rFonts w:ascii="Courier New"/>
          <w:w w:val="102"/>
          <w:sz w:val="15"/>
        </w:rPr>
        <w:t>.</w:t>
      </w:r>
    </w:p>
    <w:p>
      <w:pPr>
        <w:spacing w:after="0"/>
        <w:jc w:val="left"/>
        <w:rPr>
          <w:rFonts w:ascii="Courier New"/>
          <w:sz w:val="15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996"/>
      </w:pPr>
      <w:r>
        <w:rPr/>
        <w:t>TABLE</w:t>
      </w:r>
      <w:r>
        <w:rPr>
          <w:spacing w:val="-3"/>
        </w:rPr>
        <w:t> </w:t>
      </w:r>
      <w:r>
        <w:rPr/>
        <w:t>G4: BREUSCH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PAGAN</w:t>
      </w:r>
      <w:r>
        <w:rPr>
          <w:spacing w:val="-1"/>
        </w:rPr>
        <w:t> </w:t>
      </w:r>
      <w:r>
        <w:rPr/>
        <w:t>LAGRANGIAN</w:t>
      </w:r>
      <w:r>
        <w:rPr>
          <w:spacing w:val="-3"/>
        </w:rPr>
        <w:t> </w:t>
      </w:r>
      <w:r>
        <w:rPr/>
        <w:t>MULTIPLIER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7"/>
        <w:rPr>
          <w:sz w:val="11"/>
        </w:rPr>
      </w:pPr>
    </w:p>
    <w:p>
      <w:pPr>
        <w:spacing w:before="99"/>
        <w:ind w:left="171" w:right="0" w:firstLine="0"/>
        <w:jc w:val="left"/>
        <w:rPr>
          <w:rFonts w:ascii="Courier New"/>
          <w:sz w:val="14"/>
        </w:rPr>
      </w:pPr>
      <w:r>
        <w:rPr>
          <w:rFonts w:ascii="Courier New"/>
          <w:w w:val="135"/>
          <w:sz w:val="14"/>
        </w:rPr>
        <w:t>Breusch</w:t>
      </w:r>
      <w:r>
        <w:rPr>
          <w:rFonts w:ascii="Courier New"/>
          <w:spacing w:val="55"/>
          <w:w w:val="135"/>
          <w:sz w:val="14"/>
        </w:rPr>
        <w:t> </w:t>
      </w:r>
      <w:r>
        <w:rPr>
          <w:rFonts w:ascii="Courier New"/>
          <w:w w:val="135"/>
          <w:sz w:val="14"/>
        </w:rPr>
        <w:t>and</w:t>
      </w:r>
      <w:r>
        <w:rPr>
          <w:rFonts w:ascii="Courier New"/>
          <w:spacing w:val="56"/>
          <w:w w:val="135"/>
          <w:sz w:val="14"/>
        </w:rPr>
        <w:t> </w:t>
      </w:r>
      <w:r>
        <w:rPr>
          <w:rFonts w:ascii="Courier New"/>
          <w:w w:val="135"/>
          <w:sz w:val="14"/>
        </w:rPr>
        <w:t>Pagan</w:t>
      </w:r>
      <w:r>
        <w:rPr>
          <w:rFonts w:ascii="Courier New"/>
          <w:spacing w:val="55"/>
          <w:w w:val="135"/>
          <w:sz w:val="14"/>
        </w:rPr>
        <w:t> </w:t>
      </w:r>
      <w:r>
        <w:rPr>
          <w:rFonts w:ascii="Courier New"/>
          <w:w w:val="135"/>
          <w:sz w:val="14"/>
        </w:rPr>
        <w:t>Lagrangian</w:t>
      </w:r>
      <w:r>
        <w:rPr>
          <w:rFonts w:ascii="Courier New"/>
          <w:spacing w:val="56"/>
          <w:w w:val="135"/>
          <w:sz w:val="14"/>
        </w:rPr>
        <w:t> </w:t>
      </w:r>
      <w:r>
        <w:rPr>
          <w:rFonts w:ascii="Courier New"/>
          <w:w w:val="135"/>
          <w:sz w:val="14"/>
        </w:rPr>
        <w:t>multiplier</w:t>
      </w:r>
      <w:r>
        <w:rPr>
          <w:rFonts w:ascii="Courier New"/>
          <w:spacing w:val="56"/>
          <w:w w:val="135"/>
          <w:sz w:val="14"/>
        </w:rPr>
        <w:t> </w:t>
      </w:r>
      <w:r>
        <w:rPr>
          <w:rFonts w:ascii="Courier New"/>
          <w:w w:val="135"/>
          <w:sz w:val="14"/>
        </w:rPr>
        <w:t>test</w:t>
      </w:r>
      <w:r>
        <w:rPr>
          <w:rFonts w:ascii="Courier New"/>
          <w:spacing w:val="55"/>
          <w:w w:val="135"/>
          <w:sz w:val="14"/>
        </w:rPr>
        <w:t> </w:t>
      </w:r>
      <w:r>
        <w:rPr>
          <w:rFonts w:ascii="Courier New"/>
          <w:w w:val="135"/>
          <w:sz w:val="14"/>
        </w:rPr>
        <w:t>for</w:t>
      </w:r>
      <w:r>
        <w:rPr>
          <w:rFonts w:ascii="Courier New"/>
          <w:spacing w:val="56"/>
          <w:w w:val="135"/>
          <w:sz w:val="14"/>
        </w:rPr>
        <w:t> </w:t>
      </w:r>
      <w:r>
        <w:rPr>
          <w:rFonts w:ascii="Courier New"/>
          <w:w w:val="135"/>
          <w:sz w:val="14"/>
        </w:rPr>
        <w:t>random</w:t>
      </w:r>
      <w:r>
        <w:rPr>
          <w:rFonts w:ascii="Courier New"/>
          <w:spacing w:val="54"/>
          <w:w w:val="135"/>
          <w:sz w:val="14"/>
        </w:rPr>
        <w:t> </w:t>
      </w:r>
      <w:r>
        <w:rPr>
          <w:rFonts w:ascii="Courier New"/>
          <w:w w:val="135"/>
          <w:sz w:val="14"/>
        </w:rPr>
        <w:t>effects</w:t>
      </w:r>
    </w:p>
    <w:p>
      <w:pPr>
        <w:pStyle w:val="BodyText"/>
        <w:spacing w:before="11"/>
        <w:rPr>
          <w:rFonts w:ascii="Courier New"/>
          <w:sz w:val="12"/>
        </w:rPr>
      </w:pPr>
    </w:p>
    <w:p>
      <w:pPr>
        <w:spacing w:before="99"/>
        <w:ind w:left="1142" w:right="0" w:firstLine="0"/>
        <w:jc w:val="left"/>
        <w:rPr>
          <w:rFonts w:ascii="Courier New"/>
          <w:sz w:val="14"/>
        </w:rPr>
      </w:pPr>
      <w:r>
        <w:rPr>
          <w:rFonts w:ascii="Courier New"/>
          <w:w w:val="135"/>
          <w:sz w:val="14"/>
        </w:rPr>
        <w:t>illness[state,t]</w:t>
      </w:r>
      <w:r>
        <w:rPr>
          <w:rFonts w:ascii="Courier New"/>
          <w:spacing w:val="51"/>
          <w:w w:val="135"/>
          <w:sz w:val="14"/>
        </w:rPr>
        <w:t> </w:t>
      </w:r>
      <w:r>
        <w:rPr>
          <w:rFonts w:ascii="Courier New"/>
          <w:w w:val="135"/>
          <w:sz w:val="14"/>
        </w:rPr>
        <w:t>=</w:t>
      </w:r>
      <w:r>
        <w:rPr>
          <w:rFonts w:ascii="Courier New"/>
          <w:spacing w:val="52"/>
          <w:w w:val="135"/>
          <w:sz w:val="14"/>
        </w:rPr>
        <w:t> </w:t>
      </w:r>
      <w:r>
        <w:rPr>
          <w:rFonts w:ascii="Courier New"/>
          <w:w w:val="135"/>
          <w:sz w:val="14"/>
        </w:rPr>
        <w:t>Xb</w:t>
      </w:r>
      <w:r>
        <w:rPr>
          <w:rFonts w:ascii="Courier New"/>
          <w:spacing w:val="51"/>
          <w:w w:val="135"/>
          <w:sz w:val="14"/>
        </w:rPr>
        <w:t> </w:t>
      </w:r>
      <w:r>
        <w:rPr>
          <w:rFonts w:ascii="Courier New"/>
          <w:w w:val="135"/>
          <w:sz w:val="14"/>
        </w:rPr>
        <w:t>+</w:t>
      </w:r>
      <w:r>
        <w:rPr>
          <w:rFonts w:ascii="Courier New"/>
          <w:spacing w:val="52"/>
          <w:w w:val="135"/>
          <w:sz w:val="14"/>
        </w:rPr>
        <w:t> </w:t>
      </w:r>
      <w:r>
        <w:rPr>
          <w:rFonts w:ascii="Courier New"/>
          <w:w w:val="135"/>
          <w:sz w:val="14"/>
        </w:rPr>
        <w:t>u[state]</w:t>
      </w:r>
      <w:r>
        <w:rPr>
          <w:rFonts w:ascii="Courier New"/>
          <w:spacing w:val="52"/>
          <w:w w:val="135"/>
          <w:sz w:val="14"/>
        </w:rPr>
        <w:t> </w:t>
      </w:r>
      <w:r>
        <w:rPr>
          <w:rFonts w:ascii="Courier New"/>
          <w:w w:val="135"/>
          <w:sz w:val="14"/>
        </w:rPr>
        <w:t>+</w:t>
      </w:r>
      <w:r>
        <w:rPr>
          <w:rFonts w:ascii="Courier New"/>
          <w:spacing w:val="53"/>
          <w:w w:val="135"/>
          <w:sz w:val="14"/>
        </w:rPr>
        <w:t> </w:t>
      </w:r>
      <w:r>
        <w:rPr>
          <w:rFonts w:ascii="Courier New"/>
          <w:w w:val="135"/>
          <w:sz w:val="14"/>
        </w:rPr>
        <w:t>e[state,t]</w:t>
      </w:r>
    </w:p>
    <w:p>
      <w:pPr>
        <w:pStyle w:val="BodyText"/>
        <w:rPr>
          <w:rFonts w:ascii="Courier New"/>
          <w:sz w:val="13"/>
        </w:rPr>
      </w:pPr>
    </w:p>
    <w:p>
      <w:pPr>
        <w:spacing w:before="99" w:after="19"/>
        <w:ind w:left="1142" w:right="0" w:firstLine="0"/>
        <w:jc w:val="left"/>
        <w:rPr>
          <w:rFonts w:ascii="Courier New"/>
          <w:sz w:val="14"/>
        </w:rPr>
      </w:pPr>
      <w:r>
        <w:rPr>
          <w:rFonts w:ascii="Courier New"/>
          <w:w w:val="135"/>
          <w:sz w:val="14"/>
        </w:rPr>
        <w:t>Estimated </w:t>
      </w:r>
      <w:r>
        <w:rPr>
          <w:rFonts w:ascii="Courier New"/>
          <w:spacing w:val="10"/>
          <w:w w:val="135"/>
          <w:sz w:val="14"/>
        </w:rPr>
        <w:t> </w:t>
      </w:r>
      <w:r>
        <w:rPr>
          <w:rFonts w:ascii="Courier New"/>
          <w:w w:val="135"/>
          <w:sz w:val="14"/>
        </w:rPr>
        <w:t>results:</w:t>
      </w:r>
    </w:p>
    <w:p>
      <w:pPr>
        <w:pStyle w:val="BodyText"/>
        <w:ind w:left="2113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236.8pt;height:50pt;mso-position-horizontal-relative:char;mso-position-vertical-relative:line" coordorigin="0,0" coordsize="4736,1000">
            <v:shape style="position:absolute;left:0;top:202;width:1318;height:797" coordorigin="0,202" coordsize="1318,797" path="m1144,810l1144,999m1144,607l1144,797m1144,405l1144,595m0,291l104,291m122,291l225,291m243,291l347,291m364,291l468,291m485,291l590,291m606,291l711,291m728,291l832,291m849,291l953,291m971,291l1074,291m1092,291l1196,291m1144,202l1144,392m1213,291l1317,291e" filled="false" stroked="true" strokeweight=".755924pt" strokecolor="#000000">
              <v:path arrowok="t"/>
              <v:stroke dashstyle="solid"/>
            </v:shape>
            <v:line style="position:absolute" from="1335,291" to="4713,291" stroked="true" strokeweight=".638216pt" strokecolor="#000000">
              <v:stroke dashstyle="shortdash"/>
            </v:line>
            <v:line style="position:absolute" from="1144,0" to="1144,190" stroked="true" strokeweight=".873631pt" strokecolor="#000000">
              <v:stroke dashstyle="solid"/>
            </v:line>
            <v:shape style="position:absolute;left:2053;top:17;width:377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35"/>
                        <w:sz w:val="14"/>
                      </w:rPr>
                      <w:t>Var</w:t>
                    </w:r>
                  </w:p>
                </w:txbxContent>
              </v:textbox>
              <w10:wrap type="none"/>
            </v:shape>
            <v:shape style="position:absolute;left:3023;top:17;width:1712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35"/>
                        <w:sz w:val="14"/>
                      </w:rPr>
                      <w:t>sd</w:t>
                    </w:r>
                    <w:r>
                      <w:rPr>
                        <w:rFonts w:ascii="Courier New"/>
                        <w:spacing w:val="45"/>
                        <w:w w:val="135"/>
                        <w:sz w:val="14"/>
                      </w:rPr>
                      <w:t> </w:t>
                    </w:r>
                    <w:r>
                      <w:rPr>
                        <w:rFonts w:ascii="Courier New"/>
                        <w:w w:val="135"/>
                        <w:sz w:val="14"/>
                      </w:rPr>
                      <w:t>=</w:t>
                    </w:r>
                    <w:r>
                      <w:rPr>
                        <w:rFonts w:ascii="Courier New"/>
                        <w:spacing w:val="46"/>
                        <w:w w:val="135"/>
                        <w:sz w:val="14"/>
                      </w:rPr>
                      <w:t> </w:t>
                    </w:r>
                    <w:r>
                      <w:rPr>
                        <w:rFonts w:ascii="Courier New"/>
                        <w:w w:val="135"/>
                        <w:sz w:val="14"/>
                      </w:rPr>
                      <w:t>sqrt(Var)</w:t>
                    </w:r>
                  </w:p>
                </w:txbxContent>
              </v:textbox>
              <w10:wrap type="none"/>
            </v:shape>
            <v:shape style="position:absolute;left:113;top:421;width:863;height:563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18" w:firstLine="0"/>
                      <w:jc w:val="righ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35"/>
                        <w:sz w:val="14"/>
                      </w:rPr>
                      <w:t>illness</w:t>
                    </w:r>
                  </w:p>
                  <w:p>
                    <w:pPr>
                      <w:spacing w:line="200" w:lineRule="atLeast" w:before="2"/>
                      <w:ind w:left="638" w:right="18" w:firstLine="0"/>
                      <w:jc w:val="righ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35"/>
                        <w:sz w:val="14"/>
                      </w:rPr>
                      <w:t>e</w:t>
                    </w:r>
                    <w:r>
                      <w:rPr>
                        <w:rFonts w:ascii="Courier New"/>
                        <w:spacing w:val="-111"/>
                        <w:w w:val="135"/>
                        <w:sz w:val="14"/>
                      </w:rPr>
                      <w:t> </w:t>
                    </w:r>
                    <w:r>
                      <w:rPr>
                        <w:rFonts w:ascii="Courier New"/>
                        <w:w w:val="135"/>
                        <w:sz w:val="14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1568;top:421;width:984;height:563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35"/>
                        <w:sz w:val="14"/>
                      </w:rPr>
                      <w:t>.1220259</w:t>
                    </w:r>
                  </w:p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35"/>
                        <w:sz w:val="14"/>
                      </w:rPr>
                      <w:t>.1074952</w:t>
                    </w:r>
                  </w:p>
                  <w:p>
                    <w:pPr>
                      <w:spacing w:line="158" w:lineRule="exact" w:before="44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35"/>
                        <w:sz w:val="14"/>
                      </w:rPr>
                      <w:t>.0001953</w:t>
                    </w:r>
                  </w:p>
                </w:txbxContent>
              </v:textbox>
              <w10:wrap type="none"/>
            </v:shape>
            <v:shape style="position:absolute;left:3387;top:421;width:984;height:563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35"/>
                        <w:sz w:val="14"/>
                      </w:rPr>
                      <w:t>.3493221</w:t>
                    </w:r>
                  </w:p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35"/>
                        <w:sz w:val="14"/>
                      </w:rPr>
                      <w:t>.3278645</w:t>
                    </w:r>
                  </w:p>
                  <w:p>
                    <w:pPr>
                      <w:spacing w:line="158" w:lineRule="exact" w:before="44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35"/>
                        <w:sz w:val="14"/>
                      </w:rPr>
                      <w:t>.0139765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9"/>
        </w:rPr>
      </w:pPr>
    </w:p>
    <w:p>
      <w:pPr>
        <w:tabs>
          <w:tab w:pos="2112" w:val="left" w:leader="none"/>
        </w:tabs>
        <w:spacing w:before="100"/>
        <w:ind w:left="1142" w:right="0" w:firstLine="0"/>
        <w:jc w:val="left"/>
        <w:rPr>
          <w:rFonts w:ascii="Courier New"/>
          <w:sz w:val="14"/>
        </w:rPr>
      </w:pPr>
      <w:r>
        <w:rPr>
          <w:rFonts w:ascii="Courier New"/>
          <w:w w:val="135"/>
          <w:sz w:val="14"/>
        </w:rPr>
        <w:t>Test:</w:t>
        <w:tab/>
        <w:t>Var(u)</w:t>
      </w:r>
      <w:r>
        <w:rPr>
          <w:rFonts w:ascii="Courier New"/>
          <w:spacing w:val="34"/>
          <w:w w:val="135"/>
          <w:sz w:val="14"/>
        </w:rPr>
        <w:t> </w:t>
      </w:r>
      <w:r>
        <w:rPr>
          <w:rFonts w:ascii="Courier New"/>
          <w:w w:val="135"/>
          <w:sz w:val="14"/>
        </w:rPr>
        <w:t>=</w:t>
      </w:r>
      <w:r>
        <w:rPr>
          <w:rFonts w:ascii="Courier New"/>
          <w:spacing w:val="33"/>
          <w:w w:val="135"/>
          <w:sz w:val="14"/>
        </w:rPr>
        <w:t> </w:t>
      </w:r>
      <w:r>
        <w:rPr>
          <w:rFonts w:ascii="Courier New"/>
          <w:w w:val="135"/>
          <w:sz w:val="14"/>
        </w:rPr>
        <w:t>0</w:t>
      </w:r>
    </w:p>
    <w:p>
      <w:pPr>
        <w:tabs>
          <w:tab w:pos="5630" w:val="left" w:leader="none"/>
        </w:tabs>
        <w:spacing w:line="307" w:lineRule="auto" w:before="44"/>
        <w:ind w:left="3325" w:right="3567" w:firstLine="364"/>
        <w:jc w:val="left"/>
        <w:rPr>
          <w:rFonts w:ascii="Courier New"/>
          <w:sz w:val="14"/>
        </w:rPr>
      </w:pPr>
      <w:r>
        <w:rPr>
          <w:rFonts w:ascii="Courier New"/>
          <w:w w:val="135"/>
          <w:sz w:val="14"/>
        </w:rPr>
        <w:t>chibar2(01)</w:t>
      </w:r>
      <w:r>
        <w:rPr>
          <w:rFonts w:ascii="Courier New"/>
          <w:spacing w:val="75"/>
          <w:w w:val="135"/>
          <w:sz w:val="14"/>
        </w:rPr>
        <w:t> </w:t>
      </w:r>
      <w:r>
        <w:rPr>
          <w:rFonts w:ascii="Courier New"/>
          <w:w w:val="135"/>
          <w:sz w:val="14"/>
        </w:rPr>
        <w:t>=</w:t>
      </w:r>
      <w:r>
        <w:rPr>
          <w:rFonts w:ascii="Courier New"/>
          <w:spacing w:val="75"/>
          <w:w w:val="135"/>
          <w:sz w:val="14"/>
        </w:rPr>
        <w:t> </w:t>
      </w:r>
      <w:r>
        <w:rPr>
          <w:rFonts w:ascii="Courier New"/>
          <w:w w:val="135"/>
          <w:sz w:val="14"/>
        </w:rPr>
        <w:t>21144.93</w:t>
      </w:r>
      <w:r>
        <w:rPr>
          <w:rFonts w:ascii="Courier New"/>
          <w:spacing w:val="-111"/>
          <w:w w:val="135"/>
          <w:sz w:val="14"/>
        </w:rPr>
        <w:t> </w:t>
      </w:r>
      <w:r>
        <w:rPr>
          <w:rFonts w:ascii="Courier New"/>
          <w:w w:val="135"/>
          <w:sz w:val="14"/>
        </w:rPr>
        <w:t>Prob</w:t>
      </w:r>
      <w:r>
        <w:rPr>
          <w:rFonts w:ascii="Courier New"/>
          <w:spacing w:val="33"/>
          <w:w w:val="135"/>
          <w:sz w:val="14"/>
        </w:rPr>
        <w:t> </w:t>
      </w:r>
      <w:r>
        <w:rPr>
          <w:rFonts w:ascii="Courier New"/>
          <w:w w:val="135"/>
          <w:sz w:val="14"/>
        </w:rPr>
        <w:t>&gt;</w:t>
      </w:r>
      <w:r>
        <w:rPr>
          <w:rFonts w:ascii="Courier New"/>
          <w:spacing w:val="34"/>
          <w:w w:val="135"/>
          <w:sz w:val="14"/>
        </w:rPr>
        <w:t> </w:t>
      </w:r>
      <w:r>
        <w:rPr>
          <w:rFonts w:ascii="Courier New"/>
          <w:w w:val="135"/>
          <w:sz w:val="14"/>
        </w:rPr>
        <w:t>chibar2</w:t>
      </w:r>
      <w:r>
        <w:rPr>
          <w:rFonts w:ascii="Courier New"/>
          <w:spacing w:val="34"/>
          <w:w w:val="135"/>
          <w:sz w:val="14"/>
        </w:rPr>
        <w:t> </w:t>
      </w:r>
      <w:r>
        <w:rPr>
          <w:rFonts w:ascii="Courier New"/>
          <w:w w:val="135"/>
          <w:sz w:val="14"/>
        </w:rPr>
        <w:t>=</w:t>
        <w:tab/>
        <w:t>0.0000</w:t>
      </w:r>
    </w:p>
    <w:p>
      <w:pPr>
        <w:pStyle w:val="BodyText"/>
        <w:spacing w:before="159"/>
        <w:ind w:left="1082"/>
      </w:pPr>
      <w:r>
        <w:rPr/>
        <w:t>TABLE</w:t>
      </w:r>
      <w:r>
        <w:rPr>
          <w:spacing w:val="-2"/>
        </w:rPr>
        <w:t> </w:t>
      </w:r>
      <w:r>
        <w:rPr/>
        <w:t>G5:</w:t>
      </w:r>
      <w:r>
        <w:rPr>
          <w:spacing w:val="-2"/>
        </w:rPr>
        <w:t> </w:t>
      </w:r>
      <w:r>
        <w:rPr/>
        <w:t>HAUSMAN</w:t>
      </w:r>
      <w:r>
        <w:rPr>
          <w:spacing w:val="-2"/>
        </w:rPr>
        <w:t> </w:t>
      </w:r>
      <w:r>
        <w:rPr/>
        <w:t>SPECIFICATION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NGHPS</w:t>
      </w:r>
      <w:r>
        <w:rPr>
          <w:spacing w:val="-2"/>
        </w:rPr>
        <w:t> </w:t>
      </w:r>
      <w:r>
        <w:rPr/>
        <w:t>WAVES</w:t>
      </w:r>
    </w:p>
    <w:p>
      <w:pPr>
        <w:pStyle w:val="BodyText"/>
        <w:spacing w:before="1"/>
        <w:rPr>
          <w:sz w:val="10"/>
        </w:rPr>
      </w:pPr>
    </w:p>
    <w:p>
      <w:pPr>
        <w:spacing w:before="99" w:after="25"/>
        <w:ind w:left="2322" w:right="0" w:firstLine="0"/>
        <w:jc w:val="left"/>
        <w:rPr>
          <w:rFonts w:ascii="Courier New"/>
          <w:sz w:val="13"/>
        </w:rPr>
      </w:pPr>
      <w:r>
        <w:rPr/>
        <w:pict>
          <v:shape style="position:absolute;margin-left:157.905746pt;margin-top:8.301517pt;width:18.95pt;height:.1pt;mso-position-horizontal-relative:page;mso-position-vertical-relative:paragraph;z-index:15788032" coordorigin="3158,166" coordsize="379,0" path="m3158,166l3242,166m3256,166l3340,166m3354,166l3438,166m3452,166l3537,166e" filled="false" stroked="true" strokeweight=".649073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46.249969pt;margin-top:8.301517pt;width:18.95pt;height:.1pt;mso-position-horizontal-relative:page;mso-position-vertical-relative:paragraph;z-index:15788544" coordorigin="4925,166" coordsize="379,0" path="m4925,166l5009,166m5023,166l5108,166m5122,166l5206,166m5220,166l5304,166e" filled="false" stroked="true" strokeweight=".649073pt" strokecolor="#000000">
            <v:path arrowok="t"/>
            <v:stroke dashstyle="solid"/>
            <w10:wrap type="none"/>
          </v:shape>
        </w:pict>
      </w:r>
      <w:r>
        <w:rPr>
          <w:rFonts w:ascii="Courier New"/>
          <w:w w:val="120"/>
          <w:sz w:val="13"/>
        </w:rPr>
        <w:t>Coefficients</w:t>
      </w:r>
    </w:p>
    <w:tbl>
      <w:tblPr>
        <w:tblW w:w="0" w:type="auto"/>
        <w:jc w:val="left"/>
        <w:tblInd w:w="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1420"/>
        <w:gridCol w:w="1374"/>
        <w:gridCol w:w="1423"/>
        <w:gridCol w:w="2106"/>
      </w:tblGrid>
      <w:tr>
        <w:trPr>
          <w:trHeight w:val="449" w:hRule="atLeast"/>
        </w:trPr>
        <w:tc>
          <w:tcPr>
            <w:tcW w:w="1318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94" w:type="dxa"/>
            <w:gridSpan w:val="2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tabs>
                <w:tab w:pos="1913" w:val="left" w:leader="none"/>
              </w:tabs>
              <w:spacing w:before="15"/>
              <w:ind w:left="637"/>
              <w:jc w:val="left"/>
              <w:rPr>
                <w:sz w:val="13"/>
              </w:rPr>
            </w:pPr>
            <w:r>
              <w:rPr>
                <w:w w:val="120"/>
                <w:sz w:val="13"/>
              </w:rPr>
              <w:t>(b)</w:t>
              <w:tab/>
              <w:t>(B)</w:t>
            </w:r>
          </w:p>
          <w:p>
            <w:pPr>
              <w:pStyle w:val="TableParagraph"/>
              <w:tabs>
                <w:tab w:pos="2011" w:val="left" w:leader="none"/>
              </w:tabs>
              <w:spacing w:before="40"/>
              <w:ind w:left="735"/>
              <w:jc w:val="left"/>
              <w:rPr>
                <w:sz w:val="13"/>
              </w:rPr>
            </w:pPr>
            <w:r>
              <w:rPr>
                <w:w w:val="120"/>
                <w:sz w:val="13"/>
              </w:rPr>
              <w:t>fe</w:t>
              <w:tab/>
              <w:t>re</w:t>
            </w:r>
          </w:p>
        </w:tc>
        <w:tc>
          <w:tcPr>
            <w:tcW w:w="1423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15"/>
              <w:ind w:left="304" w:right="43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(b-B)</w:t>
            </w:r>
          </w:p>
          <w:p>
            <w:pPr>
              <w:pStyle w:val="TableParagraph"/>
              <w:spacing w:before="40"/>
              <w:ind w:left="304" w:right="14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Difference</w:t>
            </w:r>
          </w:p>
        </w:tc>
        <w:tc>
          <w:tcPr>
            <w:tcW w:w="210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line="304" w:lineRule="auto" w:before="15"/>
              <w:ind w:left="845" w:hanging="688"/>
              <w:jc w:val="left"/>
              <w:rPr>
                <w:sz w:val="13"/>
              </w:rPr>
            </w:pPr>
            <w:r>
              <w:rPr>
                <w:w w:val="120"/>
                <w:sz w:val="13"/>
              </w:rPr>
              <w:t>sqrt(diag(V_b-V_B))</w:t>
            </w:r>
            <w:r>
              <w:rPr>
                <w:spacing w:val="-9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S.E.</w:t>
            </w:r>
          </w:p>
        </w:tc>
      </w:tr>
      <w:tr>
        <w:trPr>
          <w:trHeight w:val="280" w:hRule="atLeast"/>
        </w:trPr>
        <w:tc>
          <w:tcPr>
            <w:tcW w:w="1318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2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familysize</w:t>
            </w:r>
          </w:p>
        </w:tc>
        <w:tc>
          <w:tcPr>
            <w:tcW w:w="1420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12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.0039184</w:t>
            </w:r>
          </w:p>
        </w:tc>
        <w:tc>
          <w:tcPr>
            <w:tcW w:w="1374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12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.003998</w:t>
            </w:r>
          </w:p>
        </w:tc>
        <w:tc>
          <w:tcPr>
            <w:tcW w:w="1423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12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-.0000795</w:t>
            </w:r>
          </w:p>
        </w:tc>
        <w:tc>
          <w:tcPr>
            <w:tcW w:w="2106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12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hungerandn~d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.045932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.0457048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.0002272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.0004047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gari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-.0078191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-.0081162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.000297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.0001522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rice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-.0469344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-.0464224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-.000512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.0002818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yamorcassa~r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-.1829267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-.1835649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.0006381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.0000789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beans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-.0148558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-.0148825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.0000267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.0002908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meatorfish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-.0001301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-.0001169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-.0000132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mosquitone~n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-.0605506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-.0608625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.0003118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nobasicedu~n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.1445293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.1455923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-.001063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primarycer~e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.0001904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.000502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-.0003117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.0000194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secondaryc~e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-.0258914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-.0257013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-.0001901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higherdegree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-.0913771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-.0913068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-.0000703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0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hadelectri~y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0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-.0085172</w:t>
            </w:r>
          </w:p>
        </w:tc>
        <w:tc>
          <w:tcPr>
            <w:tcW w:w="1374" w:type="dxa"/>
          </w:tcPr>
          <w:p>
            <w:pPr>
              <w:pStyle w:val="TableParagraph"/>
              <w:spacing w:before="20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-.0084421</w:t>
            </w:r>
          </w:p>
        </w:tc>
        <w:tc>
          <w:tcPr>
            <w:tcW w:w="1423" w:type="dxa"/>
          </w:tcPr>
          <w:p>
            <w:pPr>
              <w:pStyle w:val="TableParagraph"/>
              <w:spacing w:before="20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-.0000751</w:t>
            </w:r>
          </w:p>
        </w:tc>
        <w:tc>
          <w:tcPr>
            <w:tcW w:w="2106" w:type="dxa"/>
          </w:tcPr>
          <w:p>
            <w:pPr>
              <w:pStyle w:val="TableParagraph"/>
              <w:spacing w:before="20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noelectric~y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.0038081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.0036356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.0001725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pipebornew~r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-.0295207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-.0299119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.0003911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.0001188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boreholean~l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-.004076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-.0040421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-.0000339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.0000291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riverandsp~g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.1406367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.1412909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-.0006542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noaccessto~r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.0286839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.0281756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.0005083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.0003528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waterormod~e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-.0281634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-.028445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.0002816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pitorlatrine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-.0005467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-.0004515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-.0000952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.0000471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notoiletfa~y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.027668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.0274538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.0002142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alcoholicd~s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-.0000301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-.0000454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.0000153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.0000338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selfmedica~n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.0363698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.0371842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-.0008145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.0000885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seekingmed~e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-.0187611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-.0188258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.0000647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.0001616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otherhealt~e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-.0004229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-.0003851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-.0000379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wagesandsa~s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-.0124347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-.012401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-.0000338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.000071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entreprise~s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-.0023993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-.0024031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3.81e-06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.0000111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farmingcro~k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-.0414946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-.042475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.0009804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.0001398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remittances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-.0031222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-.0026962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-.000426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.0002829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monetaryan~s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-.0207743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-.0218835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.0011092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.0002834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0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pensionsan~s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0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.0011295</w:t>
            </w:r>
          </w:p>
        </w:tc>
        <w:tc>
          <w:tcPr>
            <w:tcW w:w="1374" w:type="dxa"/>
          </w:tcPr>
          <w:p>
            <w:pPr>
              <w:pStyle w:val="TableParagraph"/>
              <w:spacing w:before="20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.0008577</w:t>
            </w:r>
          </w:p>
        </w:tc>
        <w:tc>
          <w:tcPr>
            <w:tcW w:w="1423" w:type="dxa"/>
          </w:tcPr>
          <w:p>
            <w:pPr>
              <w:pStyle w:val="TableParagraph"/>
              <w:spacing w:before="20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.0002718</w:t>
            </w:r>
          </w:p>
        </w:tc>
        <w:tc>
          <w:tcPr>
            <w:tcW w:w="2106" w:type="dxa"/>
          </w:tcPr>
          <w:p>
            <w:pPr>
              <w:pStyle w:val="TableParagraph"/>
              <w:spacing w:before="20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.0002768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dividendan~n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.0142808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.0142443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.0000365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20"/>
                <w:sz w:val="13"/>
              </w:rPr>
              <w:t>.0005927</w:t>
            </w:r>
          </w:p>
        </w:tc>
      </w:tr>
      <w:tr>
        <w:trPr>
          <w:trHeight w:val="187" w:hRule="atLeast"/>
        </w:trPr>
        <w:tc>
          <w:tcPr>
            <w:tcW w:w="131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incomesfro~p</w:t>
            </w:r>
          </w:p>
        </w:tc>
        <w:tc>
          <w:tcPr>
            <w:tcW w:w="142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-.0014322</w:t>
            </w:r>
          </w:p>
        </w:tc>
        <w:tc>
          <w:tcPr>
            <w:tcW w:w="1374" w:type="dxa"/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-.0013987</w:t>
            </w:r>
          </w:p>
        </w:tc>
        <w:tc>
          <w:tcPr>
            <w:tcW w:w="1423" w:type="dxa"/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-.0000334</w:t>
            </w:r>
          </w:p>
        </w:tc>
        <w:tc>
          <w:tcPr>
            <w:tcW w:w="2106" w:type="dxa"/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  <w:tr>
        <w:trPr>
          <w:trHeight w:val="266" w:hRule="atLeast"/>
        </w:trPr>
        <w:tc>
          <w:tcPr>
            <w:tcW w:w="1318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9"/>
              <w:ind w:right="137"/>
              <w:rPr>
                <w:sz w:val="13"/>
              </w:rPr>
            </w:pPr>
            <w:r>
              <w:rPr>
                <w:w w:val="120"/>
                <w:sz w:val="13"/>
              </w:rPr>
              <w:t>ginicoeffi~t</w:t>
            </w:r>
          </w:p>
        </w:tc>
        <w:tc>
          <w:tcPr>
            <w:tcW w:w="1420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9"/>
              <w:ind w:right="190"/>
              <w:rPr>
                <w:sz w:val="13"/>
              </w:rPr>
            </w:pPr>
            <w:r>
              <w:rPr>
                <w:w w:val="120"/>
                <w:sz w:val="13"/>
              </w:rPr>
              <w:t>.0144032</w:t>
            </w:r>
          </w:p>
        </w:tc>
        <w:tc>
          <w:tcPr>
            <w:tcW w:w="1374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19"/>
              <w:ind w:right="287"/>
              <w:rPr>
                <w:sz w:val="13"/>
              </w:rPr>
            </w:pPr>
            <w:r>
              <w:rPr>
                <w:w w:val="120"/>
                <w:sz w:val="13"/>
              </w:rPr>
              <w:t>.013586</w:t>
            </w:r>
          </w:p>
        </w:tc>
        <w:tc>
          <w:tcPr>
            <w:tcW w:w="1423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19"/>
              <w:ind w:right="139"/>
              <w:rPr>
                <w:sz w:val="13"/>
              </w:rPr>
            </w:pPr>
            <w:r>
              <w:rPr>
                <w:w w:val="120"/>
                <w:sz w:val="13"/>
              </w:rPr>
              <w:t>.0008172</w:t>
            </w:r>
          </w:p>
        </w:tc>
        <w:tc>
          <w:tcPr>
            <w:tcW w:w="210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19"/>
              <w:ind w:right="675"/>
              <w:rPr>
                <w:sz w:val="13"/>
              </w:rPr>
            </w:pPr>
            <w:r>
              <w:rPr>
                <w:w w:val="118"/>
                <w:sz w:val="13"/>
              </w:rPr>
              <w:t>.</w:t>
            </w:r>
          </w:p>
        </w:tc>
      </w:tr>
    </w:tbl>
    <w:p>
      <w:pPr>
        <w:spacing w:line="304" w:lineRule="auto" w:before="114"/>
        <w:ind w:left="1340" w:right="2056" w:firstLine="1472"/>
        <w:jc w:val="left"/>
        <w:rPr>
          <w:rFonts w:ascii="Courier New"/>
          <w:sz w:val="13"/>
        </w:rPr>
      </w:pPr>
      <w:r>
        <w:rPr>
          <w:rFonts w:ascii="Courier New"/>
          <w:w w:val="120"/>
          <w:sz w:val="13"/>
        </w:rPr>
        <w:t>b</w:t>
      </w:r>
      <w:r>
        <w:rPr>
          <w:rFonts w:ascii="Courier New"/>
          <w:spacing w:val="22"/>
          <w:w w:val="120"/>
          <w:sz w:val="13"/>
        </w:rPr>
        <w:t> </w:t>
      </w:r>
      <w:r>
        <w:rPr>
          <w:rFonts w:ascii="Courier New"/>
          <w:w w:val="120"/>
          <w:sz w:val="13"/>
        </w:rPr>
        <w:t>=</w:t>
      </w:r>
      <w:r>
        <w:rPr>
          <w:rFonts w:ascii="Courier New"/>
          <w:spacing w:val="22"/>
          <w:w w:val="120"/>
          <w:sz w:val="13"/>
        </w:rPr>
        <w:t> </w:t>
      </w:r>
      <w:r>
        <w:rPr>
          <w:rFonts w:ascii="Courier New"/>
          <w:w w:val="120"/>
          <w:sz w:val="13"/>
        </w:rPr>
        <w:t>consistent</w:t>
      </w:r>
      <w:r>
        <w:rPr>
          <w:rFonts w:ascii="Courier New"/>
          <w:spacing w:val="23"/>
          <w:w w:val="120"/>
          <w:sz w:val="13"/>
        </w:rPr>
        <w:t> </w:t>
      </w:r>
      <w:r>
        <w:rPr>
          <w:rFonts w:ascii="Courier New"/>
          <w:w w:val="120"/>
          <w:sz w:val="13"/>
        </w:rPr>
        <w:t>under</w:t>
      </w:r>
      <w:r>
        <w:rPr>
          <w:rFonts w:ascii="Courier New"/>
          <w:spacing w:val="24"/>
          <w:w w:val="120"/>
          <w:sz w:val="13"/>
        </w:rPr>
        <w:t> </w:t>
      </w:r>
      <w:r>
        <w:rPr>
          <w:rFonts w:ascii="Courier New"/>
          <w:w w:val="120"/>
          <w:sz w:val="13"/>
        </w:rPr>
        <w:t>Ho</w:t>
      </w:r>
      <w:r>
        <w:rPr>
          <w:rFonts w:ascii="Courier New"/>
          <w:spacing w:val="22"/>
          <w:w w:val="120"/>
          <w:sz w:val="13"/>
        </w:rPr>
        <w:t> </w:t>
      </w:r>
      <w:r>
        <w:rPr>
          <w:rFonts w:ascii="Courier New"/>
          <w:w w:val="120"/>
          <w:sz w:val="13"/>
        </w:rPr>
        <w:t>and</w:t>
      </w:r>
      <w:r>
        <w:rPr>
          <w:rFonts w:ascii="Courier New"/>
          <w:spacing w:val="22"/>
          <w:w w:val="120"/>
          <w:sz w:val="13"/>
        </w:rPr>
        <w:t> </w:t>
      </w:r>
      <w:r>
        <w:rPr>
          <w:rFonts w:ascii="Courier New"/>
          <w:w w:val="120"/>
          <w:sz w:val="13"/>
        </w:rPr>
        <w:t>Ha;</w:t>
      </w:r>
      <w:r>
        <w:rPr>
          <w:rFonts w:ascii="Courier New"/>
          <w:spacing w:val="22"/>
          <w:w w:val="120"/>
          <w:sz w:val="13"/>
        </w:rPr>
        <w:t> </w:t>
      </w:r>
      <w:r>
        <w:rPr>
          <w:rFonts w:ascii="Courier New"/>
          <w:w w:val="120"/>
          <w:sz w:val="13"/>
        </w:rPr>
        <w:t>obtained</w:t>
      </w:r>
      <w:r>
        <w:rPr>
          <w:rFonts w:ascii="Courier New"/>
          <w:spacing w:val="24"/>
          <w:w w:val="120"/>
          <w:sz w:val="13"/>
        </w:rPr>
        <w:t> </w:t>
      </w:r>
      <w:r>
        <w:rPr>
          <w:rFonts w:ascii="Courier New"/>
          <w:w w:val="120"/>
          <w:sz w:val="13"/>
        </w:rPr>
        <w:t>from</w:t>
      </w:r>
      <w:r>
        <w:rPr>
          <w:rFonts w:ascii="Courier New"/>
          <w:spacing w:val="23"/>
          <w:w w:val="120"/>
          <w:sz w:val="13"/>
        </w:rPr>
        <w:t> </w:t>
      </w:r>
      <w:r>
        <w:rPr>
          <w:rFonts w:ascii="Courier New"/>
          <w:w w:val="120"/>
          <w:sz w:val="13"/>
        </w:rPr>
        <w:t>xtreg</w:t>
      </w:r>
      <w:r>
        <w:rPr>
          <w:rFonts w:ascii="Courier New"/>
          <w:spacing w:val="-91"/>
          <w:w w:val="120"/>
          <w:sz w:val="13"/>
        </w:rPr>
        <w:t> </w:t>
      </w:r>
      <w:r>
        <w:rPr>
          <w:rFonts w:ascii="Courier New"/>
          <w:w w:val="120"/>
          <w:sz w:val="13"/>
        </w:rPr>
        <w:t>B</w:t>
      </w:r>
      <w:r>
        <w:rPr>
          <w:rFonts w:ascii="Courier New"/>
          <w:spacing w:val="26"/>
          <w:w w:val="120"/>
          <w:sz w:val="13"/>
        </w:rPr>
        <w:t> </w:t>
      </w:r>
      <w:r>
        <w:rPr>
          <w:rFonts w:ascii="Courier New"/>
          <w:w w:val="120"/>
          <w:sz w:val="13"/>
        </w:rPr>
        <w:t>=</w:t>
      </w:r>
      <w:r>
        <w:rPr>
          <w:rFonts w:ascii="Courier New"/>
          <w:spacing w:val="26"/>
          <w:w w:val="120"/>
          <w:sz w:val="13"/>
        </w:rPr>
        <w:t> </w:t>
      </w:r>
      <w:r>
        <w:rPr>
          <w:rFonts w:ascii="Courier New"/>
          <w:w w:val="120"/>
          <w:sz w:val="13"/>
        </w:rPr>
        <w:t>inconsistent</w:t>
      </w:r>
      <w:r>
        <w:rPr>
          <w:rFonts w:ascii="Courier New"/>
          <w:spacing w:val="26"/>
          <w:w w:val="120"/>
          <w:sz w:val="13"/>
        </w:rPr>
        <w:t> </w:t>
      </w:r>
      <w:r>
        <w:rPr>
          <w:rFonts w:ascii="Courier New"/>
          <w:w w:val="120"/>
          <w:sz w:val="13"/>
        </w:rPr>
        <w:t>under</w:t>
      </w:r>
      <w:r>
        <w:rPr>
          <w:rFonts w:ascii="Courier New"/>
          <w:spacing w:val="26"/>
          <w:w w:val="120"/>
          <w:sz w:val="13"/>
        </w:rPr>
        <w:t> </w:t>
      </w:r>
      <w:r>
        <w:rPr>
          <w:rFonts w:ascii="Courier New"/>
          <w:w w:val="120"/>
          <w:sz w:val="13"/>
        </w:rPr>
        <w:t>Ha,</w:t>
      </w:r>
      <w:r>
        <w:rPr>
          <w:rFonts w:ascii="Courier New"/>
          <w:spacing w:val="26"/>
          <w:w w:val="120"/>
          <w:sz w:val="13"/>
        </w:rPr>
        <w:t> </w:t>
      </w:r>
      <w:r>
        <w:rPr>
          <w:rFonts w:ascii="Courier New"/>
          <w:w w:val="120"/>
          <w:sz w:val="13"/>
        </w:rPr>
        <w:t>efficient</w:t>
      </w:r>
      <w:r>
        <w:rPr>
          <w:rFonts w:ascii="Courier New"/>
          <w:spacing w:val="26"/>
          <w:w w:val="120"/>
          <w:sz w:val="13"/>
        </w:rPr>
        <w:t> </w:t>
      </w:r>
      <w:r>
        <w:rPr>
          <w:rFonts w:ascii="Courier New"/>
          <w:w w:val="120"/>
          <w:sz w:val="13"/>
        </w:rPr>
        <w:t>under</w:t>
      </w:r>
      <w:r>
        <w:rPr>
          <w:rFonts w:ascii="Courier New"/>
          <w:spacing w:val="26"/>
          <w:w w:val="120"/>
          <w:sz w:val="13"/>
        </w:rPr>
        <w:t> </w:t>
      </w:r>
      <w:r>
        <w:rPr>
          <w:rFonts w:ascii="Courier New"/>
          <w:w w:val="120"/>
          <w:sz w:val="13"/>
        </w:rPr>
        <w:t>Ho;</w:t>
      </w:r>
      <w:r>
        <w:rPr>
          <w:rFonts w:ascii="Courier New"/>
          <w:spacing w:val="26"/>
          <w:w w:val="120"/>
          <w:sz w:val="13"/>
        </w:rPr>
        <w:t> </w:t>
      </w:r>
      <w:r>
        <w:rPr>
          <w:rFonts w:ascii="Courier New"/>
          <w:w w:val="120"/>
          <w:sz w:val="13"/>
        </w:rPr>
        <w:t>obtained</w:t>
      </w:r>
      <w:r>
        <w:rPr>
          <w:rFonts w:ascii="Courier New"/>
          <w:spacing w:val="27"/>
          <w:w w:val="120"/>
          <w:sz w:val="13"/>
        </w:rPr>
        <w:t> </w:t>
      </w:r>
      <w:r>
        <w:rPr>
          <w:rFonts w:ascii="Courier New"/>
          <w:w w:val="120"/>
          <w:sz w:val="13"/>
        </w:rPr>
        <w:t>from</w:t>
      </w:r>
      <w:r>
        <w:rPr>
          <w:rFonts w:ascii="Courier New"/>
          <w:spacing w:val="27"/>
          <w:w w:val="120"/>
          <w:sz w:val="13"/>
        </w:rPr>
        <w:t> </w:t>
      </w:r>
      <w:r>
        <w:rPr>
          <w:rFonts w:ascii="Courier New"/>
          <w:w w:val="120"/>
          <w:sz w:val="13"/>
        </w:rPr>
        <w:t>xtreg</w:t>
      </w:r>
    </w:p>
    <w:p>
      <w:pPr>
        <w:pStyle w:val="BodyText"/>
        <w:spacing w:before="7"/>
        <w:rPr>
          <w:rFonts w:ascii="Courier New"/>
          <w:sz w:val="16"/>
        </w:rPr>
      </w:pPr>
    </w:p>
    <w:p>
      <w:pPr>
        <w:tabs>
          <w:tab w:pos="1241" w:val="left" w:leader="none"/>
          <w:tab w:pos="1732" w:val="left" w:leader="none"/>
        </w:tabs>
        <w:spacing w:before="0"/>
        <w:ind w:left="554" w:right="0" w:firstLine="0"/>
        <w:jc w:val="left"/>
        <w:rPr>
          <w:rFonts w:ascii="Courier New"/>
          <w:sz w:val="13"/>
        </w:rPr>
      </w:pPr>
      <w:r>
        <w:rPr>
          <w:rFonts w:ascii="Courier New"/>
          <w:w w:val="120"/>
          <w:sz w:val="13"/>
        </w:rPr>
        <w:t>Test:</w:t>
        <w:tab/>
        <w:t>Ho:</w:t>
        <w:tab/>
        <w:t>difference</w:t>
      </w:r>
      <w:r>
        <w:rPr>
          <w:rFonts w:ascii="Courier New"/>
          <w:spacing w:val="38"/>
          <w:w w:val="120"/>
          <w:sz w:val="13"/>
        </w:rPr>
        <w:t> </w:t>
      </w:r>
      <w:r>
        <w:rPr>
          <w:rFonts w:ascii="Courier New"/>
          <w:w w:val="120"/>
          <w:sz w:val="13"/>
        </w:rPr>
        <w:t>in</w:t>
      </w:r>
      <w:r>
        <w:rPr>
          <w:rFonts w:ascii="Courier New"/>
          <w:spacing w:val="37"/>
          <w:w w:val="120"/>
          <w:sz w:val="13"/>
        </w:rPr>
        <w:t> </w:t>
      </w:r>
      <w:r>
        <w:rPr>
          <w:rFonts w:ascii="Courier New"/>
          <w:w w:val="120"/>
          <w:sz w:val="13"/>
        </w:rPr>
        <w:t>coefficients</w:t>
      </w:r>
      <w:r>
        <w:rPr>
          <w:rFonts w:ascii="Courier New"/>
          <w:spacing w:val="39"/>
          <w:w w:val="120"/>
          <w:sz w:val="13"/>
        </w:rPr>
        <w:t> </w:t>
      </w:r>
      <w:r>
        <w:rPr>
          <w:rFonts w:ascii="Courier New"/>
          <w:w w:val="120"/>
          <w:sz w:val="13"/>
        </w:rPr>
        <w:t>not</w:t>
      </w:r>
      <w:r>
        <w:rPr>
          <w:rFonts w:ascii="Courier New"/>
          <w:spacing w:val="38"/>
          <w:w w:val="120"/>
          <w:sz w:val="13"/>
        </w:rPr>
        <w:t> </w:t>
      </w:r>
      <w:r>
        <w:rPr>
          <w:rFonts w:ascii="Courier New"/>
          <w:w w:val="120"/>
          <w:sz w:val="13"/>
        </w:rPr>
        <w:t>systematic</w:t>
      </w:r>
    </w:p>
    <w:p>
      <w:pPr>
        <w:pStyle w:val="BodyText"/>
        <w:spacing w:before="3"/>
        <w:rPr>
          <w:rFonts w:ascii="Courier New"/>
          <w:sz w:val="11"/>
        </w:rPr>
      </w:pPr>
    </w:p>
    <w:p>
      <w:pPr>
        <w:spacing w:before="100"/>
        <w:ind w:left="1831" w:right="0" w:firstLine="0"/>
        <w:jc w:val="left"/>
        <w:rPr>
          <w:rFonts w:ascii="Courier New"/>
          <w:sz w:val="13"/>
        </w:rPr>
      </w:pPr>
      <w:r>
        <w:rPr>
          <w:rFonts w:ascii="Courier New"/>
          <w:w w:val="120"/>
          <w:sz w:val="13"/>
        </w:rPr>
        <w:t>chi2(34)</w:t>
      </w:r>
      <w:r>
        <w:rPr>
          <w:rFonts w:ascii="Courier New"/>
          <w:spacing w:val="63"/>
          <w:w w:val="120"/>
          <w:sz w:val="13"/>
        </w:rPr>
        <w:t> </w:t>
      </w:r>
      <w:r>
        <w:rPr>
          <w:rFonts w:ascii="Courier New"/>
          <w:w w:val="120"/>
          <w:sz w:val="13"/>
        </w:rPr>
        <w:t>=</w:t>
      </w:r>
      <w:r>
        <w:rPr>
          <w:rFonts w:ascii="Courier New"/>
          <w:spacing w:val="65"/>
          <w:w w:val="120"/>
          <w:sz w:val="13"/>
        </w:rPr>
        <w:t> </w:t>
      </w:r>
      <w:r>
        <w:rPr>
          <w:rFonts w:ascii="Courier New"/>
          <w:w w:val="120"/>
          <w:sz w:val="13"/>
        </w:rPr>
        <w:t>(b-B)'[(V_b-V_B)^(-1)](b-B)</w:t>
      </w:r>
    </w:p>
    <w:p>
      <w:pPr>
        <w:tabs>
          <w:tab w:pos="3598" w:val="left" w:leader="none"/>
        </w:tabs>
        <w:spacing w:before="40"/>
        <w:ind w:left="2714" w:right="0" w:firstLine="0"/>
        <w:jc w:val="left"/>
        <w:rPr>
          <w:rFonts w:ascii="Courier New"/>
          <w:sz w:val="13"/>
        </w:rPr>
      </w:pPr>
      <w:r>
        <w:rPr>
          <w:rFonts w:ascii="Courier New"/>
          <w:w w:val="120"/>
          <w:sz w:val="13"/>
        </w:rPr>
        <w:t>=</w:t>
        <w:tab/>
        <w:t>6.18</w:t>
      </w:r>
    </w:p>
    <w:p>
      <w:pPr>
        <w:tabs>
          <w:tab w:pos="3401" w:val="left" w:leader="none"/>
        </w:tabs>
        <w:spacing w:before="40"/>
        <w:ind w:left="1732" w:right="0" w:firstLine="0"/>
        <w:jc w:val="left"/>
        <w:rPr>
          <w:rFonts w:ascii="Courier New"/>
          <w:sz w:val="13"/>
        </w:rPr>
      </w:pPr>
      <w:r>
        <w:rPr>
          <w:rFonts w:ascii="Courier New"/>
          <w:w w:val="120"/>
          <w:sz w:val="13"/>
        </w:rPr>
        <w:t>Prob&gt;chi2</w:t>
      </w:r>
      <w:r>
        <w:rPr>
          <w:rFonts w:ascii="Courier New"/>
          <w:spacing w:val="27"/>
          <w:w w:val="120"/>
          <w:sz w:val="13"/>
        </w:rPr>
        <w:t> </w:t>
      </w:r>
      <w:r>
        <w:rPr>
          <w:rFonts w:ascii="Courier New"/>
          <w:w w:val="120"/>
          <w:sz w:val="13"/>
        </w:rPr>
        <w:t>=</w:t>
        <w:tab/>
        <w:t>1.0000</w:t>
      </w:r>
    </w:p>
    <w:p>
      <w:pPr>
        <w:spacing w:after="0"/>
        <w:jc w:val="left"/>
        <w:rPr>
          <w:rFonts w:ascii="Courier New"/>
          <w:sz w:val="13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943"/>
      </w:pPr>
      <w:r>
        <w:rPr/>
        <w:pict>
          <v:shape style="position:absolute;margin-left:71.481812pt;margin-top:29.734877pt;width:366.35pt;height:19.1pt;mso-position-horizontal-relative:page;mso-position-vertical-relative:paragraph;z-index:15789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03"/>
                    <w:gridCol w:w="2318"/>
                    <w:gridCol w:w="464"/>
                    <w:gridCol w:w="743"/>
                  </w:tblGrid>
                  <w:tr>
                    <w:trPr>
                      <w:trHeight w:val="190" w:hRule="atLeast"/>
                    </w:trPr>
                    <w:tc>
                      <w:tcPr>
                        <w:tcW w:w="3803" w:type="dxa"/>
                      </w:tcPr>
                      <w:p>
                        <w:pPr>
                          <w:pStyle w:val="TableParagraph"/>
                          <w:spacing w:before="6"/>
                          <w:ind w:left="5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Mixed-effects</w:t>
                        </w:r>
                        <w:r>
                          <w:rPr>
                            <w:spacing w:val="5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logistic</w:t>
                        </w:r>
                        <w:r>
                          <w:rPr>
                            <w:spacing w:val="5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regression</w:t>
                        </w:r>
                      </w:p>
                    </w:tc>
                    <w:tc>
                      <w:tcPr>
                        <w:tcW w:w="2318" w:type="dxa"/>
                      </w:tcPr>
                      <w:p>
                        <w:pPr>
                          <w:pStyle w:val="TableParagraph"/>
                          <w:spacing w:before="6"/>
                          <w:ind w:left="69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Number</w:t>
                        </w:r>
                        <w:r>
                          <w:rPr>
                            <w:spacing w:val="2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2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obs</w:t>
                        </w: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spacing w:before="6"/>
                          <w:ind w:left="14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4"/>
                            <w:sz w:val="14"/>
                          </w:rPr>
                          <w:t>=</w:t>
                        </w: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before="6"/>
                          <w:ind w:right="49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71410</w:t>
                        </w:r>
                      </w:p>
                    </w:tc>
                  </w:tr>
                  <w:tr>
                    <w:trPr>
                      <w:trHeight w:val="190" w:hRule="atLeast"/>
                    </w:trPr>
                    <w:tc>
                      <w:tcPr>
                        <w:tcW w:w="3803" w:type="dxa"/>
                      </w:tcPr>
                      <w:p>
                        <w:pPr>
                          <w:pStyle w:val="TableParagraph"/>
                          <w:spacing w:line="141" w:lineRule="exact" w:before="30"/>
                          <w:ind w:left="5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Group</w:t>
                        </w:r>
                        <w:r>
                          <w:rPr>
                            <w:spacing w:val="4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variable:</w:t>
                        </w:r>
                        <w:r>
                          <w:rPr>
                            <w:spacing w:val="5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ginicoeffici~t</w:t>
                        </w:r>
                      </w:p>
                    </w:tc>
                    <w:tc>
                      <w:tcPr>
                        <w:tcW w:w="2318" w:type="dxa"/>
                      </w:tcPr>
                      <w:p>
                        <w:pPr>
                          <w:pStyle w:val="TableParagraph"/>
                          <w:spacing w:line="141" w:lineRule="exact" w:before="30"/>
                          <w:ind w:left="69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Number</w:t>
                        </w:r>
                        <w:r>
                          <w:rPr>
                            <w:spacing w:val="2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spacing w:val="2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groups</w:t>
                        </w: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spacing w:line="141" w:lineRule="exact" w:before="30"/>
                          <w:ind w:left="14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4"/>
                            <w:sz w:val="14"/>
                          </w:rPr>
                          <w:t>=</w:t>
                        </w: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spacing w:line="141" w:lineRule="exact" w:before="30"/>
                          <w:ind w:right="49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G6:</w:t>
      </w:r>
      <w:r>
        <w:rPr>
          <w:spacing w:val="-2"/>
        </w:rPr>
        <w:t> </w:t>
      </w:r>
      <w:r>
        <w:rPr/>
        <w:t>MULTILEVEL</w:t>
      </w:r>
      <w:r>
        <w:rPr>
          <w:spacing w:val="-4"/>
        </w:rPr>
        <w:t> </w:t>
      </w:r>
      <w:r>
        <w:rPr/>
        <w:t>LOGIT</w:t>
      </w:r>
      <w:r>
        <w:rPr>
          <w:spacing w:val="-2"/>
        </w:rPr>
        <w:t> </w:t>
      </w:r>
      <w:r>
        <w:rPr/>
        <w:t>ESTIMATIONS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NGHPS WAVES</w:t>
      </w:r>
    </w:p>
    <w:p>
      <w:pPr>
        <w:tabs>
          <w:tab w:pos="7385" w:val="right" w:leader="none"/>
        </w:tabs>
        <w:spacing w:before="897"/>
        <w:ind w:left="4610" w:right="0" w:firstLine="0"/>
        <w:jc w:val="left"/>
        <w:rPr>
          <w:rFonts w:ascii="Courier New"/>
          <w:sz w:val="14"/>
        </w:rPr>
      </w:pPr>
      <w:r>
        <w:rPr>
          <w:rFonts w:ascii="Courier New"/>
          <w:w w:val="105"/>
          <w:sz w:val="14"/>
        </w:rPr>
        <w:t>Obs</w:t>
      </w:r>
      <w:r>
        <w:rPr>
          <w:rFonts w:ascii="Courier New"/>
          <w:spacing w:val="13"/>
          <w:w w:val="105"/>
          <w:sz w:val="14"/>
        </w:rPr>
        <w:t> </w:t>
      </w:r>
      <w:r>
        <w:rPr>
          <w:rFonts w:ascii="Courier New"/>
          <w:w w:val="105"/>
          <w:sz w:val="14"/>
        </w:rPr>
        <w:t>per</w:t>
      </w:r>
      <w:r>
        <w:rPr>
          <w:rFonts w:ascii="Courier New"/>
          <w:spacing w:val="12"/>
          <w:w w:val="105"/>
          <w:sz w:val="14"/>
        </w:rPr>
        <w:t> </w:t>
      </w:r>
      <w:r>
        <w:rPr>
          <w:rFonts w:ascii="Courier New"/>
          <w:w w:val="105"/>
          <w:sz w:val="14"/>
        </w:rPr>
        <w:t>group:</w:t>
      </w:r>
      <w:r>
        <w:rPr>
          <w:rFonts w:ascii="Courier New"/>
          <w:spacing w:val="13"/>
          <w:w w:val="105"/>
          <w:sz w:val="14"/>
        </w:rPr>
        <w:t> </w:t>
      </w:r>
      <w:r>
        <w:rPr>
          <w:rFonts w:ascii="Courier New"/>
          <w:w w:val="105"/>
          <w:sz w:val="14"/>
        </w:rPr>
        <w:t>min</w:t>
      </w:r>
      <w:r>
        <w:rPr>
          <w:rFonts w:ascii="Courier New"/>
          <w:spacing w:val="12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  <w:tab/>
        <w:t>1</w:t>
      </w:r>
    </w:p>
    <w:p>
      <w:pPr>
        <w:tabs>
          <w:tab w:pos="6834" w:val="left" w:leader="none"/>
        </w:tabs>
        <w:spacing w:before="55"/>
        <w:ind w:left="6000" w:right="0" w:firstLine="0"/>
        <w:jc w:val="left"/>
        <w:rPr>
          <w:rFonts w:ascii="Courier New"/>
          <w:sz w:val="14"/>
        </w:rPr>
      </w:pPr>
      <w:r>
        <w:rPr>
          <w:rFonts w:ascii="Courier New"/>
          <w:w w:val="105"/>
          <w:sz w:val="14"/>
        </w:rPr>
        <w:t>avg</w:t>
      </w:r>
      <w:r>
        <w:rPr>
          <w:rFonts w:ascii="Courier New"/>
          <w:spacing w:val="12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  <w:tab/>
        <w:t>7141.0</w:t>
      </w:r>
    </w:p>
    <w:p>
      <w:pPr>
        <w:tabs>
          <w:tab w:pos="7385" w:val="right" w:leader="none"/>
        </w:tabs>
        <w:spacing w:before="56"/>
        <w:ind w:left="6000" w:right="0" w:firstLine="0"/>
        <w:jc w:val="left"/>
        <w:rPr>
          <w:rFonts w:ascii="Courier New"/>
          <w:sz w:val="14"/>
        </w:rPr>
      </w:pPr>
      <w:r>
        <w:rPr>
          <w:rFonts w:ascii="Courier New"/>
          <w:w w:val="105"/>
          <w:sz w:val="14"/>
        </w:rPr>
        <w:t>max</w:t>
      </w:r>
      <w:r>
        <w:rPr>
          <w:rFonts w:ascii="Courier New"/>
          <w:spacing w:val="12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  <w:tab/>
        <w:t>37614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tabs>
          <w:tab w:pos="2292" w:val="left" w:leader="none"/>
          <w:tab w:pos="4610" w:val="left" w:leader="none"/>
          <w:tab w:pos="6371" w:val="left" w:leader="none"/>
          <w:tab w:pos="6742" w:val="left" w:leader="none"/>
        </w:tabs>
        <w:spacing w:before="1"/>
        <w:ind w:left="159" w:right="0" w:firstLine="0"/>
        <w:jc w:val="left"/>
        <w:rPr>
          <w:rFonts w:ascii="Courier New"/>
          <w:sz w:val="14"/>
        </w:rPr>
      </w:pPr>
      <w:r>
        <w:rPr>
          <w:rFonts w:ascii="Courier New"/>
          <w:w w:val="105"/>
          <w:sz w:val="14"/>
        </w:rPr>
        <w:t>Integration</w:t>
      </w:r>
      <w:r>
        <w:rPr>
          <w:rFonts w:ascii="Courier New"/>
          <w:spacing w:val="31"/>
          <w:w w:val="105"/>
          <w:sz w:val="14"/>
        </w:rPr>
        <w:t> </w:t>
      </w:r>
      <w:r>
        <w:rPr>
          <w:rFonts w:ascii="Courier New"/>
          <w:w w:val="105"/>
          <w:sz w:val="14"/>
        </w:rPr>
        <w:t>points</w:t>
      </w:r>
      <w:r>
        <w:rPr>
          <w:rFonts w:ascii="Courier New"/>
          <w:spacing w:val="30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  <w:tab/>
        <w:t>7</w:t>
        <w:tab/>
        <w:t>Wald</w:t>
      </w:r>
      <w:r>
        <w:rPr>
          <w:rFonts w:ascii="Courier New"/>
          <w:spacing w:val="32"/>
          <w:w w:val="105"/>
          <w:sz w:val="14"/>
        </w:rPr>
        <w:t> </w:t>
      </w:r>
      <w:r>
        <w:rPr>
          <w:rFonts w:ascii="Courier New"/>
          <w:w w:val="105"/>
          <w:sz w:val="14"/>
        </w:rPr>
        <w:t>chi2(33)</w:t>
        <w:tab/>
        <w:t>=</w:t>
        <w:tab/>
        <w:t>5558.01</w:t>
      </w:r>
    </w:p>
    <w:p>
      <w:pPr>
        <w:tabs>
          <w:tab w:pos="4610" w:val="left" w:leader="none"/>
          <w:tab w:pos="6371" w:val="left" w:leader="none"/>
          <w:tab w:pos="6834" w:val="left" w:leader="none"/>
        </w:tabs>
        <w:spacing w:before="56"/>
        <w:ind w:left="159" w:right="0" w:firstLine="0"/>
        <w:jc w:val="left"/>
        <w:rPr>
          <w:rFonts w:ascii="Courier New"/>
          <w:sz w:val="14"/>
        </w:rPr>
      </w:pPr>
      <w:r>
        <w:rPr>
          <w:rFonts w:ascii="Courier New"/>
          <w:w w:val="105"/>
          <w:sz w:val="14"/>
        </w:rPr>
        <w:t>Log</w:t>
      </w:r>
      <w:r>
        <w:rPr>
          <w:rFonts w:ascii="Courier New"/>
          <w:spacing w:val="29"/>
          <w:w w:val="105"/>
          <w:sz w:val="14"/>
        </w:rPr>
        <w:t> </w:t>
      </w:r>
      <w:r>
        <w:rPr>
          <w:rFonts w:ascii="Courier New"/>
          <w:w w:val="105"/>
          <w:sz w:val="14"/>
        </w:rPr>
        <w:t>likelihood</w:t>
      </w:r>
      <w:r>
        <w:rPr>
          <w:rFonts w:ascii="Courier New"/>
          <w:spacing w:val="30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</w:r>
      <w:r>
        <w:rPr>
          <w:rFonts w:ascii="Courier New"/>
          <w:spacing w:val="31"/>
          <w:w w:val="105"/>
          <w:sz w:val="14"/>
        </w:rPr>
        <w:t> </w:t>
      </w:r>
      <w:r>
        <w:rPr>
          <w:rFonts w:ascii="Courier New"/>
          <w:w w:val="105"/>
          <w:sz w:val="14"/>
        </w:rPr>
        <w:t>-25974.425</w:t>
        <w:tab/>
        <w:t>Prob</w:t>
      </w:r>
      <w:r>
        <w:rPr>
          <w:rFonts w:ascii="Courier New"/>
          <w:spacing w:val="18"/>
          <w:w w:val="105"/>
          <w:sz w:val="14"/>
        </w:rPr>
        <w:t> </w:t>
      </w:r>
      <w:r>
        <w:rPr>
          <w:rFonts w:ascii="Courier New"/>
          <w:w w:val="105"/>
          <w:sz w:val="14"/>
        </w:rPr>
        <w:t>&gt;</w:t>
      </w:r>
      <w:r>
        <w:rPr>
          <w:rFonts w:ascii="Courier New"/>
          <w:spacing w:val="17"/>
          <w:w w:val="105"/>
          <w:sz w:val="14"/>
        </w:rPr>
        <w:t> </w:t>
      </w:r>
      <w:r>
        <w:rPr>
          <w:rFonts w:ascii="Courier New"/>
          <w:w w:val="105"/>
          <w:sz w:val="14"/>
        </w:rPr>
        <w:t>chi2</w:t>
        <w:tab/>
        <w:t>=</w:t>
        <w:tab/>
        <w:t>0.0000</w:t>
      </w:r>
    </w:p>
    <w:p>
      <w:pPr>
        <w:pStyle w:val="BodyText"/>
        <w:spacing w:before="4"/>
        <w:rPr>
          <w:rFonts w:ascii="Courier New"/>
          <w:sz w:val="29"/>
        </w:r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9"/>
        <w:gridCol w:w="1202"/>
        <w:gridCol w:w="1065"/>
        <w:gridCol w:w="787"/>
        <w:gridCol w:w="786"/>
        <w:gridCol w:w="1250"/>
        <w:gridCol w:w="875"/>
      </w:tblGrid>
      <w:tr>
        <w:trPr>
          <w:trHeight w:val="413" w:hRule="atLeast"/>
        </w:trPr>
        <w:tc>
          <w:tcPr>
            <w:tcW w:w="3099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7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illness</w:t>
            </w:r>
          </w:p>
        </w:tc>
        <w:tc>
          <w:tcPr>
            <w:tcW w:w="1202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7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Coef.</w:t>
            </w:r>
          </w:p>
        </w:tc>
        <w:tc>
          <w:tcPr>
            <w:tcW w:w="1065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7"/>
              <w:ind w:left="13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Std.</w:t>
            </w:r>
            <w:r>
              <w:rPr>
                <w:spacing w:val="2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Err.</w:t>
            </w:r>
          </w:p>
        </w:tc>
        <w:tc>
          <w:tcPr>
            <w:tcW w:w="787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7"/>
              <w:ind w:left="475"/>
              <w:jc w:val="left"/>
              <w:rPr>
                <w:sz w:val="14"/>
              </w:rPr>
            </w:pPr>
            <w:r>
              <w:rPr>
                <w:w w:val="104"/>
                <w:sz w:val="14"/>
              </w:rPr>
              <w:t>z</w:t>
            </w:r>
          </w:p>
        </w:tc>
        <w:tc>
          <w:tcPr>
            <w:tcW w:w="78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7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P&gt;|z|</w:t>
            </w:r>
          </w:p>
        </w:tc>
        <w:tc>
          <w:tcPr>
            <w:tcW w:w="1250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7"/>
              <w:ind w:left="2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[95%</w:t>
            </w:r>
            <w:r>
              <w:rPr>
                <w:spacing w:val="2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Conf.</w:t>
            </w:r>
          </w:p>
        </w:tc>
        <w:tc>
          <w:tcPr>
            <w:tcW w:w="875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7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Interval]</w:t>
            </w:r>
          </w:p>
        </w:tc>
      </w:tr>
      <w:tr>
        <w:trPr>
          <w:trHeight w:val="321" w:hRule="atLeast"/>
        </w:trPr>
        <w:tc>
          <w:tcPr>
            <w:tcW w:w="3099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7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familysize</w:t>
            </w:r>
          </w:p>
        </w:tc>
        <w:tc>
          <w:tcPr>
            <w:tcW w:w="1202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37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.0371356</w:t>
            </w:r>
          </w:p>
        </w:tc>
        <w:tc>
          <w:tcPr>
            <w:tcW w:w="1065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7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.0105634</w:t>
            </w:r>
          </w:p>
        </w:tc>
        <w:tc>
          <w:tcPr>
            <w:tcW w:w="787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7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3.52</w:t>
            </w:r>
          </w:p>
        </w:tc>
        <w:tc>
          <w:tcPr>
            <w:tcW w:w="786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7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7"/>
              <w:ind w:left="2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.0164317</w:t>
            </w:r>
          </w:p>
        </w:tc>
        <w:tc>
          <w:tcPr>
            <w:tcW w:w="875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7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.0578394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hungerandnofood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.3414397</w:t>
            </w:r>
          </w:p>
        </w:tc>
        <w:tc>
          <w:tcPr>
            <w:tcW w:w="1065" w:type="dxa"/>
          </w:tcPr>
          <w:p>
            <w:pPr>
              <w:pStyle w:val="TableParagraph"/>
              <w:spacing w:before="29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.0284712</w:t>
            </w:r>
          </w:p>
        </w:tc>
        <w:tc>
          <w:tcPr>
            <w:tcW w:w="787" w:type="dxa"/>
          </w:tcPr>
          <w:p>
            <w:pPr>
              <w:pStyle w:val="TableParagraph"/>
              <w:spacing w:before="29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11.99</w:t>
            </w:r>
          </w:p>
        </w:tc>
        <w:tc>
          <w:tcPr>
            <w:tcW w:w="786" w:type="dxa"/>
          </w:tcPr>
          <w:p>
            <w:pPr>
              <w:pStyle w:val="TableParagraph"/>
              <w:spacing w:before="29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29"/>
              <w:ind w:left="2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.2856372</w:t>
            </w:r>
          </w:p>
        </w:tc>
        <w:tc>
          <w:tcPr>
            <w:tcW w:w="875" w:type="dxa"/>
          </w:tcPr>
          <w:p>
            <w:pPr>
              <w:pStyle w:val="TableParagraph"/>
              <w:spacing w:before="29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.3972422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gari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-.0613303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.0369599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-1.66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0.097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-.1337705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.0111098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rice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-.2720791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.0296484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-9.18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-.3301889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-.2139694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yamorcassavaormaizeflour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-1.451219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.0287289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-50.51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-1.507527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-1.394912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beans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-.0189492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13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.032752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-0.58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0.563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-.0831419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.0452434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meatorfish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-.0007681</w:t>
            </w:r>
          </w:p>
        </w:tc>
        <w:tc>
          <w:tcPr>
            <w:tcW w:w="1065" w:type="dxa"/>
          </w:tcPr>
          <w:p>
            <w:pPr>
              <w:pStyle w:val="TableParagraph"/>
              <w:spacing w:before="29"/>
              <w:ind w:left="13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.000928</w:t>
            </w:r>
          </w:p>
        </w:tc>
        <w:tc>
          <w:tcPr>
            <w:tcW w:w="787" w:type="dxa"/>
          </w:tcPr>
          <w:p>
            <w:pPr>
              <w:pStyle w:val="TableParagraph"/>
              <w:spacing w:before="29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-0.83</w:t>
            </w:r>
          </w:p>
        </w:tc>
        <w:tc>
          <w:tcPr>
            <w:tcW w:w="786" w:type="dxa"/>
          </w:tcPr>
          <w:p>
            <w:pPr>
              <w:pStyle w:val="TableParagraph"/>
              <w:spacing w:before="29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0.408</w:t>
            </w:r>
          </w:p>
        </w:tc>
        <w:tc>
          <w:tcPr>
            <w:tcW w:w="1250" w:type="dxa"/>
          </w:tcPr>
          <w:p>
            <w:pPr>
              <w:pStyle w:val="TableParagraph"/>
              <w:spacing w:before="29"/>
              <w:ind w:left="2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-.002587</w:t>
            </w:r>
          </w:p>
        </w:tc>
        <w:tc>
          <w:tcPr>
            <w:tcW w:w="875" w:type="dxa"/>
          </w:tcPr>
          <w:p>
            <w:pPr>
              <w:pStyle w:val="TableParagraph"/>
              <w:spacing w:before="29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.0010507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mosquitonetpossession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-.3968577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13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.038137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-10.41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-.4716048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-.3221107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nobasiceducation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.9421984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.0262215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35.93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.8908052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.9935917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primarycertificate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.0160469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.0102927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1.56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0.119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-.0041265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.0362202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secondarycertificate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-.1960292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13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.028821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-6.80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-.2525174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-.1395411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higherdegree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-.67919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.0464025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-14.64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-.7701372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-.5882427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hadelectricity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-.1018394</w:t>
            </w:r>
          </w:p>
        </w:tc>
        <w:tc>
          <w:tcPr>
            <w:tcW w:w="1065" w:type="dxa"/>
          </w:tcPr>
          <w:p>
            <w:pPr>
              <w:pStyle w:val="TableParagraph"/>
              <w:spacing w:before="29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.0237728</w:t>
            </w:r>
          </w:p>
        </w:tc>
        <w:tc>
          <w:tcPr>
            <w:tcW w:w="787" w:type="dxa"/>
          </w:tcPr>
          <w:p>
            <w:pPr>
              <w:pStyle w:val="TableParagraph"/>
              <w:spacing w:before="29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-4.28</w:t>
            </w:r>
          </w:p>
        </w:tc>
        <w:tc>
          <w:tcPr>
            <w:tcW w:w="786" w:type="dxa"/>
          </w:tcPr>
          <w:p>
            <w:pPr>
              <w:pStyle w:val="TableParagraph"/>
              <w:spacing w:before="29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29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-.1484332</w:t>
            </w:r>
          </w:p>
        </w:tc>
        <w:tc>
          <w:tcPr>
            <w:tcW w:w="875" w:type="dxa"/>
          </w:tcPr>
          <w:p>
            <w:pPr>
              <w:pStyle w:val="TableParagraph"/>
              <w:spacing w:before="29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-.0552455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noelectricity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.0297033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.0181098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1.64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0.101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-.0057912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.0651978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pipebornewater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-.250116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.0089745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-27.87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-.2677058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-.2325262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boreholeandwell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-.0393466</w:t>
            </w:r>
          </w:p>
        </w:tc>
        <w:tc>
          <w:tcPr>
            <w:tcW w:w="1065" w:type="dxa"/>
          </w:tcPr>
          <w:p>
            <w:pPr>
              <w:pStyle w:val="TableParagraph"/>
              <w:spacing w:before="29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.0090905</w:t>
            </w:r>
          </w:p>
        </w:tc>
        <w:tc>
          <w:tcPr>
            <w:tcW w:w="787" w:type="dxa"/>
          </w:tcPr>
          <w:p>
            <w:pPr>
              <w:pStyle w:val="TableParagraph"/>
              <w:spacing w:before="29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-4.33</w:t>
            </w:r>
          </w:p>
        </w:tc>
        <w:tc>
          <w:tcPr>
            <w:tcW w:w="786" w:type="dxa"/>
          </w:tcPr>
          <w:p>
            <w:pPr>
              <w:pStyle w:val="TableParagraph"/>
              <w:spacing w:before="29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29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-.0571635</w:t>
            </w:r>
          </w:p>
        </w:tc>
        <w:tc>
          <w:tcPr>
            <w:tcW w:w="875" w:type="dxa"/>
          </w:tcPr>
          <w:p>
            <w:pPr>
              <w:pStyle w:val="TableParagraph"/>
              <w:spacing w:before="29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-.0215296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riverandspring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1.073542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.0320197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33.53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1.010785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1.1363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noaccesstowater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.1402893</w:t>
            </w:r>
          </w:p>
        </w:tc>
        <w:tc>
          <w:tcPr>
            <w:tcW w:w="1065" w:type="dxa"/>
          </w:tcPr>
          <w:p>
            <w:pPr>
              <w:pStyle w:val="TableParagraph"/>
              <w:spacing w:before="29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.0466779</w:t>
            </w:r>
          </w:p>
        </w:tc>
        <w:tc>
          <w:tcPr>
            <w:tcW w:w="787" w:type="dxa"/>
          </w:tcPr>
          <w:p>
            <w:pPr>
              <w:pStyle w:val="TableParagraph"/>
              <w:spacing w:before="29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3.01</w:t>
            </w:r>
          </w:p>
        </w:tc>
        <w:tc>
          <w:tcPr>
            <w:tcW w:w="786" w:type="dxa"/>
          </w:tcPr>
          <w:p>
            <w:pPr>
              <w:pStyle w:val="TableParagraph"/>
              <w:spacing w:before="29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0.003</w:t>
            </w:r>
          </w:p>
        </w:tc>
        <w:tc>
          <w:tcPr>
            <w:tcW w:w="1250" w:type="dxa"/>
          </w:tcPr>
          <w:p>
            <w:pPr>
              <w:pStyle w:val="TableParagraph"/>
              <w:spacing w:before="29"/>
              <w:ind w:left="2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.0488023</w:t>
            </w:r>
          </w:p>
        </w:tc>
        <w:tc>
          <w:tcPr>
            <w:tcW w:w="875" w:type="dxa"/>
          </w:tcPr>
          <w:p>
            <w:pPr>
              <w:pStyle w:val="TableParagraph"/>
              <w:spacing w:before="29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.2317763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waterormodernlatrine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-.2364047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.0309295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-7.64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-.2970253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-.1757841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pitorlatrine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.0034666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.0039216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0.88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0.377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-.0042195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.0111527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notoiletfacility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.1573051</w:t>
            </w:r>
          </w:p>
        </w:tc>
        <w:tc>
          <w:tcPr>
            <w:tcW w:w="1065" w:type="dxa"/>
          </w:tcPr>
          <w:p>
            <w:pPr>
              <w:pStyle w:val="TableParagraph"/>
              <w:spacing w:before="29"/>
              <w:ind w:left="227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.02761</w:t>
            </w:r>
          </w:p>
        </w:tc>
        <w:tc>
          <w:tcPr>
            <w:tcW w:w="787" w:type="dxa"/>
          </w:tcPr>
          <w:p>
            <w:pPr>
              <w:pStyle w:val="TableParagraph"/>
              <w:spacing w:before="29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5.70</w:t>
            </w:r>
          </w:p>
        </w:tc>
        <w:tc>
          <w:tcPr>
            <w:tcW w:w="786" w:type="dxa"/>
          </w:tcPr>
          <w:p>
            <w:pPr>
              <w:pStyle w:val="TableParagraph"/>
              <w:spacing w:before="29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29"/>
              <w:ind w:left="2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.1031905</w:t>
            </w:r>
          </w:p>
        </w:tc>
        <w:tc>
          <w:tcPr>
            <w:tcW w:w="875" w:type="dxa"/>
          </w:tcPr>
          <w:p>
            <w:pPr>
              <w:pStyle w:val="TableParagraph"/>
              <w:spacing w:before="29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.2114196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alcoholicdrinks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-.0017468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.0011709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-1.49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0.136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-.0040418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.0005482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selfmedication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.2749626</w:t>
            </w:r>
          </w:p>
        </w:tc>
        <w:tc>
          <w:tcPr>
            <w:tcW w:w="1065" w:type="dxa"/>
          </w:tcPr>
          <w:p>
            <w:pPr>
              <w:pStyle w:val="TableParagraph"/>
              <w:spacing w:before="29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.0404763</w:t>
            </w:r>
          </w:p>
        </w:tc>
        <w:tc>
          <w:tcPr>
            <w:tcW w:w="787" w:type="dxa"/>
          </w:tcPr>
          <w:p>
            <w:pPr>
              <w:pStyle w:val="TableParagraph"/>
              <w:spacing w:before="29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6.79</w:t>
            </w:r>
          </w:p>
        </w:tc>
        <w:tc>
          <w:tcPr>
            <w:tcW w:w="786" w:type="dxa"/>
          </w:tcPr>
          <w:p>
            <w:pPr>
              <w:pStyle w:val="TableParagraph"/>
              <w:spacing w:before="29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29"/>
              <w:ind w:left="2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.1956305</w:t>
            </w:r>
          </w:p>
        </w:tc>
        <w:tc>
          <w:tcPr>
            <w:tcW w:w="875" w:type="dxa"/>
          </w:tcPr>
          <w:p>
            <w:pPr>
              <w:pStyle w:val="TableParagraph"/>
              <w:spacing w:before="29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.3542948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seekingmedicalcare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-.1567757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13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.023328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-6.72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-.2024977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-.1110537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otherhealthcare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-.0021102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.0131458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-0.16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0.872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-.0278754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.0236551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wagesandsalaries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-.0686237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.0084009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-8.17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-.0850892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-.0521582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entreprisesandbusiness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-.0192362</w:t>
            </w:r>
          </w:p>
        </w:tc>
        <w:tc>
          <w:tcPr>
            <w:tcW w:w="1065" w:type="dxa"/>
          </w:tcPr>
          <w:p>
            <w:pPr>
              <w:pStyle w:val="TableParagraph"/>
              <w:spacing w:before="29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.0067259</w:t>
            </w:r>
          </w:p>
        </w:tc>
        <w:tc>
          <w:tcPr>
            <w:tcW w:w="787" w:type="dxa"/>
          </w:tcPr>
          <w:p>
            <w:pPr>
              <w:pStyle w:val="TableParagraph"/>
              <w:spacing w:before="29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-2.86</w:t>
            </w:r>
          </w:p>
        </w:tc>
        <w:tc>
          <w:tcPr>
            <w:tcW w:w="786" w:type="dxa"/>
          </w:tcPr>
          <w:p>
            <w:pPr>
              <w:pStyle w:val="TableParagraph"/>
              <w:spacing w:before="29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0.004</w:t>
            </w:r>
          </w:p>
        </w:tc>
        <w:tc>
          <w:tcPr>
            <w:tcW w:w="1250" w:type="dxa"/>
          </w:tcPr>
          <w:p>
            <w:pPr>
              <w:pStyle w:val="TableParagraph"/>
              <w:spacing w:before="29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-.0324186</w:t>
            </w:r>
          </w:p>
        </w:tc>
        <w:tc>
          <w:tcPr>
            <w:tcW w:w="875" w:type="dxa"/>
          </w:tcPr>
          <w:p>
            <w:pPr>
              <w:pStyle w:val="TableParagraph"/>
              <w:spacing w:before="29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-.0060537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farmingcropandlivestock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-.3506631</w:t>
            </w:r>
          </w:p>
        </w:tc>
        <w:tc>
          <w:tcPr>
            <w:tcW w:w="1065" w:type="dxa"/>
          </w:tcPr>
          <w:p>
            <w:pPr>
              <w:pStyle w:val="TableParagraph"/>
              <w:spacing w:before="29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.0356147</w:t>
            </w:r>
          </w:p>
        </w:tc>
        <w:tc>
          <w:tcPr>
            <w:tcW w:w="787" w:type="dxa"/>
          </w:tcPr>
          <w:p>
            <w:pPr>
              <w:pStyle w:val="TableParagraph"/>
              <w:spacing w:before="29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-9.85</w:t>
            </w:r>
          </w:p>
        </w:tc>
        <w:tc>
          <w:tcPr>
            <w:tcW w:w="786" w:type="dxa"/>
          </w:tcPr>
          <w:p>
            <w:pPr>
              <w:pStyle w:val="TableParagraph"/>
              <w:spacing w:before="29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29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-.4204666</w:t>
            </w:r>
          </w:p>
        </w:tc>
        <w:tc>
          <w:tcPr>
            <w:tcW w:w="875" w:type="dxa"/>
          </w:tcPr>
          <w:p>
            <w:pPr>
              <w:pStyle w:val="TableParagraph"/>
              <w:spacing w:before="29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-.2808596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remittances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-.0201506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.0183145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-1.10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0.271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-.0560463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.0157451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monetaryandconditionaltransfers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-.2144832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.0478031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-4.49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-.3081755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-.1207909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pensionsandgrants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.0155732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.0379775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0.41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0.682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-.0588613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.0900077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dividendandinterestfrominvestmen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.1126605</w:t>
            </w:r>
          </w:p>
        </w:tc>
        <w:tc>
          <w:tcPr>
            <w:tcW w:w="1065" w:type="dxa"/>
          </w:tcPr>
          <w:p>
            <w:pPr>
              <w:pStyle w:val="TableParagraph"/>
              <w:spacing w:before="29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.0705516</w:t>
            </w:r>
          </w:p>
        </w:tc>
        <w:tc>
          <w:tcPr>
            <w:tcW w:w="787" w:type="dxa"/>
          </w:tcPr>
          <w:p>
            <w:pPr>
              <w:pStyle w:val="TableParagraph"/>
              <w:spacing w:before="29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1.60</w:t>
            </w:r>
          </w:p>
        </w:tc>
        <w:tc>
          <w:tcPr>
            <w:tcW w:w="786" w:type="dxa"/>
          </w:tcPr>
          <w:p>
            <w:pPr>
              <w:pStyle w:val="TableParagraph"/>
              <w:spacing w:before="29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0.110</w:t>
            </w:r>
          </w:p>
        </w:tc>
        <w:tc>
          <w:tcPr>
            <w:tcW w:w="1250" w:type="dxa"/>
          </w:tcPr>
          <w:p>
            <w:pPr>
              <w:pStyle w:val="TableParagraph"/>
              <w:spacing w:before="29"/>
              <w:ind w:left="2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-.025618</w:t>
            </w:r>
          </w:p>
        </w:tc>
        <w:tc>
          <w:tcPr>
            <w:tcW w:w="875" w:type="dxa"/>
          </w:tcPr>
          <w:p>
            <w:pPr>
              <w:pStyle w:val="TableParagraph"/>
              <w:spacing w:before="29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.2509391</w:t>
            </w:r>
          </w:p>
        </w:tc>
      </w:tr>
      <w:tr>
        <w:trPr>
          <w:trHeight w:val="214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incomesfromlandandhouseownership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-.0122166</w:t>
            </w:r>
          </w:p>
        </w:tc>
        <w:tc>
          <w:tcPr>
            <w:tcW w:w="1065" w:type="dxa"/>
          </w:tcPr>
          <w:p>
            <w:pPr>
              <w:pStyle w:val="TableParagraph"/>
              <w:spacing w:before="30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.0078728</w:t>
            </w:r>
          </w:p>
        </w:tc>
        <w:tc>
          <w:tcPr>
            <w:tcW w:w="787" w:type="dxa"/>
          </w:tcPr>
          <w:p>
            <w:pPr>
              <w:pStyle w:val="TableParagraph"/>
              <w:spacing w:before="30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-1.55</w:t>
            </w:r>
          </w:p>
        </w:tc>
        <w:tc>
          <w:tcPr>
            <w:tcW w:w="786" w:type="dxa"/>
          </w:tcPr>
          <w:p>
            <w:pPr>
              <w:pStyle w:val="TableParagraph"/>
              <w:spacing w:before="30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0.121</w:t>
            </w:r>
          </w:p>
        </w:tc>
        <w:tc>
          <w:tcPr>
            <w:tcW w:w="1250" w:type="dxa"/>
          </w:tcPr>
          <w:p>
            <w:pPr>
              <w:pStyle w:val="TableParagraph"/>
              <w:spacing w:before="30"/>
              <w:ind w:left="2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-.0276469</w:t>
            </w:r>
          </w:p>
        </w:tc>
        <w:tc>
          <w:tcPr>
            <w:tcW w:w="875" w:type="dxa"/>
          </w:tcPr>
          <w:p>
            <w:pPr>
              <w:pStyle w:val="TableParagraph"/>
              <w:spacing w:before="30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.0032138</w:t>
            </w:r>
          </w:p>
        </w:tc>
      </w:tr>
      <w:tr>
        <w:trPr>
          <w:trHeight w:val="306" w:hRule="atLeast"/>
        </w:trPr>
        <w:tc>
          <w:tcPr>
            <w:tcW w:w="3099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7"/>
              <w:rPr>
                <w:sz w:val="14"/>
              </w:rPr>
            </w:pPr>
            <w:r>
              <w:rPr>
                <w:w w:val="105"/>
                <w:sz w:val="14"/>
              </w:rPr>
              <w:t>_cons</w:t>
            </w:r>
          </w:p>
        </w:tc>
        <w:tc>
          <w:tcPr>
            <w:tcW w:w="1202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4"/>
              </w:rPr>
            </w:pPr>
            <w:r>
              <w:rPr>
                <w:w w:val="105"/>
                <w:sz w:val="14"/>
              </w:rPr>
              <w:t>.6498914</w:t>
            </w:r>
          </w:p>
        </w:tc>
        <w:tc>
          <w:tcPr>
            <w:tcW w:w="1065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9"/>
              <w:ind w:left="44" w:right="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.1835794</w:t>
            </w:r>
          </w:p>
        </w:tc>
        <w:tc>
          <w:tcPr>
            <w:tcW w:w="787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9"/>
              <w:ind w:right="129"/>
              <w:rPr>
                <w:sz w:val="14"/>
              </w:rPr>
            </w:pPr>
            <w:r>
              <w:rPr>
                <w:w w:val="105"/>
                <w:sz w:val="14"/>
              </w:rPr>
              <w:t>3.54</w:t>
            </w:r>
          </w:p>
        </w:tc>
        <w:tc>
          <w:tcPr>
            <w:tcW w:w="78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9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50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9"/>
              <w:ind w:left="29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.2900825</w:t>
            </w:r>
          </w:p>
        </w:tc>
        <w:tc>
          <w:tcPr>
            <w:tcW w:w="875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9"/>
              <w:ind w:right="-29"/>
              <w:rPr>
                <w:sz w:val="14"/>
              </w:rPr>
            </w:pPr>
            <w:r>
              <w:rPr>
                <w:w w:val="105"/>
                <w:sz w:val="14"/>
              </w:rPr>
              <w:t>1.0097</w:t>
            </w: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7"/>
        <w:rPr>
          <w:rFonts w:ascii="Courier New"/>
          <w:sz w:val="16"/>
        </w:rPr>
      </w:pPr>
    </w:p>
    <w:tbl>
      <w:tblPr>
        <w:tblW w:w="0" w:type="auto"/>
        <w:jc w:val="left"/>
        <w:tblInd w:w="166" w:type="dxa"/>
        <w:tblBorders>
          <w:top w:val="dashSmallGap" w:sz="6" w:space="0" w:color="000000"/>
          <w:left w:val="dashSmallGap" w:sz="6" w:space="0" w:color="000000"/>
          <w:bottom w:val="dashSmallGap" w:sz="6" w:space="0" w:color="000000"/>
          <w:right w:val="dashSmallGap" w:sz="6" w:space="0" w:color="000000"/>
          <w:insideH w:val="dashSmallGap" w:sz="6" w:space="0" w:color="000000"/>
          <w:insideV w:val="dashSmallGap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9"/>
        <w:gridCol w:w="1203"/>
        <w:gridCol w:w="1206"/>
        <w:gridCol w:w="1206"/>
        <w:gridCol w:w="878"/>
      </w:tblGrid>
      <w:tr>
        <w:trPr>
          <w:trHeight w:val="413" w:hRule="atLeast"/>
        </w:trPr>
        <w:tc>
          <w:tcPr>
            <w:tcW w:w="2729" w:type="dxa"/>
            <w:tcBorders>
              <w:left w:val="nil"/>
              <w:right w:val="single" w:sz="6" w:space="0" w:color="000000"/>
            </w:tcBorders>
          </w:tcPr>
          <w:p>
            <w:pPr>
              <w:pStyle w:val="TableParagraph"/>
              <w:spacing w:before="137"/>
              <w:ind w:left="18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Random-effects</w:t>
            </w:r>
            <w:r>
              <w:rPr>
                <w:spacing w:val="7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Parameters</w:t>
            </w:r>
          </w:p>
        </w:tc>
        <w:tc>
          <w:tcPr>
            <w:tcW w:w="1203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spacing w:before="137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Estimate</w:t>
            </w:r>
          </w:p>
        </w:tc>
        <w:tc>
          <w:tcPr>
            <w:tcW w:w="120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7"/>
              <w:ind w:left="14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Std.</w:t>
            </w:r>
            <w:r>
              <w:rPr>
                <w:spacing w:val="2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Err.</w:t>
            </w:r>
          </w:p>
        </w:tc>
        <w:tc>
          <w:tcPr>
            <w:tcW w:w="120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7"/>
              <w:ind w:left="23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[95%</w:t>
            </w:r>
            <w:r>
              <w:rPr>
                <w:spacing w:val="2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Conf.</w:t>
            </w:r>
          </w:p>
        </w:tc>
        <w:tc>
          <w:tcPr>
            <w:tcW w:w="87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7"/>
              <w:ind w:left="53" w:right="-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Interval]</w:t>
            </w:r>
          </w:p>
        </w:tc>
      </w:tr>
      <w:tr>
        <w:trPr>
          <w:trHeight w:val="628" w:hRule="atLeast"/>
        </w:trPr>
        <w:tc>
          <w:tcPr>
            <w:tcW w:w="2729" w:type="dxa"/>
            <w:tcBorders>
              <w:left w:val="nil"/>
              <w:right w:val="single" w:sz="6" w:space="0" w:color="000000"/>
            </w:tcBorders>
          </w:tcPr>
          <w:p>
            <w:pPr>
              <w:pStyle w:val="TableParagraph"/>
              <w:spacing w:before="13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ginicoeffi~t:</w:t>
            </w:r>
            <w:r>
              <w:rPr>
                <w:spacing w:val="6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Identity</w:t>
            </w:r>
          </w:p>
          <w:p>
            <w:pPr>
              <w:pStyle w:val="TableParagraph"/>
              <w:spacing w:before="56"/>
              <w:ind w:left="166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var(_cons)</w:t>
            </w:r>
          </w:p>
        </w:tc>
        <w:tc>
          <w:tcPr>
            <w:tcW w:w="1203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5"/>
              </w:rPr>
            </w:pPr>
          </w:p>
          <w:p>
            <w:pPr>
              <w:pStyle w:val="TableParagraph"/>
              <w:spacing w:before="1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.0581504</w:t>
            </w:r>
          </w:p>
        </w:tc>
        <w:tc>
          <w:tcPr>
            <w:tcW w:w="1206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5"/>
              </w:rPr>
            </w:pPr>
          </w:p>
          <w:p>
            <w:pPr>
              <w:pStyle w:val="TableParagraph"/>
              <w:spacing w:before="1"/>
              <w:ind w:left="14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.0560376</w:t>
            </w:r>
          </w:p>
        </w:tc>
        <w:tc>
          <w:tcPr>
            <w:tcW w:w="1206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5"/>
              </w:rPr>
            </w:pPr>
          </w:p>
          <w:p>
            <w:pPr>
              <w:pStyle w:val="TableParagraph"/>
              <w:spacing w:before="1"/>
              <w:ind w:left="23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.0087958</w:t>
            </w:r>
          </w:p>
        </w:tc>
        <w:tc>
          <w:tcPr>
            <w:tcW w:w="878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5"/>
              </w:rPr>
            </w:pPr>
          </w:p>
          <w:p>
            <w:pPr>
              <w:pStyle w:val="TableParagraph"/>
              <w:spacing w:before="1"/>
              <w:ind w:left="146" w:right="-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.3844391</w:t>
            </w:r>
          </w:p>
        </w:tc>
      </w:tr>
    </w:tbl>
    <w:p>
      <w:pPr>
        <w:tabs>
          <w:tab w:pos="4795" w:val="left" w:leader="none"/>
        </w:tabs>
        <w:spacing w:before="138"/>
        <w:ind w:left="159" w:right="0" w:firstLine="0"/>
        <w:jc w:val="left"/>
        <w:rPr>
          <w:rFonts w:ascii="Courier New"/>
          <w:sz w:val="14"/>
        </w:rPr>
      </w:pPr>
      <w:r>
        <w:rPr>
          <w:rFonts w:ascii="Courier New"/>
          <w:w w:val="105"/>
          <w:sz w:val="14"/>
        </w:rPr>
        <w:t>LR</w:t>
      </w:r>
      <w:r>
        <w:rPr>
          <w:rFonts w:ascii="Courier New"/>
          <w:spacing w:val="29"/>
          <w:w w:val="105"/>
          <w:sz w:val="14"/>
        </w:rPr>
        <w:t> </w:t>
      </w:r>
      <w:r>
        <w:rPr>
          <w:rFonts w:ascii="Courier New"/>
          <w:w w:val="105"/>
          <w:sz w:val="14"/>
        </w:rPr>
        <w:t>test</w:t>
      </w:r>
      <w:r>
        <w:rPr>
          <w:rFonts w:ascii="Courier New"/>
          <w:spacing w:val="29"/>
          <w:w w:val="105"/>
          <w:sz w:val="14"/>
        </w:rPr>
        <w:t> </w:t>
      </w:r>
      <w:r>
        <w:rPr>
          <w:rFonts w:ascii="Courier New"/>
          <w:w w:val="105"/>
          <w:sz w:val="14"/>
        </w:rPr>
        <w:t>vs.</w:t>
      </w:r>
      <w:r>
        <w:rPr>
          <w:rFonts w:ascii="Courier New"/>
          <w:spacing w:val="29"/>
          <w:w w:val="105"/>
          <w:sz w:val="14"/>
        </w:rPr>
        <w:t> </w:t>
      </w:r>
      <w:r>
        <w:rPr>
          <w:rFonts w:ascii="Courier New"/>
          <w:w w:val="105"/>
          <w:sz w:val="14"/>
        </w:rPr>
        <w:t>logistic</w:t>
      </w:r>
      <w:r>
        <w:rPr>
          <w:rFonts w:ascii="Courier New"/>
          <w:spacing w:val="28"/>
          <w:w w:val="105"/>
          <w:sz w:val="14"/>
        </w:rPr>
        <w:t> </w:t>
      </w:r>
      <w:r>
        <w:rPr>
          <w:rFonts w:ascii="Courier New"/>
          <w:w w:val="105"/>
          <w:sz w:val="14"/>
        </w:rPr>
        <w:t>regression:</w:t>
      </w:r>
      <w:r>
        <w:rPr>
          <w:rFonts w:ascii="Courier New"/>
          <w:spacing w:val="29"/>
          <w:w w:val="105"/>
          <w:sz w:val="14"/>
        </w:rPr>
        <w:t> </w:t>
      </w:r>
      <w:r>
        <w:rPr>
          <w:rFonts w:ascii="Courier New"/>
          <w:w w:val="105"/>
          <w:sz w:val="14"/>
        </w:rPr>
        <w:t>chibar2(01)</w:t>
      </w:r>
      <w:r>
        <w:rPr>
          <w:rFonts w:ascii="Courier New"/>
          <w:spacing w:val="29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  <w:tab/>
        <w:t>14.78</w:t>
      </w:r>
      <w:r>
        <w:rPr>
          <w:rFonts w:ascii="Courier New"/>
          <w:spacing w:val="36"/>
          <w:w w:val="105"/>
          <w:sz w:val="14"/>
        </w:rPr>
        <w:t> </w:t>
      </w:r>
      <w:r>
        <w:rPr>
          <w:rFonts w:ascii="Courier New"/>
          <w:w w:val="105"/>
          <w:sz w:val="14"/>
        </w:rPr>
        <w:t>Prob&gt;=chibar2</w:t>
      </w:r>
      <w:r>
        <w:rPr>
          <w:rFonts w:ascii="Courier New"/>
          <w:spacing w:val="37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</w:r>
      <w:r>
        <w:rPr>
          <w:rFonts w:ascii="Courier New"/>
          <w:spacing w:val="37"/>
          <w:w w:val="105"/>
          <w:sz w:val="14"/>
        </w:rPr>
        <w:t> </w:t>
      </w:r>
      <w:r>
        <w:rPr>
          <w:rFonts w:ascii="Courier New"/>
          <w:w w:val="105"/>
          <w:sz w:val="14"/>
        </w:rPr>
        <w:t>0.0001</w:t>
      </w:r>
    </w:p>
    <w:p>
      <w:pPr>
        <w:spacing w:after="0"/>
        <w:jc w:val="left"/>
        <w:rPr>
          <w:rFonts w:ascii="Courier New"/>
          <w:sz w:val="14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773"/>
      </w:pPr>
      <w:r>
        <w:rPr/>
        <w:t>TABLE</w:t>
      </w:r>
      <w:r>
        <w:rPr>
          <w:spacing w:val="-3"/>
        </w:rPr>
        <w:t> </w:t>
      </w:r>
      <w:r>
        <w:rPr/>
        <w:t>G7:</w:t>
      </w:r>
      <w:r>
        <w:rPr>
          <w:spacing w:val="-2"/>
        </w:rPr>
        <w:t> </w:t>
      </w:r>
      <w:r>
        <w:rPr/>
        <w:t>SUB-SAMPLE</w:t>
      </w:r>
      <w:r>
        <w:rPr>
          <w:spacing w:val="-2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(HOUSEHOLDS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&lt;#68,648.56)</w:t>
      </w: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2438"/>
        <w:gridCol w:w="287"/>
        <w:gridCol w:w="860"/>
      </w:tblGrid>
      <w:tr>
        <w:trPr>
          <w:trHeight w:val="185" w:hRule="atLeast"/>
        </w:trPr>
        <w:tc>
          <w:tcPr>
            <w:tcW w:w="3968" w:type="dxa"/>
          </w:tcPr>
          <w:p>
            <w:pPr>
              <w:pStyle w:val="TableParagraph"/>
              <w:spacing w:before="3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Random-effects </w:t>
            </w:r>
            <w:r>
              <w:rPr>
                <w:spacing w:val="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logistic </w:t>
            </w:r>
            <w:r>
              <w:rPr>
                <w:spacing w:val="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regression</w:t>
            </w:r>
          </w:p>
        </w:tc>
        <w:tc>
          <w:tcPr>
            <w:tcW w:w="2438" w:type="dxa"/>
          </w:tcPr>
          <w:p>
            <w:pPr>
              <w:pStyle w:val="TableParagraph"/>
              <w:spacing w:before="3"/>
              <w:ind w:left="67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Number</w:t>
            </w:r>
            <w:r>
              <w:rPr>
                <w:spacing w:val="3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of</w:t>
            </w:r>
            <w:r>
              <w:rPr>
                <w:spacing w:val="3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obs</w:t>
            </w:r>
          </w:p>
        </w:tc>
        <w:tc>
          <w:tcPr>
            <w:tcW w:w="287" w:type="dxa"/>
          </w:tcPr>
          <w:p>
            <w:pPr>
              <w:pStyle w:val="TableParagraph"/>
              <w:spacing w:before="3"/>
              <w:ind w:left="50"/>
              <w:jc w:val="left"/>
              <w:rPr>
                <w:sz w:val="14"/>
              </w:rPr>
            </w:pPr>
            <w:r>
              <w:rPr>
                <w:w w:val="107"/>
                <w:sz w:val="14"/>
              </w:rPr>
              <w:t>=</w:t>
            </w:r>
          </w:p>
        </w:tc>
        <w:tc>
          <w:tcPr>
            <w:tcW w:w="860" w:type="dxa"/>
          </w:tcPr>
          <w:p>
            <w:pPr>
              <w:pStyle w:val="TableParagraph"/>
              <w:spacing w:before="3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58586</w:t>
            </w:r>
          </w:p>
        </w:tc>
      </w:tr>
      <w:tr>
        <w:trPr>
          <w:trHeight w:val="313" w:hRule="atLeast"/>
        </w:trPr>
        <w:tc>
          <w:tcPr>
            <w:tcW w:w="3968" w:type="dxa"/>
          </w:tcPr>
          <w:p>
            <w:pPr>
              <w:pStyle w:val="TableParagraph"/>
              <w:spacing w:before="26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Group</w:t>
            </w:r>
            <w:r>
              <w:rPr>
                <w:spacing w:val="5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variable:</w:t>
            </w:r>
            <w:r>
              <w:rPr>
                <w:spacing w:val="5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state</w:t>
            </w:r>
          </w:p>
        </w:tc>
        <w:tc>
          <w:tcPr>
            <w:tcW w:w="2438" w:type="dxa"/>
          </w:tcPr>
          <w:p>
            <w:pPr>
              <w:pStyle w:val="TableParagraph"/>
              <w:spacing w:before="26"/>
              <w:ind w:left="67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Number</w:t>
            </w:r>
            <w:r>
              <w:rPr>
                <w:spacing w:val="4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of</w:t>
            </w:r>
            <w:r>
              <w:rPr>
                <w:spacing w:val="4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groups</w:t>
            </w:r>
          </w:p>
        </w:tc>
        <w:tc>
          <w:tcPr>
            <w:tcW w:w="287" w:type="dxa"/>
          </w:tcPr>
          <w:p>
            <w:pPr>
              <w:pStyle w:val="TableParagraph"/>
              <w:spacing w:before="26"/>
              <w:ind w:left="50"/>
              <w:jc w:val="left"/>
              <w:rPr>
                <w:sz w:val="14"/>
              </w:rPr>
            </w:pPr>
            <w:r>
              <w:rPr>
                <w:w w:val="107"/>
                <w:sz w:val="14"/>
              </w:rPr>
              <w:t>=</w:t>
            </w:r>
          </w:p>
        </w:tc>
        <w:tc>
          <w:tcPr>
            <w:tcW w:w="860" w:type="dxa"/>
          </w:tcPr>
          <w:p>
            <w:pPr>
              <w:pStyle w:val="TableParagraph"/>
              <w:spacing w:before="26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37</w:t>
            </w:r>
          </w:p>
        </w:tc>
      </w:tr>
      <w:tr>
        <w:trPr>
          <w:trHeight w:val="313" w:hRule="atLeast"/>
        </w:trPr>
        <w:tc>
          <w:tcPr>
            <w:tcW w:w="3968" w:type="dxa"/>
          </w:tcPr>
          <w:p>
            <w:pPr>
              <w:pStyle w:val="TableParagraph"/>
              <w:spacing w:before="130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Random</w:t>
            </w:r>
            <w:r>
              <w:rPr>
                <w:spacing w:val="4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effects</w:t>
            </w:r>
            <w:r>
              <w:rPr>
                <w:spacing w:val="4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u_i</w:t>
            </w:r>
            <w:r>
              <w:rPr>
                <w:spacing w:val="4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~</w:t>
            </w:r>
            <w:r>
              <w:rPr>
                <w:spacing w:val="4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Gaussian</w:t>
            </w:r>
          </w:p>
        </w:tc>
        <w:tc>
          <w:tcPr>
            <w:tcW w:w="2438" w:type="dxa"/>
          </w:tcPr>
          <w:p>
            <w:pPr>
              <w:pStyle w:val="TableParagraph"/>
              <w:spacing w:before="130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Obs</w:t>
            </w:r>
            <w:r>
              <w:rPr>
                <w:spacing w:val="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3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group:</w:t>
            </w:r>
            <w:r>
              <w:rPr>
                <w:spacing w:val="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min</w:t>
            </w:r>
          </w:p>
        </w:tc>
        <w:tc>
          <w:tcPr>
            <w:tcW w:w="287" w:type="dxa"/>
          </w:tcPr>
          <w:p>
            <w:pPr>
              <w:pStyle w:val="TableParagraph"/>
              <w:spacing w:before="130"/>
              <w:ind w:left="50"/>
              <w:jc w:val="left"/>
              <w:rPr>
                <w:sz w:val="14"/>
              </w:rPr>
            </w:pPr>
            <w:r>
              <w:rPr>
                <w:w w:val="107"/>
                <w:sz w:val="14"/>
              </w:rPr>
              <w:t>=</w:t>
            </w:r>
          </w:p>
        </w:tc>
        <w:tc>
          <w:tcPr>
            <w:tcW w:w="860" w:type="dxa"/>
          </w:tcPr>
          <w:p>
            <w:pPr>
              <w:pStyle w:val="TableParagraph"/>
              <w:spacing w:before="130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</w:tr>
      <w:tr>
        <w:trPr>
          <w:trHeight w:val="208" w:hRule="atLeast"/>
        </w:trPr>
        <w:tc>
          <w:tcPr>
            <w:tcW w:w="39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</w:tcPr>
          <w:p>
            <w:pPr>
              <w:pStyle w:val="TableParagraph"/>
              <w:spacing w:before="26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avg</w:t>
            </w:r>
          </w:p>
        </w:tc>
        <w:tc>
          <w:tcPr>
            <w:tcW w:w="287" w:type="dxa"/>
          </w:tcPr>
          <w:p>
            <w:pPr>
              <w:pStyle w:val="TableParagraph"/>
              <w:spacing w:before="26"/>
              <w:ind w:left="50"/>
              <w:jc w:val="left"/>
              <w:rPr>
                <w:sz w:val="14"/>
              </w:rPr>
            </w:pPr>
            <w:r>
              <w:rPr>
                <w:w w:val="107"/>
                <w:sz w:val="14"/>
              </w:rPr>
              <w:t>=</w:t>
            </w:r>
          </w:p>
        </w:tc>
        <w:tc>
          <w:tcPr>
            <w:tcW w:w="860" w:type="dxa"/>
          </w:tcPr>
          <w:p>
            <w:pPr>
              <w:pStyle w:val="TableParagraph"/>
              <w:spacing w:before="26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1583.4</w:t>
            </w:r>
          </w:p>
        </w:tc>
      </w:tr>
      <w:tr>
        <w:trPr>
          <w:trHeight w:val="313" w:hRule="atLeast"/>
        </w:trPr>
        <w:tc>
          <w:tcPr>
            <w:tcW w:w="39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</w:tcPr>
          <w:p>
            <w:pPr>
              <w:pStyle w:val="TableParagraph"/>
              <w:spacing w:before="26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max</w:t>
            </w:r>
          </w:p>
        </w:tc>
        <w:tc>
          <w:tcPr>
            <w:tcW w:w="287" w:type="dxa"/>
          </w:tcPr>
          <w:p>
            <w:pPr>
              <w:pStyle w:val="TableParagraph"/>
              <w:spacing w:before="26"/>
              <w:ind w:left="50"/>
              <w:jc w:val="left"/>
              <w:rPr>
                <w:sz w:val="14"/>
              </w:rPr>
            </w:pPr>
            <w:r>
              <w:rPr>
                <w:w w:val="107"/>
                <w:sz w:val="14"/>
              </w:rPr>
              <w:t>=</w:t>
            </w:r>
          </w:p>
        </w:tc>
        <w:tc>
          <w:tcPr>
            <w:tcW w:w="860" w:type="dxa"/>
          </w:tcPr>
          <w:p>
            <w:pPr>
              <w:pStyle w:val="TableParagraph"/>
              <w:spacing w:before="26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3883</w:t>
            </w:r>
          </w:p>
        </w:tc>
      </w:tr>
      <w:tr>
        <w:trPr>
          <w:trHeight w:val="417" w:hRule="atLeast"/>
        </w:trPr>
        <w:tc>
          <w:tcPr>
            <w:tcW w:w="3968" w:type="dxa"/>
          </w:tcPr>
          <w:p>
            <w:pPr>
              <w:pStyle w:val="TableParagraph"/>
              <w:spacing w:before="130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Integration  method:</w:t>
            </w:r>
            <w:r>
              <w:rPr>
                <w:spacing w:val="8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mvaghermite</w:t>
            </w:r>
          </w:p>
        </w:tc>
        <w:tc>
          <w:tcPr>
            <w:tcW w:w="2438" w:type="dxa"/>
          </w:tcPr>
          <w:p>
            <w:pPr>
              <w:pStyle w:val="TableParagraph"/>
              <w:spacing w:before="130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Integration</w:t>
            </w:r>
            <w:r>
              <w:rPr>
                <w:spacing w:val="8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points</w:t>
            </w:r>
          </w:p>
        </w:tc>
        <w:tc>
          <w:tcPr>
            <w:tcW w:w="287" w:type="dxa"/>
          </w:tcPr>
          <w:p>
            <w:pPr>
              <w:pStyle w:val="TableParagraph"/>
              <w:spacing w:before="130"/>
              <w:ind w:left="50"/>
              <w:jc w:val="left"/>
              <w:rPr>
                <w:sz w:val="14"/>
              </w:rPr>
            </w:pPr>
            <w:r>
              <w:rPr>
                <w:w w:val="107"/>
                <w:sz w:val="14"/>
              </w:rPr>
              <w:t>=</w:t>
            </w:r>
          </w:p>
        </w:tc>
        <w:tc>
          <w:tcPr>
            <w:tcW w:w="860" w:type="dxa"/>
          </w:tcPr>
          <w:p>
            <w:pPr>
              <w:pStyle w:val="TableParagraph"/>
              <w:spacing w:before="130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</w:tr>
      <w:tr>
        <w:trPr>
          <w:trHeight w:val="313" w:hRule="atLeast"/>
        </w:trPr>
        <w:tc>
          <w:tcPr>
            <w:tcW w:w="396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</w:tcPr>
          <w:p>
            <w:pPr>
              <w:pStyle w:val="TableParagraph"/>
              <w:spacing w:before="130"/>
              <w:ind w:left="67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Wald</w:t>
            </w:r>
            <w:r>
              <w:rPr>
                <w:spacing w:val="6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chi2(34)</w:t>
            </w:r>
          </w:p>
        </w:tc>
        <w:tc>
          <w:tcPr>
            <w:tcW w:w="287" w:type="dxa"/>
          </w:tcPr>
          <w:p>
            <w:pPr>
              <w:pStyle w:val="TableParagraph"/>
              <w:spacing w:before="130"/>
              <w:ind w:left="50"/>
              <w:jc w:val="left"/>
              <w:rPr>
                <w:sz w:val="14"/>
              </w:rPr>
            </w:pPr>
            <w:r>
              <w:rPr>
                <w:w w:val="107"/>
                <w:sz w:val="14"/>
              </w:rPr>
              <w:t>=</w:t>
            </w:r>
          </w:p>
        </w:tc>
        <w:tc>
          <w:tcPr>
            <w:tcW w:w="860" w:type="dxa"/>
          </w:tcPr>
          <w:p>
            <w:pPr>
              <w:pStyle w:val="TableParagraph"/>
              <w:spacing w:before="130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5140.85</w:t>
            </w:r>
          </w:p>
        </w:tc>
      </w:tr>
      <w:tr>
        <w:trPr>
          <w:trHeight w:val="185" w:hRule="atLeast"/>
        </w:trPr>
        <w:tc>
          <w:tcPr>
            <w:tcW w:w="3968" w:type="dxa"/>
          </w:tcPr>
          <w:p>
            <w:pPr>
              <w:pStyle w:val="TableParagraph"/>
              <w:spacing w:line="140" w:lineRule="exact" w:before="26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Log</w:t>
            </w:r>
            <w:r>
              <w:rPr>
                <w:spacing w:val="4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likelihood </w:t>
            </w:r>
            <w:r>
              <w:rPr>
                <w:spacing w:val="8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4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-19133.805</w:t>
            </w:r>
          </w:p>
        </w:tc>
        <w:tc>
          <w:tcPr>
            <w:tcW w:w="2438" w:type="dxa"/>
          </w:tcPr>
          <w:p>
            <w:pPr>
              <w:pStyle w:val="TableParagraph"/>
              <w:spacing w:line="140" w:lineRule="exact" w:before="26"/>
              <w:ind w:left="67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Prob</w:t>
            </w:r>
            <w:r>
              <w:rPr>
                <w:spacing w:val="3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&gt;</w:t>
            </w:r>
            <w:r>
              <w:rPr>
                <w:spacing w:val="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chi2</w:t>
            </w:r>
          </w:p>
        </w:tc>
        <w:tc>
          <w:tcPr>
            <w:tcW w:w="287" w:type="dxa"/>
          </w:tcPr>
          <w:p>
            <w:pPr>
              <w:pStyle w:val="TableParagraph"/>
              <w:spacing w:line="140" w:lineRule="exact" w:before="26"/>
              <w:ind w:left="50"/>
              <w:jc w:val="left"/>
              <w:rPr>
                <w:sz w:val="14"/>
              </w:rPr>
            </w:pPr>
            <w:r>
              <w:rPr>
                <w:w w:val="107"/>
                <w:sz w:val="14"/>
              </w:rPr>
              <w:t>=</w:t>
            </w:r>
          </w:p>
        </w:tc>
        <w:tc>
          <w:tcPr>
            <w:tcW w:w="860" w:type="dxa"/>
          </w:tcPr>
          <w:p>
            <w:pPr>
              <w:pStyle w:val="TableParagraph"/>
              <w:spacing w:line="140" w:lineRule="exact" w:before="26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0.0000</w:t>
            </w:r>
          </w:p>
        </w:tc>
      </w:tr>
    </w:tbl>
    <w:p>
      <w:pPr>
        <w:pStyle w:val="BodyText"/>
        <w:rPr>
          <w:sz w:val="28"/>
        </w:rPr>
      </w:pPr>
    </w:p>
    <w:tbl>
      <w:tblPr>
        <w:tblW w:w="0" w:type="auto"/>
        <w:jc w:val="left"/>
        <w:tblInd w:w="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6"/>
        <w:gridCol w:w="1240"/>
        <w:gridCol w:w="1099"/>
        <w:gridCol w:w="812"/>
        <w:gridCol w:w="811"/>
        <w:gridCol w:w="1290"/>
        <w:gridCol w:w="903"/>
      </w:tblGrid>
      <w:tr>
        <w:trPr>
          <w:trHeight w:val="402" w:hRule="atLeast"/>
        </w:trPr>
        <w:tc>
          <w:tcPr>
            <w:tcW w:w="3196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0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illness</w:t>
            </w:r>
          </w:p>
        </w:tc>
        <w:tc>
          <w:tcPr>
            <w:tcW w:w="1240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0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Coef.</w:t>
            </w:r>
          </w:p>
        </w:tc>
        <w:tc>
          <w:tcPr>
            <w:tcW w:w="1099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0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Std.</w:t>
            </w:r>
            <w:r>
              <w:rPr>
                <w:spacing w:val="4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Err.</w:t>
            </w:r>
          </w:p>
        </w:tc>
        <w:tc>
          <w:tcPr>
            <w:tcW w:w="81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0"/>
              <w:ind w:left="488"/>
              <w:jc w:val="left"/>
              <w:rPr>
                <w:sz w:val="14"/>
              </w:rPr>
            </w:pPr>
            <w:r>
              <w:rPr>
                <w:w w:val="107"/>
                <w:sz w:val="14"/>
              </w:rPr>
              <w:t>z</w:t>
            </w:r>
          </w:p>
        </w:tc>
        <w:tc>
          <w:tcPr>
            <w:tcW w:w="811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0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P&gt;|z|</w:t>
            </w:r>
          </w:p>
        </w:tc>
        <w:tc>
          <w:tcPr>
            <w:tcW w:w="1290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0"/>
              <w:ind w:left="3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[95%</w:t>
            </w:r>
            <w:r>
              <w:rPr>
                <w:spacing w:val="4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Conf.</w:t>
            </w:r>
          </w:p>
        </w:tc>
        <w:tc>
          <w:tcPr>
            <w:tcW w:w="903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0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Interval]</w:t>
            </w:r>
          </w:p>
        </w:tc>
      </w:tr>
      <w:tr>
        <w:trPr>
          <w:trHeight w:val="313" w:hRule="atLeast"/>
        </w:trPr>
        <w:tc>
          <w:tcPr>
            <w:tcW w:w="3196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0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familysize</w:t>
            </w:r>
          </w:p>
        </w:tc>
        <w:tc>
          <w:tcPr>
            <w:tcW w:w="1240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30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.1255565</w:t>
            </w:r>
          </w:p>
        </w:tc>
        <w:tc>
          <w:tcPr>
            <w:tcW w:w="1099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0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.0323653</w:t>
            </w:r>
          </w:p>
        </w:tc>
        <w:tc>
          <w:tcPr>
            <w:tcW w:w="812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0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3.88</w:t>
            </w:r>
          </w:p>
        </w:tc>
        <w:tc>
          <w:tcPr>
            <w:tcW w:w="811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0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0"/>
              <w:ind w:left="3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.0621218</w:t>
            </w:r>
          </w:p>
        </w:tc>
        <w:tc>
          <w:tcPr>
            <w:tcW w:w="903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0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.1889913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hungerorfood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2.234926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.0662062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33.76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3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2.105165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2.364688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gari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-.0809213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.0465545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-1.74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0.082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-.1721665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.010324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rice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-.6220605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.0418947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-14.85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-.7041726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-.5399484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yamorcassavaormaizeflour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-.238434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.0380637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-6.26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-.3130375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-.1638305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beans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-.1770314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.0382392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-4.63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-.2519787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-.102084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meatorfish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-.5045191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.0794748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-6.35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-.6602868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-.3487514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mosquitonetpossession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-.4439939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.0663031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-6.70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-.5739456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-.3140423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primaryeducation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.031906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.0235455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1.36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0.175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-.0142424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.0780543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secondaryeducation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-.7788913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24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.077573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-10.04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-.9309316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-.626851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highercertificate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-.7435957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.0644707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-11.53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-.8699559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-.6172355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nobasiceducation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1.737944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.0360076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48.27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3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1.667371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1.808518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hadelectricity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-.206136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.0244182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-8.44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-.2539949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-.1582772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noelectricity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-.0746071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.0505863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-1.47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0.140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-.1737544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.0245402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pipebornewater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-.1655404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.0091978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-18.00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-.1835678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-.1475129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boreholeandwell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-.0213398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.0089158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-2.39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0.017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-.0388144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-.0038652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riverandspring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.2972178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.0369978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8.03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3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.2247034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.3697322</w:t>
            </w:r>
          </w:p>
        </w:tc>
      </w:tr>
      <w:tr>
        <w:trPr>
          <w:trHeight w:val="209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noaccesstowater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.1630136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.0510803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3.19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0.001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39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.062898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.2631293</w:t>
            </w:r>
          </w:p>
        </w:tc>
      </w:tr>
      <w:tr>
        <w:trPr>
          <w:trHeight w:val="209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waterandmoderntoilet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-.160224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24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.009148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-17.51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-.1781537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-.1422942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pitorlatrinetoilet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.00033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.0010807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0.31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0.760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-.0017882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.0024481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notoiletfacility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.0533579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.0309203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1.73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0.084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-.0072447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.1139605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alcoholicdrinks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.0579139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24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.027582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2.10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0.036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3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.0038542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.1119736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selfmedication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-.4713222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24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.084574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-5.57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-.6370842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-.3055602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seekinghealthcare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-.0267731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.0243848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-1.10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0.272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-.0745664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.0210202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others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.1699151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.0505786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3.36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0.001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3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.0707829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.2690472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wagesandsalaries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-.0499651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.0182174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-2.74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0.006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-.0856706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-.0142596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businesstradingandenterprises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-.0116879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.0067141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-1.74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0.082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-.0248472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.0014714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cropandlivestockincomes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-.0841383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.0160393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-5.25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-.1155748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-.0527018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remittance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.0253619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.0197894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1.28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0.200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-.0134247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.0641485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monetaryandconditionaltransfers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-.2413139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.0850826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-2.84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0.005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-.4080727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-.074555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pension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-.0189589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.0409335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-0.46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0.643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-.0991871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.0612693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dividendfrominterestandinvestmen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.1275637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.0834005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1.53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0.126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-.0358984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.2910257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incomesfromrentandpropertiesowne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.1332024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.0350407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3.80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3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.0645238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.201881</w:t>
            </w:r>
          </w:p>
        </w:tc>
      </w:tr>
      <w:tr>
        <w:trPr>
          <w:trHeight w:val="208" w:hRule="atLeast"/>
        </w:trPr>
        <w:tc>
          <w:tcPr>
            <w:tcW w:w="319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ginicoefficient</w:t>
            </w:r>
          </w:p>
        </w:tc>
        <w:tc>
          <w:tcPr>
            <w:tcW w:w="124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.3440181</w:t>
            </w:r>
          </w:p>
        </w:tc>
        <w:tc>
          <w:tcPr>
            <w:tcW w:w="1099" w:type="dxa"/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.1002813</w:t>
            </w:r>
          </w:p>
        </w:tc>
        <w:tc>
          <w:tcPr>
            <w:tcW w:w="812" w:type="dxa"/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3.43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0.001</w:t>
            </w:r>
          </w:p>
        </w:tc>
        <w:tc>
          <w:tcPr>
            <w:tcW w:w="1290" w:type="dxa"/>
          </w:tcPr>
          <w:p>
            <w:pPr>
              <w:pStyle w:val="TableParagraph"/>
              <w:spacing w:before="26"/>
              <w:ind w:left="3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.1474705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.5405657</w:t>
            </w:r>
          </w:p>
        </w:tc>
      </w:tr>
      <w:tr>
        <w:trPr>
          <w:trHeight w:val="298" w:hRule="atLeast"/>
        </w:trPr>
        <w:tc>
          <w:tcPr>
            <w:tcW w:w="3196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_cons</w:t>
            </w:r>
          </w:p>
        </w:tc>
        <w:tc>
          <w:tcPr>
            <w:tcW w:w="1240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1.139634</w:t>
            </w:r>
          </w:p>
        </w:tc>
        <w:tc>
          <w:tcPr>
            <w:tcW w:w="1099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.2049128</w:t>
            </w:r>
          </w:p>
        </w:tc>
        <w:tc>
          <w:tcPr>
            <w:tcW w:w="81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5.56</w:t>
            </w:r>
          </w:p>
        </w:tc>
        <w:tc>
          <w:tcPr>
            <w:tcW w:w="811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left="151" w:right="1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90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left="3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.7380118</w:t>
            </w:r>
          </w:p>
        </w:tc>
        <w:tc>
          <w:tcPr>
            <w:tcW w:w="903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1.541255</w:t>
            </w:r>
          </w:p>
        </w:tc>
      </w:tr>
      <w:tr>
        <w:trPr>
          <w:trHeight w:val="402" w:hRule="atLeast"/>
        </w:trPr>
        <w:tc>
          <w:tcPr>
            <w:tcW w:w="3196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0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/lnsig2u</w:t>
            </w:r>
          </w:p>
        </w:tc>
        <w:tc>
          <w:tcPr>
            <w:tcW w:w="1240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0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-1.7653</w:t>
            </w:r>
          </w:p>
        </w:tc>
        <w:tc>
          <w:tcPr>
            <w:tcW w:w="1099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0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.2482331</w:t>
            </w:r>
          </w:p>
        </w:tc>
        <w:tc>
          <w:tcPr>
            <w:tcW w:w="81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0"/>
              <w:ind w:left="20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-2.251828</w:t>
            </w:r>
          </w:p>
        </w:tc>
        <w:tc>
          <w:tcPr>
            <w:tcW w:w="903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0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-1.278772</w:t>
            </w:r>
          </w:p>
        </w:tc>
      </w:tr>
      <w:tr>
        <w:trPr>
          <w:trHeight w:val="313" w:hRule="atLeast"/>
        </w:trPr>
        <w:tc>
          <w:tcPr>
            <w:tcW w:w="3196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0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sigma_u</w:t>
            </w:r>
          </w:p>
        </w:tc>
        <w:tc>
          <w:tcPr>
            <w:tcW w:w="1240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30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.4136852</w:t>
            </w:r>
          </w:p>
        </w:tc>
        <w:tc>
          <w:tcPr>
            <w:tcW w:w="1099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0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.0513452</w:t>
            </w:r>
          </w:p>
        </w:tc>
        <w:tc>
          <w:tcPr>
            <w:tcW w:w="812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0"/>
              <w:ind w:left="30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.3243559</w:t>
            </w:r>
          </w:p>
        </w:tc>
        <w:tc>
          <w:tcPr>
            <w:tcW w:w="903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0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.5276163</w:t>
            </w:r>
          </w:p>
        </w:tc>
      </w:tr>
      <w:tr>
        <w:trPr>
          <w:trHeight w:val="298" w:hRule="atLeast"/>
        </w:trPr>
        <w:tc>
          <w:tcPr>
            <w:tcW w:w="3196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rho</w:t>
            </w:r>
          </w:p>
        </w:tc>
        <w:tc>
          <w:tcPr>
            <w:tcW w:w="1240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.0494468</w:t>
            </w:r>
          </w:p>
        </w:tc>
        <w:tc>
          <w:tcPr>
            <w:tcW w:w="1099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left="15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.0116674</w:t>
            </w:r>
          </w:p>
        </w:tc>
        <w:tc>
          <w:tcPr>
            <w:tcW w:w="812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left="39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.030988</w:t>
            </w:r>
          </w:p>
        </w:tc>
        <w:tc>
          <w:tcPr>
            <w:tcW w:w="903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.0780156</w:t>
            </w:r>
          </w:p>
        </w:tc>
      </w:tr>
    </w:tbl>
    <w:p>
      <w:pPr>
        <w:tabs>
          <w:tab w:pos="4750" w:val="left" w:leader="none"/>
        </w:tabs>
        <w:spacing w:before="131"/>
        <w:ind w:left="160" w:right="0" w:firstLine="0"/>
        <w:jc w:val="left"/>
        <w:rPr>
          <w:rFonts w:ascii="Courier New"/>
          <w:sz w:val="14"/>
        </w:rPr>
      </w:pPr>
      <w:r>
        <w:rPr>
          <w:rFonts w:ascii="Courier New"/>
          <w:w w:val="105"/>
          <w:sz w:val="14"/>
        </w:rPr>
        <w:t>Likelihood-ratio</w:t>
      </w:r>
      <w:r>
        <w:rPr>
          <w:rFonts w:ascii="Courier New"/>
          <w:spacing w:val="55"/>
          <w:w w:val="105"/>
          <w:sz w:val="14"/>
        </w:rPr>
        <w:t> </w:t>
      </w:r>
      <w:r>
        <w:rPr>
          <w:rFonts w:ascii="Courier New"/>
          <w:w w:val="105"/>
          <w:sz w:val="14"/>
        </w:rPr>
        <w:t>test</w:t>
      </w:r>
      <w:r>
        <w:rPr>
          <w:rFonts w:ascii="Courier New"/>
          <w:spacing w:val="56"/>
          <w:w w:val="105"/>
          <w:sz w:val="14"/>
        </w:rPr>
        <w:t> </w:t>
      </w:r>
      <w:r>
        <w:rPr>
          <w:rFonts w:ascii="Courier New"/>
          <w:w w:val="105"/>
          <w:sz w:val="14"/>
        </w:rPr>
        <w:t>of</w:t>
      </w:r>
      <w:r>
        <w:rPr>
          <w:rFonts w:ascii="Courier New"/>
          <w:spacing w:val="54"/>
          <w:w w:val="105"/>
          <w:sz w:val="14"/>
        </w:rPr>
        <w:t> </w:t>
      </w:r>
      <w:r>
        <w:rPr>
          <w:rFonts w:ascii="Courier New"/>
          <w:w w:val="105"/>
          <w:sz w:val="14"/>
        </w:rPr>
        <w:t>rho=0:</w:t>
      </w:r>
      <w:r>
        <w:rPr>
          <w:rFonts w:ascii="Courier New"/>
          <w:spacing w:val="55"/>
          <w:w w:val="105"/>
          <w:sz w:val="14"/>
        </w:rPr>
        <w:t> </w:t>
      </w:r>
      <w:r>
        <w:rPr>
          <w:rFonts w:ascii="Courier New"/>
          <w:w w:val="105"/>
          <w:sz w:val="14"/>
        </w:rPr>
        <w:t>chibar2(01)</w:t>
      </w:r>
      <w:r>
        <w:rPr>
          <w:rFonts w:ascii="Courier New"/>
          <w:spacing w:val="54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  <w:tab/>
        <w:t>814.17</w:t>
      </w:r>
      <w:r>
        <w:rPr>
          <w:rFonts w:ascii="Courier New"/>
          <w:spacing w:val="38"/>
          <w:w w:val="105"/>
          <w:sz w:val="14"/>
        </w:rPr>
        <w:t> </w:t>
      </w:r>
      <w:r>
        <w:rPr>
          <w:rFonts w:ascii="Courier New"/>
          <w:w w:val="105"/>
          <w:sz w:val="14"/>
        </w:rPr>
        <w:t>Prob</w:t>
      </w:r>
      <w:r>
        <w:rPr>
          <w:rFonts w:ascii="Courier New"/>
          <w:spacing w:val="38"/>
          <w:w w:val="105"/>
          <w:sz w:val="14"/>
        </w:rPr>
        <w:t> </w:t>
      </w:r>
      <w:r>
        <w:rPr>
          <w:rFonts w:ascii="Courier New"/>
          <w:w w:val="105"/>
          <w:sz w:val="14"/>
        </w:rPr>
        <w:t>&gt;=</w:t>
      </w:r>
      <w:r>
        <w:rPr>
          <w:rFonts w:ascii="Courier New"/>
          <w:spacing w:val="39"/>
          <w:w w:val="105"/>
          <w:sz w:val="14"/>
        </w:rPr>
        <w:t> </w:t>
      </w:r>
      <w:r>
        <w:rPr>
          <w:rFonts w:ascii="Courier New"/>
          <w:w w:val="105"/>
          <w:sz w:val="14"/>
        </w:rPr>
        <w:t>chibar2</w:t>
      </w:r>
      <w:r>
        <w:rPr>
          <w:rFonts w:ascii="Courier New"/>
          <w:spacing w:val="38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</w:r>
      <w:r>
        <w:rPr>
          <w:rFonts w:ascii="Courier New"/>
          <w:spacing w:val="39"/>
          <w:w w:val="105"/>
          <w:sz w:val="14"/>
        </w:rPr>
        <w:t> </w:t>
      </w:r>
      <w:r>
        <w:rPr>
          <w:rFonts w:ascii="Courier New"/>
          <w:w w:val="105"/>
          <w:sz w:val="14"/>
        </w:rPr>
        <w:t>0.000</w:t>
      </w:r>
    </w:p>
    <w:p>
      <w:pPr>
        <w:spacing w:after="0"/>
        <w:jc w:val="left"/>
        <w:rPr>
          <w:rFonts w:ascii="Courier New"/>
          <w:sz w:val="14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773"/>
      </w:pPr>
      <w:r>
        <w:rPr/>
        <w:t>TABLE</w:t>
      </w:r>
      <w:r>
        <w:rPr>
          <w:spacing w:val="-4"/>
        </w:rPr>
        <w:t> </w:t>
      </w:r>
      <w:r>
        <w:rPr/>
        <w:t>G8:</w:t>
      </w:r>
      <w:r>
        <w:rPr>
          <w:spacing w:val="-3"/>
        </w:rPr>
        <w:t> </w:t>
      </w:r>
      <w:r>
        <w:rPr/>
        <w:t>SUB-SAMPLE</w:t>
      </w:r>
      <w:r>
        <w:rPr>
          <w:spacing w:val="-4"/>
        </w:rPr>
        <w:t> </w:t>
      </w:r>
      <w:r>
        <w:rPr/>
        <w:t>ESTIMATION</w:t>
      </w:r>
      <w:r>
        <w:rPr>
          <w:spacing w:val="-2"/>
        </w:rPr>
        <w:t> </w:t>
      </w:r>
      <w:r>
        <w:rPr/>
        <w:t>(HOUSEHOLDS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˃#68,648.56)</w:t>
      </w:r>
    </w:p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3"/>
        <w:gridCol w:w="2416"/>
        <w:gridCol w:w="331"/>
        <w:gridCol w:w="805"/>
      </w:tblGrid>
      <w:tr>
        <w:trPr>
          <w:trHeight w:val="175" w:hRule="atLeast"/>
        </w:trPr>
        <w:tc>
          <w:tcPr>
            <w:tcW w:w="3933" w:type="dxa"/>
          </w:tcPr>
          <w:p>
            <w:pPr>
              <w:pStyle w:val="TableParagraph"/>
              <w:spacing w:before="5"/>
              <w:ind w:left="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Random-effects</w:t>
            </w:r>
            <w:r>
              <w:rPr>
                <w:spacing w:val="6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logistic</w:t>
            </w:r>
            <w:r>
              <w:rPr>
                <w:spacing w:val="6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regression</w:t>
            </w:r>
          </w:p>
        </w:tc>
        <w:tc>
          <w:tcPr>
            <w:tcW w:w="2416" w:type="dxa"/>
          </w:tcPr>
          <w:p>
            <w:pPr>
              <w:pStyle w:val="TableParagraph"/>
              <w:spacing w:before="5"/>
              <w:ind w:left="66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Number</w:t>
            </w:r>
            <w:r>
              <w:rPr>
                <w:spacing w:val="2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of</w:t>
            </w:r>
            <w:r>
              <w:rPr>
                <w:spacing w:val="2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obs</w:t>
            </w:r>
          </w:p>
        </w:tc>
        <w:tc>
          <w:tcPr>
            <w:tcW w:w="331" w:type="dxa"/>
          </w:tcPr>
          <w:p>
            <w:pPr>
              <w:pStyle w:val="TableParagraph"/>
              <w:spacing w:before="5"/>
              <w:ind w:left="49"/>
              <w:jc w:val="left"/>
              <w:rPr>
                <w:sz w:val="13"/>
              </w:rPr>
            </w:pPr>
            <w:r>
              <w:rPr>
                <w:w w:val="114"/>
                <w:sz w:val="13"/>
              </w:rPr>
              <w:t>=</w:t>
            </w:r>
          </w:p>
        </w:tc>
        <w:tc>
          <w:tcPr>
            <w:tcW w:w="805" w:type="dxa"/>
          </w:tcPr>
          <w:p>
            <w:pPr>
              <w:pStyle w:val="TableParagraph"/>
              <w:spacing w:before="5"/>
              <w:ind w:right="47"/>
              <w:rPr>
                <w:sz w:val="13"/>
              </w:rPr>
            </w:pPr>
            <w:r>
              <w:rPr>
                <w:w w:val="115"/>
                <w:sz w:val="13"/>
              </w:rPr>
              <w:t>12733</w:t>
            </w:r>
          </w:p>
        </w:tc>
      </w:tr>
      <w:tr>
        <w:trPr>
          <w:trHeight w:val="296" w:hRule="atLeast"/>
        </w:trPr>
        <w:tc>
          <w:tcPr>
            <w:tcW w:w="3933" w:type="dxa"/>
          </w:tcPr>
          <w:p>
            <w:pPr>
              <w:pStyle w:val="TableParagraph"/>
              <w:spacing w:before="26"/>
              <w:ind w:left="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Group</w:t>
            </w:r>
            <w:r>
              <w:rPr>
                <w:spacing w:val="4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variable:</w:t>
            </w:r>
            <w:r>
              <w:rPr>
                <w:spacing w:val="4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state</w:t>
            </w:r>
          </w:p>
        </w:tc>
        <w:tc>
          <w:tcPr>
            <w:tcW w:w="2416" w:type="dxa"/>
          </w:tcPr>
          <w:p>
            <w:pPr>
              <w:pStyle w:val="TableParagraph"/>
              <w:spacing w:before="26"/>
              <w:ind w:left="66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Number</w:t>
            </w:r>
            <w:r>
              <w:rPr>
                <w:spacing w:val="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of</w:t>
            </w:r>
            <w:r>
              <w:rPr>
                <w:spacing w:val="3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groups</w:t>
            </w:r>
          </w:p>
        </w:tc>
        <w:tc>
          <w:tcPr>
            <w:tcW w:w="331" w:type="dxa"/>
          </w:tcPr>
          <w:p>
            <w:pPr>
              <w:pStyle w:val="TableParagraph"/>
              <w:spacing w:before="26"/>
              <w:ind w:left="49"/>
              <w:jc w:val="left"/>
              <w:rPr>
                <w:sz w:val="13"/>
              </w:rPr>
            </w:pPr>
            <w:r>
              <w:rPr>
                <w:w w:val="114"/>
                <w:sz w:val="13"/>
              </w:rPr>
              <w:t>=</w:t>
            </w:r>
          </w:p>
        </w:tc>
        <w:tc>
          <w:tcPr>
            <w:tcW w:w="805" w:type="dxa"/>
          </w:tcPr>
          <w:p>
            <w:pPr>
              <w:pStyle w:val="TableParagraph"/>
              <w:spacing w:before="26"/>
              <w:ind w:right="47"/>
              <w:rPr>
                <w:sz w:val="13"/>
              </w:rPr>
            </w:pPr>
            <w:r>
              <w:rPr>
                <w:w w:val="115"/>
                <w:sz w:val="13"/>
              </w:rPr>
              <w:t>37</w:t>
            </w:r>
          </w:p>
        </w:tc>
      </w:tr>
      <w:tr>
        <w:trPr>
          <w:trHeight w:val="296" w:hRule="atLeast"/>
        </w:trPr>
        <w:tc>
          <w:tcPr>
            <w:tcW w:w="3933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Random</w:t>
            </w:r>
            <w:r>
              <w:rPr>
                <w:spacing w:val="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effects</w:t>
            </w:r>
            <w:r>
              <w:rPr>
                <w:spacing w:val="3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u_i</w:t>
            </w:r>
            <w:r>
              <w:rPr>
                <w:spacing w:val="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~</w:t>
            </w:r>
            <w:r>
              <w:rPr>
                <w:spacing w:val="3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Gaussian</w:t>
            </w:r>
          </w:p>
        </w:tc>
        <w:tc>
          <w:tcPr>
            <w:tcW w:w="2416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right="48"/>
              <w:rPr>
                <w:sz w:val="13"/>
              </w:rPr>
            </w:pPr>
            <w:r>
              <w:rPr>
                <w:w w:val="115"/>
                <w:sz w:val="13"/>
              </w:rPr>
              <w:t>Obs</w:t>
            </w:r>
            <w:r>
              <w:rPr>
                <w:spacing w:val="2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</w:t>
            </w:r>
            <w:r>
              <w:rPr>
                <w:spacing w:val="2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group:</w:t>
            </w:r>
            <w:r>
              <w:rPr>
                <w:spacing w:val="2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min</w:t>
            </w:r>
          </w:p>
        </w:tc>
        <w:tc>
          <w:tcPr>
            <w:tcW w:w="3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49"/>
              <w:jc w:val="left"/>
              <w:rPr>
                <w:sz w:val="13"/>
              </w:rPr>
            </w:pPr>
            <w:r>
              <w:rPr>
                <w:w w:val="114"/>
                <w:sz w:val="13"/>
              </w:rPr>
              <w:t>=</w:t>
            </w:r>
          </w:p>
        </w:tc>
        <w:tc>
          <w:tcPr>
            <w:tcW w:w="80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right="47"/>
              <w:rPr>
                <w:sz w:val="13"/>
              </w:rPr>
            </w:pPr>
            <w:r>
              <w:rPr>
                <w:w w:val="115"/>
                <w:sz w:val="13"/>
              </w:rPr>
              <w:t>60</w:t>
            </w:r>
          </w:p>
        </w:tc>
      </w:tr>
      <w:tr>
        <w:trPr>
          <w:trHeight w:val="197" w:hRule="atLeast"/>
        </w:trPr>
        <w:tc>
          <w:tcPr>
            <w:tcW w:w="393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w w:val="115"/>
                <w:sz w:val="13"/>
              </w:rPr>
              <w:t>avg</w:t>
            </w:r>
          </w:p>
        </w:tc>
        <w:tc>
          <w:tcPr>
            <w:tcW w:w="331" w:type="dxa"/>
          </w:tcPr>
          <w:p>
            <w:pPr>
              <w:pStyle w:val="TableParagraph"/>
              <w:spacing w:before="27"/>
              <w:ind w:left="49"/>
              <w:jc w:val="left"/>
              <w:rPr>
                <w:sz w:val="13"/>
              </w:rPr>
            </w:pPr>
            <w:r>
              <w:rPr>
                <w:w w:val="114"/>
                <w:sz w:val="13"/>
              </w:rPr>
              <w:t>=</w:t>
            </w:r>
          </w:p>
        </w:tc>
        <w:tc>
          <w:tcPr>
            <w:tcW w:w="805" w:type="dxa"/>
          </w:tcPr>
          <w:p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w w:val="115"/>
                <w:sz w:val="13"/>
              </w:rPr>
              <w:t>344.1</w:t>
            </w:r>
          </w:p>
        </w:tc>
      </w:tr>
      <w:tr>
        <w:trPr>
          <w:trHeight w:val="296" w:hRule="atLeast"/>
        </w:trPr>
        <w:tc>
          <w:tcPr>
            <w:tcW w:w="393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w w:val="115"/>
                <w:sz w:val="13"/>
              </w:rPr>
              <w:t>max</w:t>
            </w:r>
          </w:p>
        </w:tc>
        <w:tc>
          <w:tcPr>
            <w:tcW w:w="331" w:type="dxa"/>
          </w:tcPr>
          <w:p>
            <w:pPr>
              <w:pStyle w:val="TableParagraph"/>
              <w:spacing w:before="27"/>
              <w:ind w:left="49"/>
              <w:jc w:val="left"/>
              <w:rPr>
                <w:sz w:val="13"/>
              </w:rPr>
            </w:pPr>
            <w:r>
              <w:rPr>
                <w:w w:val="114"/>
                <w:sz w:val="13"/>
              </w:rPr>
              <w:t>=</w:t>
            </w:r>
          </w:p>
        </w:tc>
        <w:tc>
          <w:tcPr>
            <w:tcW w:w="805" w:type="dxa"/>
          </w:tcPr>
          <w:p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w w:val="115"/>
                <w:sz w:val="13"/>
              </w:rPr>
              <w:t>1307</w:t>
            </w:r>
          </w:p>
        </w:tc>
      </w:tr>
      <w:tr>
        <w:trPr>
          <w:trHeight w:val="395" w:hRule="atLeast"/>
        </w:trPr>
        <w:tc>
          <w:tcPr>
            <w:tcW w:w="3933" w:type="dxa"/>
          </w:tcPr>
          <w:p>
            <w:pPr>
              <w:pStyle w:val="TableParagraph"/>
              <w:spacing w:before="126"/>
              <w:ind w:left="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Integration</w:t>
            </w:r>
            <w:r>
              <w:rPr>
                <w:spacing w:val="5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method:</w:t>
            </w:r>
            <w:r>
              <w:rPr>
                <w:spacing w:val="5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mvaghermite</w:t>
            </w:r>
          </w:p>
        </w:tc>
        <w:tc>
          <w:tcPr>
            <w:tcW w:w="2416" w:type="dxa"/>
          </w:tcPr>
          <w:p>
            <w:pPr>
              <w:pStyle w:val="TableParagraph"/>
              <w:spacing w:before="126"/>
              <w:ind w:right="48"/>
              <w:rPr>
                <w:sz w:val="13"/>
              </w:rPr>
            </w:pPr>
            <w:r>
              <w:rPr>
                <w:w w:val="115"/>
                <w:sz w:val="13"/>
              </w:rPr>
              <w:t>Integration</w:t>
            </w:r>
            <w:r>
              <w:rPr>
                <w:spacing w:val="5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points</w:t>
            </w:r>
          </w:p>
        </w:tc>
        <w:tc>
          <w:tcPr>
            <w:tcW w:w="331" w:type="dxa"/>
          </w:tcPr>
          <w:p>
            <w:pPr>
              <w:pStyle w:val="TableParagraph"/>
              <w:spacing w:before="126"/>
              <w:ind w:left="49"/>
              <w:jc w:val="left"/>
              <w:rPr>
                <w:sz w:val="13"/>
              </w:rPr>
            </w:pPr>
            <w:r>
              <w:rPr>
                <w:w w:val="114"/>
                <w:sz w:val="13"/>
              </w:rPr>
              <w:t>=</w:t>
            </w:r>
          </w:p>
        </w:tc>
        <w:tc>
          <w:tcPr>
            <w:tcW w:w="805" w:type="dxa"/>
          </w:tcPr>
          <w:p>
            <w:pPr>
              <w:pStyle w:val="TableParagraph"/>
              <w:spacing w:before="126"/>
              <w:ind w:right="47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</w:tr>
      <w:tr>
        <w:trPr>
          <w:trHeight w:val="296" w:hRule="atLeast"/>
        </w:trPr>
        <w:tc>
          <w:tcPr>
            <w:tcW w:w="393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16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66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Wald</w:t>
            </w:r>
            <w:r>
              <w:rPr>
                <w:spacing w:val="4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chi2(34)</w:t>
            </w:r>
          </w:p>
        </w:tc>
        <w:tc>
          <w:tcPr>
            <w:tcW w:w="331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49"/>
              <w:jc w:val="left"/>
              <w:rPr>
                <w:sz w:val="13"/>
              </w:rPr>
            </w:pPr>
            <w:r>
              <w:rPr>
                <w:w w:val="114"/>
                <w:sz w:val="13"/>
              </w:rPr>
              <w:t>=</w:t>
            </w:r>
          </w:p>
        </w:tc>
        <w:tc>
          <w:tcPr>
            <w:tcW w:w="805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right="47"/>
              <w:rPr>
                <w:sz w:val="13"/>
              </w:rPr>
            </w:pPr>
            <w:r>
              <w:rPr>
                <w:w w:val="115"/>
                <w:sz w:val="13"/>
              </w:rPr>
              <w:t>854.93</w:t>
            </w:r>
          </w:p>
        </w:tc>
      </w:tr>
      <w:tr>
        <w:trPr>
          <w:trHeight w:val="175" w:hRule="atLeast"/>
        </w:trPr>
        <w:tc>
          <w:tcPr>
            <w:tcW w:w="3933" w:type="dxa"/>
          </w:tcPr>
          <w:p>
            <w:pPr>
              <w:pStyle w:val="TableParagraph"/>
              <w:spacing w:line="129" w:lineRule="exact" w:before="27"/>
              <w:ind w:left="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Log</w:t>
            </w:r>
            <w:r>
              <w:rPr>
                <w:spacing w:val="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likelihood </w:t>
            </w:r>
            <w:r>
              <w:rPr>
                <w:spacing w:val="5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=</w:t>
            </w:r>
            <w:r>
              <w:rPr>
                <w:spacing w:val="3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-4751.6023</w:t>
            </w:r>
          </w:p>
        </w:tc>
        <w:tc>
          <w:tcPr>
            <w:tcW w:w="2416" w:type="dxa"/>
          </w:tcPr>
          <w:p>
            <w:pPr>
              <w:pStyle w:val="TableParagraph"/>
              <w:spacing w:line="129" w:lineRule="exact" w:before="27"/>
              <w:ind w:left="66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Prob</w:t>
            </w:r>
            <w:r>
              <w:rPr>
                <w:spacing w:val="2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&gt;</w:t>
            </w:r>
            <w:r>
              <w:rPr>
                <w:spacing w:val="2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chi2</w:t>
            </w:r>
          </w:p>
        </w:tc>
        <w:tc>
          <w:tcPr>
            <w:tcW w:w="331" w:type="dxa"/>
          </w:tcPr>
          <w:p>
            <w:pPr>
              <w:pStyle w:val="TableParagraph"/>
              <w:spacing w:line="129" w:lineRule="exact" w:before="27"/>
              <w:ind w:left="49"/>
              <w:jc w:val="left"/>
              <w:rPr>
                <w:sz w:val="13"/>
              </w:rPr>
            </w:pPr>
            <w:r>
              <w:rPr>
                <w:w w:val="114"/>
                <w:sz w:val="13"/>
              </w:rPr>
              <w:t>=</w:t>
            </w:r>
          </w:p>
        </w:tc>
        <w:tc>
          <w:tcPr>
            <w:tcW w:w="805" w:type="dxa"/>
          </w:tcPr>
          <w:p>
            <w:pPr>
              <w:pStyle w:val="TableParagraph"/>
              <w:spacing w:line="129" w:lineRule="exact" w:before="27"/>
              <w:ind w:right="47"/>
              <w:rPr>
                <w:sz w:val="13"/>
              </w:rPr>
            </w:pPr>
            <w:r>
              <w:rPr>
                <w:w w:val="115"/>
                <w:sz w:val="13"/>
              </w:rPr>
              <w:t>0.0000</w:t>
            </w:r>
          </w:p>
        </w:tc>
      </w:tr>
    </w:tbl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8"/>
        <w:gridCol w:w="1230"/>
        <w:gridCol w:w="1138"/>
        <w:gridCol w:w="759"/>
        <w:gridCol w:w="806"/>
        <w:gridCol w:w="1280"/>
        <w:gridCol w:w="897"/>
      </w:tblGrid>
      <w:tr>
        <w:trPr>
          <w:trHeight w:val="380" w:hRule="atLeast"/>
        </w:trPr>
        <w:tc>
          <w:tcPr>
            <w:tcW w:w="3168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5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illness</w:t>
            </w:r>
          </w:p>
        </w:tc>
        <w:tc>
          <w:tcPr>
            <w:tcW w:w="1230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5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Coef.</w:t>
            </w:r>
          </w:p>
        </w:tc>
        <w:tc>
          <w:tcPr>
            <w:tcW w:w="1138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5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Std.</w:t>
            </w:r>
            <w:r>
              <w:rPr>
                <w:spacing w:val="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Err.</w:t>
            </w:r>
          </w:p>
        </w:tc>
        <w:tc>
          <w:tcPr>
            <w:tcW w:w="759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5"/>
              <w:ind w:left="197"/>
              <w:jc w:val="center"/>
              <w:rPr>
                <w:sz w:val="13"/>
              </w:rPr>
            </w:pPr>
            <w:r>
              <w:rPr>
                <w:w w:val="114"/>
                <w:sz w:val="13"/>
              </w:rPr>
              <w:t>z</w:t>
            </w:r>
          </w:p>
        </w:tc>
        <w:tc>
          <w:tcPr>
            <w:tcW w:w="80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5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P&gt;|z|</w:t>
            </w:r>
          </w:p>
        </w:tc>
        <w:tc>
          <w:tcPr>
            <w:tcW w:w="1280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5"/>
              <w:ind w:left="29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[95%</w:t>
            </w:r>
            <w:r>
              <w:rPr>
                <w:spacing w:val="3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Conf.</w:t>
            </w:r>
          </w:p>
        </w:tc>
        <w:tc>
          <w:tcPr>
            <w:tcW w:w="897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5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Interval]</w:t>
            </w:r>
          </w:p>
        </w:tc>
      </w:tr>
      <w:tr>
        <w:trPr>
          <w:trHeight w:val="296" w:hRule="atLeast"/>
        </w:trPr>
        <w:tc>
          <w:tcPr>
            <w:tcW w:w="3168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5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familysize</w:t>
            </w:r>
          </w:p>
        </w:tc>
        <w:tc>
          <w:tcPr>
            <w:tcW w:w="1230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25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.7288192</w:t>
            </w:r>
          </w:p>
        </w:tc>
        <w:tc>
          <w:tcPr>
            <w:tcW w:w="1138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5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.1451205</w:t>
            </w:r>
          </w:p>
        </w:tc>
        <w:tc>
          <w:tcPr>
            <w:tcW w:w="759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5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5.02</w:t>
            </w:r>
          </w:p>
        </w:tc>
        <w:tc>
          <w:tcPr>
            <w:tcW w:w="806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5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0.000</w:t>
            </w:r>
          </w:p>
        </w:tc>
        <w:tc>
          <w:tcPr>
            <w:tcW w:w="1280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5"/>
              <w:ind w:left="29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.4443883</w:t>
            </w:r>
          </w:p>
        </w:tc>
        <w:tc>
          <w:tcPr>
            <w:tcW w:w="897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5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1.01325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hungerornofood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2.156948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.1260258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17.12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29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1.909942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2.403954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gari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-.0135969</w:t>
            </w:r>
          </w:p>
        </w:tc>
        <w:tc>
          <w:tcPr>
            <w:tcW w:w="1138" w:type="dxa"/>
          </w:tcPr>
          <w:p>
            <w:pPr>
              <w:pStyle w:val="TableParagraph"/>
              <w:spacing w:before="26"/>
              <w:ind w:left="24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.080197</w:t>
            </w:r>
          </w:p>
        </w:tc>
        <w:tc>
          <w:tcPr>
            <w:tcW w:w="759" w:type="dxa"/>
          </w:tcPr>
          <w:p>
            <w:pPr>
              <w:pStyle w:val="TableParagraph"/>
              <w:spacing w:before="26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-0.17</w:t>
            </w:r>
          </w:p>
        </w:tc>
        <w:tc>
          <w:tcPr>
            <w:tcW w:w="806" w:type="dxa"/>
          </w:tcPr>
          <w:p>
            <w:pPr>
              <w:pStyle w:val="TableParagraph"/>
              <w:spacing w:before="26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0.865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-.1707803</w:t>
            </w:r>
          </w:p>
        </w:tc>
        <w:tc>
          <w:tcPr>
            <w:tcW w:w="897" w:type="dxa"/>
          </w:tcPr>
          <w:p>
            <w:pPr>
              <w:pStyle w:val="TableParagraph"/>
              <w:spacing w:before="26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.1435864</w:t>
            </w:r>
          </w:p>
        </w:tc>
      </w:tr>
      <w:tr>
        <w:trPr>
          <w:trHeight w:val="198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rice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-.1392435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.1932999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-0.72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0.471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-.5181044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.2396173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yamorcassavaormaizeflour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-.2788766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.0760107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-3.67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-.4278548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-.1298983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beans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-.1312671</w:t>
            </w:r>
          </w:p>
        </w:tc>
        <w:tc>
          <w:tcPr>
            <w:tcW w:w="1138" w:type="dxa"/>
          </w:tcPr>
          <w:p>
            <w:pPr>
              <w:pStyle w:val="TableParagraph"/>
              <w:spacing w:before="26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.0689421</w:t>
            </w:r>
          </w:p>
        </w:tc>
        <w:tc>
          <w:tcPr>
            <w:tcW w:w="759" w:type="dxa"/>
          </w:tcPr>
          <w:p>
            <w:pPr>
              <w:pStyle w:val="TableParagraph"/>
              <w:spacing w:before="26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-1.90</w:t>
            </w:r>
          </w:p>
        </w:tc>
        <w:tc>
          <w:tcPr>
            <w:tcW w:w="806" w:type="dxa"/>
          </w:tcPr>
          <w:p>
            <w:pPr>
              <w:pStyle w:val="TableParagraph"/>
              <w:spacing w:before="26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0.057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-.2663912</w:t>
            </w:r>
          </w:p>
        </w:tc>
        <w:tc>
          <w:tcPr>
            <w:tcW w:w="897" w:type="dxa"/>
          </w:tcPr>
          <w:p>
            <w:pPr>
              <w:pStyle w:val="TableParagraph"/>
              <w:spacing w:before="26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.0038569</w:t>
            </w:r>
          </w:p>
        </w:tc>
      </w:tr>
      <w:tr>
        <w:trPr>
          <w:trHeight w:val="198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meatorfish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-.2100755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24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.177381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-1.18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0.236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-.5577358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.1375848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mosquitonetpossession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-.6762671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.1804369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-3.75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-1.029917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-.3226173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primaryeducation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.0003997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.0330398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0.01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0.990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-.0643571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.0651565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secondaryeducation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-.1627274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.1118379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-1.46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0.146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-.3819256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.0564709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highercertificate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-.6447872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.1789288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-3.60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-.9954812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-.2940932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nobasiceducation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.0774559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.0932046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0.83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0.406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-.1052216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.2601335</w:t>
            </w:r>
          </w:p>
        </w:tc>
      </w:tr>
      <w:tr>
        <w:trPr>
          <w:trHeight w:val="198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hadelectricity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-.0929285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.1262581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-0.74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0.462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-.3403898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.1545327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noelectricity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.0777631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.2703997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0.29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0.774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-.4522105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.6077367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pipebornewater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-.1482242</w:t>
            </w:r>
          </w:p>
        </w:tc>
        <w:tc>
          <w:tcPr>
            <w:tcW w:w="1138" w:type="dxa"/>
          </w:tcPr>
          <w:p>
            <w:pPr>
              <w:pStyle w:val="TableParagraph"/>
              <w:spacing w:before="26"/>
              <w:ind w:left="24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.018185</w:t>
            </w:r>
          </w:p>
        </w:tc>
        <w:tc>
          <w:tcPr>
            <w:tcW w:w="759" w:type="dxa"/>
          </w:tcPr>
          <w:p>
            <w:pPr>
              <w:pStyle w:val="TableParagraph"/>
              <w:spacing w:before="26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-8.15</w:t>
            </w:r>
          </w:p>
        </w:tc>
        <w:tc>
          <w:tcPr>
            <w:tcW w:w="806" w:type="dxa"/>
          </w:tcPr>
          <w:p>
            <w:pPr>
              <w:pStyle w:val="TableParagraph"/>
              <w:spacing w:before="26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-.1838662</w:t>
            </w:r>
          </w:p>
        </w:tc>
        <w:tc>
          <w:tcPr>
            <w:tcW w:w="897" w:type="dxa"/>
          </w:tcPr>
          <w:p>
            <w:pPr>
              <w:pStyle w:val="TableParagraph"/>
              <w:spacing w:before="26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-.1125821</w:t>
            </w:r>
          </w:p>
        </w:tc>
      </w:tr>
      <w:tr>
        <w:trPr>
          <w:trHeight w:val="198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boreholeandwell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-.0017053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24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.018058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-0.09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0.925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-.0370984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.0336878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riverandspring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.3147395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.0738233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4.26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29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.1700485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.4594305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noaccesstowater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.005464</w:t>
            </w:r>
          </w:p>
        </w:tc>
        <w:tc>
          <w:tcPr>
            <w:tcW w:w="1138" w:type="dxa"/>
          </w:tcPr>
          <w:p>
            <w:pPr>
              <w:pStyle w:val="TableParagraph"/>
              <w:spacing w:before="26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.0149261</w:t>
            </w:r>
          </w:p>
        </w:tc>
        <w:tc>
          <w:tcPr>
            <w:tcW w:w="759" w:type="dxa"/>
          </w:tcPr>
          <w:p>
            <w:pPr>
              <w:pStyle w:val="TableParagraph"/>
              <w:spacing w:before="26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0.37</w:t>
            </w:r>
          </w:p>
        </w:tc>
        <w:tc>
          <w:tcPr>
            <w:tcW w:w="806" w:type="dxa"/>
          </w:tcPr>
          <w:p>
            <w:pPr>
              <w:pStyle w:val="TableParagraph"/>
              <w:spacing w:before="26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0.714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-.0237906</w:t>
            </w:r>
          </w:p>
        </w:tc>
        <w:tc>
          <w:tcPr>
            <w:tcW w:w="897" w:type="dxa"/>
          </w:tcPr>
          <w:p>
            <w:pPr>
              <w:pStyle w:val="TableParagraph"/>
              <w:spacing w:before="26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.0347186</w:t>
            </w:r>
          </w:p>
        </w:tc>
      </w:tr>
      <w:tr>
        <w:trPr>
          <w:trHeight w:val="198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waterormoderntoilet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-.2017545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.1115749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-1.81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0.071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-.4204372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.0169282</w:t>
            </w:r>
          </w:p>
        </w:tc>
      </w:tr>
      <w:tr>
        <w:trPr>
          <w:trHeight w:val="198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pitorlatrinetoilet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.0000789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.0017164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0.05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0.963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-.0032852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.003443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notoiletfacility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.0031351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339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.05786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0.05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0.957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-.1102684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.1165387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alcoholic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.0944091</w:t>
            </w:r>
          </w:p>
        </w:tc>
        <w:tc>
          <w:tcPr>
            <w:tcW w:w="1138" w:type="dxa"/>
          </w:tcPr>
          <w:p>
            <w:pPr>
              <w:pStyle w:val="TableParagraph"/>
              <w:spacing w:before="26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.0556121</w:t>
            </w:r>
          </w:p>
        </w:tc>
        <w:tc>
          <w:tcPr>
            <w:tcW w:w="759" w:type="dxa"/>
          </w:tcPr>
          <w:p>
            <w:pPr>
              <w:pStyle w:val="TableParagraph"/>
              <w:spacing w:before="26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1.70</w:t>
            </w:r>
          </w:p>
        </w:tc>
        <w:tc>
          <w:tcPr>
            <w:tcW w:w="806" w:type="dxa"/>
          </w:tcPr>
          <w:p>
            <w:pPr>
              <w:pStyle w:val="TableParagraph"/>
              <w:spacing w:before="26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0.090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-.0145886</w:t>
            </w:r>
          </w:p>
        </w:tc>
        <w:tc>
          <w:tcPr>
            <w:tcW w:w="897" w:type="dxa"/>
          </w:tcPr>
          <w:p>
            <w:pPr>
              <w:pStyle w:val="TableParagraph"/>
              <w:spacing w:before="26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.2034068</w:t>
            </w:r>
          </w:p>
        </w:tc>
      </w:tr>
      <w:tr>
        <w:trPr>
          <w:trHeight w:val="198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selfmedication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-.6094503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.2994438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-2.04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0.042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-1.196349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-.0225512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seekingorthodoxyhealthcare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-.138377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.0613277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-2.26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0.024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29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-.258577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-.0181769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otherhealthcareservices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.2954139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.0938669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3.15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0.002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29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.1114382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.4793896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wagesandsalaries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-.0048209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.0321137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-0.15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0.881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-.0677626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.0581207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entreprisesandbusiness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-.0322969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.1155695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-0.28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0.780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29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-.258809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.1942152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cropandlivestockincomes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-.0462084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.0248193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-1.86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0.063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-.0948533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.0024366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remittances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-.2920633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.1611943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-1.81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0.070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-.6079983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.0238717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monetaryandconditionaltransfers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-.3108454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24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.120601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-2.58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0.010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29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-.547219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-.0744718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pensionsandgrants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-.1167654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.1634786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7" w:right="12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-0.71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0.475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-.4371776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.2036468</w:t>
            </w:r>
          </w:p>
        </w:tc>
      </w:tr>
      <w:tr>
        <w:trPr>
          <w:trHeight w:val="198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dividendandinterestfrominvestmen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.2222396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.2484684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0.89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0.371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-.2647495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.7092286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incomesfromlandandhouseownership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.1558036</w:t>
            </w:r>
          </w:p>
        </w:tc>
        <w:tc>
          <w:tcPr>
            <w:tcW w:w="1138" w:type="dxa"/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.0585837</w:t>
            </w:r>
          </w:p>
        </w:tc>
        <w:tc>
          <w:tcPr>
            <w:tcW w:w="759" w:type="dxa"/>
          </w:tcPr>
          <w:p>
            <w:pPr>
              <w:pStyle w:val="TableParagraph"/>
              <w:spacing w:before="27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2.66</w:t>
            </w:r>
          </w:p>
        </w:tc>
        <w:tc>
          <w:tcPr>
            <w:tcW w:w="806" w:type="dxa"/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0.008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29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.0409815</w:t>
            </w:r>
          </w:p>
        </w:tc>
        <w:tc>
          <w:tcPr>
            <w:tcW w:w="897" w:type="dxa"/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.2706256</w:t>
            </w:r>
          </w:p>
        </w:tc>
      </w:tr>
      <w:tr>
        <w:trPr>
          <w:trHeight w:val="197" w:hRule="atLeast"/>
        </w:trPr>
        <w:tc>
          <w:tcPr>
            <w:tcW w:w="31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ginicoefficient</w:t>
            </w:r>
          </w:p>
        </w:tc>
        <w:tc>
          <w:tcPr>
            <w:tcW w:w="123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.0027848</w:t>
            </w:r>
          </w:p>
        </w:tc>
        <w:tc>
          <w:tcPr>
            <w:tcW w:w="1138" w:type="dxa"/>
          </w:tcPr>
          <w:p>
            <w:pPr>
              <w:pStyle w:val="TableParagraph"/>
              <w:spacing w:before="26"/>
              <w:ind w:left="24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.022592</w:t>
            </w:r>
          </w:p>
        </w:tc>
        <w:tc>
          <w:tcPr>
            <w:tcW w:w="759" w:type="dxa"/>
          </w:tcPr>
          <w:p>
            <w:pPr>
              <w:pStyle w:val="TableParagraph"/>
              <w:spacing w:before="26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0.12</w:t>
            </w:r>
          </w:p>
        </w:tc>
        <w:tc>
          <w:tcPr>
            <w:tcW w:w="806" w:type="dxa"/>
          </w:tcPr>
          <w:p>
            <w:pPr>
              <w:pStyle w:val="TableParagraph"/>
              <w:spacing w:before="26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0.902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-.0414947</w:t>
            </w:r>
          </w:p>
        </w:tc>
        <w:tc>
          <w:tcPr>
            <w:tcW w:w="897" w:type="dxa"/>
          </w:tcPr>
          <w:p>
            <w:pPr>
              <w:pStyle w:val="TableParagraph"/>
              <w:spacing w:before="26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.0470643</w:t>
            </w:r>
          </w:p>
        </w:tc>
      </w:tr>
      <w:tr>
        <w:trPr>
          <w:trHeight w:val="282" w:hRule="atLeast"/>
        </w:trPr>
        <w:tc>
          <w:tcPr>
            <w:tcW w:w="3168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_cons</w:t>
            </w:r>
          </w:p>
        </w:tc>
        <w:tc>
          <w:tcPr>
            <w:tcW w:w="1230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.0180391</w:t>
            </w:r>
          </w:p>
        </w:tc>
        <w:tc>
          <w:tcPr>
            <w:tcW w:w="1138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7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.6014795</w:t>
            </w:r>
          </w:p>
        </w:tc>
        <w:tc>
          <w:tcPr>
            <w:tcW w:w="759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7"/>
              <w:ind w:left="139" w:right="3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0.03</w:t>
            </w:r>
          </w:p>
        </w:tc>
        <w:tc>
          <w:tcPr>
            <w:tcW w:w="80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7"/>
              <w:ind w:left="139" w:right="177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0.976</w:t>
            </w:r>
          </w:p>
        </w:tc>
        <w:tc>
          <w:tcPr>
            <w:tcW w:w="1280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7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-1.160839</w:t>
            </w:r>
          </w:p>
        </w:tc>
        <w:tc>
          <w:tcPr>
            <w:tcW w:w="897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1.196917</w:t>
            </w:r>
          </w:p>
        </w:tc>
      </w:tr>
      <w:tr>
        <w:trPr>
          <w:trHeight w:val="380" w:hRule="atLeast"/>
        </w:trPr>
        <w:tc>
          <w:tcPr>
            <w:tcW w:w="3168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5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/lnsig2u</w:t>
            </w:r>
          </w:p>
        </w:tc>
        <w:tc>
          <w:tcPr>
            <w:tcW w:w="1230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5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-1.281047</w:t>
            </w:r>
          </w:p>
        </w:tc>
        <w:tc>
          <w:tcPr>
            <w:tcW w:w="1138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5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.2881659</w:t>
            </w:r>
          </w:p>
        </w:tc>
        <w:tc>
          <w:tcPr>
            <w:tcW w:w="759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0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5"/>
              <w:ind w:left="195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-1.845842</w:t>
            </w:r>
          </w:p>
        </w:tc>
        <w:tc>
          <w:tcPr>
            <w:tcW w:w="897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5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-.7162524</w:t>
            </w:r>
          </w:p>
        </w:tc>
      </w:tr>
      <w:tr>
        <w:trPr>
          <w:trHeight w:val="296" w:hRule="atLeast"/>
        </w:trPr>
        <w:tc>
          <w:tcPr>
            <w:tcW w:w="3168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5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sigma_u</w:t>
            </w:r>
          </w:p>
        </w:tc>
        <w:tc>
          <w:tcPr>
            <w:tcW w:w="1230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25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.5270164</w:t>
            </w:r>
          </w:p>
        </w:tc>
        <w:tc>
          <w:tcPr>
            <w:tcW w:w="1138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5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.0759341</w:t>
            </w:r>
          </w:p>
        </w:tc>
        <w:tc>
          <w:tcPr>
            <w:tcW w:w="759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0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5"/>
              <w:ind w:left="29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.3973567</w:t>
            </w:r>
          </w:p>
        </w:tc>
        <w:tc>
          <w:tcPr>
            <w:tcW w:w="897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5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.6989849</w:t>
            </w:r>
          </w:p>
        </w:tc>
      </w:tr>
      <w:tr>
        <w:trPr>
          <w:trHeight w:val="282" w:hRule="atLeast"/>
        </w:trPr>
        <w:tc>
          <w:tcPr>
            <w:tcW w:w="3168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31"/>
              <w:rPr>
                <w:sz w:val="13"/>
              </w:rPr>
            </w:pPr>
            <w:r>
              <w:rPr>
                <w:w w:val="115"/>
                <w:sz w:val="13"/>
              </w:rPr>
              <w:t>rho</w:t>
            </w:r>
          </w:p>
        </w:tc>
        <w:tc>
          <w:tcPr>
            <w:tcW w:w="1230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.0778521</w:t>
            </w:r>
          </w:p>
        </w:tc>
        <w:tc>
          <w:tcPr>
            <w:tcW w:w="1138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left="1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.0206878</w:t>
            </w:r>
          </w:p>
        </w:tc>
        <w:tc>
          <w:tcPr>
            <w:tcW w:w="759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0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left="29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.0457956</w:t>
            </w:r>
          </w:p>
        </w:tc>
        <w:tc>
          <w:tcPr>
            <w:tcW w:w="897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.129307</w:t>
            </w:r>
          </w:p>
        </w:tc>
      </w:tr>
    </w:tbl>
    <w:p>
      <w:pPr>
        <w:tabs>
          <w:tab w:pos="4709" w:val="left" w:leader="none"/>
        </w:tabs>
        <w:spacing w:before="127"/>
        <w:ind w:left="160" w:right="0" w:firstLine="0"/>
        <w:jc w:val="left"/>
        <w:rPr>
          <w:rFonts w:ascii="Courier New"/>
          <w:sz w:val="13"/>
        </w:rPr>
      </w:pPr>
      <w:r>
        <w:rPr>
          <w:rFonts w:ascii="Courier New"/>
          <w:w w:val="115"/>
          <w:sz w:val="13"/>
        </w:rPr>
        <w:t>Likelihood-ratio</w:t>
      </w:r>
      <w:r>
        <w:rPr>
          <w:rFonts w:ascii="Courier New"/>
          <w:spacing w:val="37"/>
          <w:w w:val="115"/>
          <w:sz w:val="13"/>
        </w:rPr>
        <w:t> </w:t>
      </w:r>
      <w:r>
        <w:rPr>
          <w:rFonts w:ascii="Courier New"/>
          <w:w w:val="115"/>
          <w:sz w:val="13"/>
        </w:rPr>
        <w:t>test</w:t>
      </w:r>
      <w:r>
        <w:rPr>
          <w:rFonts w:ascii="Courier New"/>
          <w:spacing w:val="37"/>
          <w:w w:val="115"/>
          <w:sz w:val="13"/>
        </w:rPr>
        <w:t> </w:t>
      </w:r>
      <w:r>
        <w:rPr>
          <w:rFonts w:ascii="Courier New"/>
          <w:w w:val="115"/>
          <w:sz w:val="13"/>
        </w:rPr>
        <w:t>of</w:t>
      </w:r>
      <w:r>
        <w:rPr>
          <w:rFonts w:ascii="Courier New"/>
          <w:spacing w:val="36"/>
          <w:w w:val="115"/>
          <w:sz w:val="13"/>
        </w:rPr>
        <w:t> </w:t>
      </w:r>
      <w:r>
        <w:rPr>
          <w:rFonts w:ascii="Courier New"/>
          <w:w w:val="115"/>
          <w:sz w:val="13"/>
        </w:rPr>
        <w:t>rho=0:</w:t>
      </w:r>
      <w:r>
        <w:rPr>
          <w:rFonts w:ascii="Courier New"/>
          <w:spacing w:val="37"/>
          <w:w w:val="115"/>
          <w:sz w:val="13"/>
        </w:rPr>
        <w:t> </w:t>
      </w:r>
      <w:r>
        <w:rPr>
          <w:rFonts w:ascii="Courier New"/>
          <w:w w:val="115"/>
          <w:sz w:val="13"/>
        </w:rPr>
        <w:t>chibar2(01)</w:t>
      </w:r>
      <w:r>
        <w:rPr>
          <w:rFonts w:ascii="Courier New"/>
          <w:spacing w:val="36"/>
          <w:w w:val="115"/>
          <w:sz w:val="13"/>
        </w:rPr>
        <w:t> </w:t>
      </w:r>
      <w:r>
        <w:rPr>
          <w:rFonts w:ascii="Courier New"/>
          <w:w w:val="115"/>
          <w:sz w:val="13"/>
        </w:rPr>
        <w:t>=</w:t>
        <w:tab/>
        <w:t>206.11</w:t>
      </w:r>
      <w:r>
        <w:rPr>
          <w:rFonts w:ascii="Courier New"/>
          <w:spacing w:val="26"/>
          <w:w w:val="115"/>
          <w:sz w:val="13"/>
        </w:rPr>
        <w:t> </w:t>
      </w:r>
      <w:r>
        <w:rPr>
          <w:rFonts w:ascii="Courier New"/>
          <w:w w:val="115"/>
          <w:sz w:val="13"/>
        </w:rPr>
        <w:t>Prob</w:t>
      </w:r>
      <w:r>
        <w:rPr>
          <w:rFonts w:ascii="Courier New"/>
          <w:spacing w:val="26"/>
          <w:w w:val="115"/>
          <w:sz w:val="13"/>
        </w:rPr>
        <w:t> </w:t>
      </w:r>
      <w:r>
        <w:rPr>
          <w:rFonts w:ascii="Courier New"/>
          <w:w w:val="115"/>
          <w:sz w:val="13"/>
        </w:rPr>
        <w:t>&gt;=</w:t>
      </w:r>
      <w:r>
        <w:rPr>
          <w:rFonts w:ascii="Courier New"/>
          <w:spacing w:val="26"/>
          <w:w w:val="115"/>
          <w:sz w:val="13"/>
        </w:rPr>
        <w:t> </w:t>
      </w:r>
      <w:r>
        <w:rPr>
          <w:rFonts w:ascii="Courier New"/>
          <w:w w:val="115"/>
          <w:sz w:val="13"/>
        </w:rPr>
        <w:t>chibar2</w:t>
      </w:r>
      <w:r>
        <w:rPr>
          <w:rFonts w:ascii="Courier New"/>
          <w:spacing w:val="26"/>
          <w:w w:val="115"/>
          <w:sz w:val="13"/>
        </w:rPr>
        <w:t> </w:t>
      </w:r>
      <w:r>
        <w:rPr>
          <w:rFonts w:ascii="Courier New"/>
          <w:w w:val="115"/>
          <w:sz w:val="13"/>
        </w:rPr>
        <w:t>=</w:t>
      </w:r>
      <w:r>
        <w:rPr>
          <w:rFonts w:ascii="Courier New"/>
          <w:spacing w:val="26"/>
          <w:w w:val="115"/>
          <w:sz w:val="13"/>
        </w:rPr>
        <w:t> </w:t>
      </w:r>
      <w:r>
        <w:rPr>
          <w:rFonts w:ascii="Courier New"/>
          <w:w w:val="115"/>
          <w:sz w:val="13"/>
        </w:rPr>
        <w:t>0.000</w:t>
      </w:r>
    </w:p>
    <w:p>
      <w:pPr>
        <w:pStyle w:val="BodyText"/>
        <w:spacing w:before="7"/>
        <w:rPr>
          <w:rFonts w:ascii="Courier New"/>
          <w:sz w:val="12"/>
        </w:rPr>
      </w:pPr>
    </w:p>
    <w:p>
      <w:pPr>
        <w:spacing w:before="105"/>
        <w:ind w:left="160" w:right="0" w:firstLine="0"/>
        <w:jc w:val="left"/>
        <w:rPr>
          <w:rFonts w:ascii="Courier New"/>
          <w:sz w:val="13"/>
        </w:rPr>
      </w:pPr>
      <w:r>
        <w:rPr>
          <w:rFonts w:ascii="Courier New"/>
          <w:w w:val="114"/>
          <w:sz w:val="13"/>
        </w:rPr>
        <w:t>.</w:t>
      </w:r>
    </w:p>
    <w:p>
      <w:pPr>
        <w:spacing w:after="0"/>
        <w:jc w:val="left"/>
        <w:rPr>
          <w:rFonts w:ascii="Courier New"/>
          <w:sz w:val="13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Heading5"/>
        <w:spacing w:line="274" w:lineRule="exact" w:before="77"/>
        <w:ind w:left="196" w:right="518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H:</w:t>
      </w:r>
      <w:r>
        <w:rPr>
          <w:spacing w:val="-1"/>
        </w:rPr>
        <w:t> </w:t>
      </w:r>
      <w:r>
        <w:rPr/>
        <w:t>ESTIMATION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WAVE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line="274" w:lineRule="exact" w:after="8"/>
        <w:ind w:left="196" w:right="518"/>
        <w:jc w:val="center"/>
      </w:pPr>
      <w:r>
        <w:rPr/>
        <w:t>TABLE</w:t>
      </w:r>
      <w:r>
        <w:rPr>
          <w:spacing w:val="-2"/>
        </w:rPr>
        <w:t> </w:t>
      </w:r>
      <w:r>
        <w:rPr/>
        <w:t>H1:</w:t>
      </w:r>
      <w:r>
        <w:rPr>
          <w:spacing w:val="-2"/>
        </w:rPr>
        <w:t> </w:t>
      </w:r>
      <w:r>
        <w:rPr/>
        <w:t>RELIABILITY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FOR WAVE</w:t>
      </w:r>
      <w:r>
        <w:rPr>
          <w:spacing w:val="-1"/>
        </w:rPr>
        <w:t> </w:t>
      </w:r>
      <w:r>
        <w:rPr/>
        <w:t>I</w:t>
      </w:r>
      <w:r>
        <w:rPr>
          <w:spacing w:val="-7"/>
        </w:rPr>
        <w:t> </w:t>
      </w:r>
      <w:r>
        <w:rPr/>
        <w:t>ESTIMATIONS</w:t>
      </w:r>
    </w:p>
    <w:p>
      <w:pPr>
        <w:pStyle w:val="BodyText"/>
        <w:ind w:left="2040"/>
        <w:rPr>
          <w:sz w:val="20"/>
        </w:rPr>
      </w:pPr>
      <w:r>
        <w:rPr>
          <w:sz w:val="20"/>
        </w:rPr>
        <w:drawing>
          <wp:inline distT="0" distB="0" distL="0" distR="0">
            <wp:extent cx="3477880" cy="6612255"/>
            <wp:effectExtent l="0" t="0" r="0" b="0"/>
            <wp:docPr id="13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88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0"/>
        <w:jc w:val="center"/>
      </w:pPr>
      <w:r>
        <w:rPr/>
        <w:t>TABLE</w:t>
      </w:r>
      <w:r>
        <w:rPr>
          <w:spacing w:val="-2"/>
        </w:rPr>
        <w:t> </w:t>
      </w:r>
      <w:r>
        <w:rPr/>
        <w:t>H2:</w:t>
      </w:r>
      <w:r>
        <w:rPr>
          <w:spacing w:val="-1"/>
        </w:rPr>
        <w:t> </w:t>
      </w:r>
      <w:r>
        <w:rPr/>
        <w:t>POOLED</w:t>
      </w:r>
      <w:r>
        <w:rPr>
          <w:spacing w:val="-1"/>
        </w:rPr>
        <w:t> </w:t>
      </w:r>
      <w:r>
        <w:rPr/>
        <w:t>OLS</w:t>
      </w:r>
      <w:r>
        <w:rPr>
          <w:spacing w:val="-2"/>
        </w:rPr>
        <w:t> </w:t>
      </w:r>
      <w:r>
        <w:rPr/>
        <w:t>REGRESSION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WAVE I</w:t>
      </w: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1"/>
        <w:gridCol w:w="2542"/>
        <w:gridCol w:w="441"/>
        <w:gridCol w:w="928"/>
      </w:tblGrid>
      <w:tr>
        <w:trPr>
          <w:trHeight w:val="236" w:hRule="atLeast"/>
        </w:trPr>
        <w:tc>
          <w:tcPr>
            <w:tcW w:w="3811" w:type="dxa"/>
          </w:tcPr>
          <w:p>
            <w:pPr>
              <w:pStyle w:val="TableParagraph"/>
              <w:spacing w:before="2"/>
              <w:ind w:left="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Logistic</w:t>
            </w:r>
            <w:r>
              <w:rPr>
                <w:spacing w:val="6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regression</w:t>
            </w:r>
          </w:p>
        </w:tc>
        <w:tc>
          <w:tcPr>
            <w:tcW w:w="2542" w:type="dxa"/>
          </w:tcPr>
          <w:p>
            <w:pPr>
              <w:pStyle w:val="TableParagraph"/>
              <w:spacing w:before="2"/>
              <w:ind w:left="1126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Number of obs</w:t>
            </w:r>
          </w:p>
        </w:tc>
        <w:tc>
          <w:tcPr>
            <w:tcW w:w="441" w:type="dxa"/>
          </w:tcPr>
          <w:p>
            <w:pPr>
              <w:pStyle w:val="TableParagraph"/>
              <w:spacing w:before="2"/>
              <w:ind w:left="148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928" w:type="dxa"/>
          </w:tcPr>
          <w:p>
            <w:pPr>
              <w:pStyle w:val="TableParagraph"/>
              <w:spacing w:before="2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19261</w:t>
            </w:r>
          </w:p>
        </w:tc>
      </w:tr>
      <w:tr>
        <w:trPr>
          <w:trHeight w:val="266" w:hRule="atLeast"/>
        </w:trPr>
        <w:tc>
          <w:tcPr>
            <w:tcW w:w="38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42" w:type="dxa"/>
          </w:tcPr>
          <w:p>
            <w:pPr>
              <w:pStyle w:val="TableParagraph"/>
              <w:spacing w:before="31"/>
              <w:ind w:left="1126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LR</w:t>
            </w:r>
            <w:r>
              <w:rPr>
                <w:spacing w:val="3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chi2(34)</w:t>
            </w:r>
          </w:p>
        </w:tc>
        <w:tc>
          <w:tcPr>
            <w:tcW w:w="441" w:type="dxa"/>
          </w:tcPr>
          <w:p>
            <w:pPr>
              <w:pStyle w:val="TableParagraph"/>
              <w:spacing w:before="31"/>
              <w:ind w:left="148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928" w:type="dxa"/>
          </w:tcPr>
          <w:p>
            <w:pPr>
              <w:pStyle w:val="TableParagraph"/>
              <w:spacing w:before="31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4121.89</w:t>
            </w:r>
          </w:p>
        </w:tc>
      </w:tr>
      <w:tr>
        <w:trPr>
          <w:trHeight w:val="266" w:hRule="atLeast"/>
        </w:trPr>
        <w:tc>
          <w:tcPr>
            <w:tcW w:w="381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42" w:type="dxa"/>
          </w:tcPr>
          <w:p>
            <w:pPr>
              <w:pStyle w:val="TableParagraph"/>
              <w:spacing w:before="31"/>
              <w:ind w:left="1126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Prob &gt; chi2</w:t>
            </w:r>
          </w:p>
        </w:tc>
        <w:tc>
          <w:tcPr>
            <w:tcW w:w="441" w:type="dxa"/>
          </w:tcPr>
          <w:p>
            <w:pPr>
              <w:pStyle w:val="TableParagraph"/>
              <w:spacing w:before="31"/>
              <w:ind w:left="148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928" w:type="dxa"/>
          </w:tcPr>
          <w:p>
            <w:pPr>
              <w:pStyle w:val="TableParagraph"/>
              <w:spacing w:before="31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0.0000</w:t>
            </w:r>
          </w:p>
        </w:tc>
      </w:tr>
      <w:tr>
        <w:trPr>
          <w:trHeight w:val="236" w:hRule="atLeast"/>
        </w:trPr>
        <w:tc>
          <w:tcPr>
            <w:tcW w:w="3811" w:type="dxa"/>
          </w:tcPr>
          <w:p>
            <w:pPr>
              <w:pStyle w:val="TableParagraph"/>
              <w:spacing w:line="185" w:lineRule="exact" w:before="31"/>
              <w:ind w:left="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Log</w:t>
            </w:r>
            <w:r>
              <w:rPr>
                <w:spacing w:val="4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likelihood</w:t>
            </w:r>
            <w:r>
              <w:rPr>
                <w:spacing w:val="4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=</w:t>
            </w:r>
            <w:r>
              <w:rPr>
                <w:spacing w:val="4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-5998.6159</w:t>
            </w:r>
          </w:p>
        </w:tc>
        <w:tc>
          <w:tcPr>
            <w:tcW w:w="2542" w:type="dxa"/>
          </w:tcPr>
          <w:p>
            <w:pPr>
              <w:pStyle w:val="TableParagraph"/>
              <w:spacing w:line="185" w:lineRule="exact" w:before="31"/>
              <w:ind w:left="1126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Pseudo</w:t>
            </w:r>
            <w:r>
              <w:rPr>
                <w:spacing w:val="3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R2</w:t>
            </w:r>
          </w:p>
        </w:tc>
        <w:tc>
          <w:tcPr>
            <w:tcW w:w="441" w:type="dxa"/>
          </w:tcPr>
          <w:p>
            <w:pPr>
              <w:pStyle w:val="TableParagraph"/>
              <w:spacing w:line="185" w:lineRule="exact" w:before="31"/>
              <w:ind w:left="148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928" w:type="dxa"/>
          </w:tcPr>
          <w:p>
            <w:pPr>
              <w:pStyle w:val="TableParagraph"/>
              <w:spacing w:line="185" w:lineRule="exact" w:before="31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0.2557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8"/>
        <w:gridCol w:w="1268"/>
        <w:gridCol w:w="1124"/>
        <w:gridCol w:w="831"/>
        <w:gridCol w:w="830"/>
        <w:gridCol w:w="1319"/>
        <w:gridCol w:w="924"/>
      </w:tblGrid>
      <w:tr>
        <w:trPr>
          <w:trHeight w:val="512" w:hRule="atLeast"/>
        </w:trPr>
        <w:tc>
          <w:tcPr>
            <w:tcW w:w="3268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64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illness</w:t>
            </w:r>
          </w:p>
        </w:tc>
        <w:tc>
          <w:tcPr>
            <w:tcW w:w="1268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4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Coef.</w:t>
            </w:r>
          </w:p>
        </w:tc>
        <w:tc>
          <w:tcPr>
            <w:tcW w:w="1124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4"/>
              <w:ind w:left="15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Std.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Err.</w:t>
            </w:r>
          </w:p>
        </w:tc>
        <w:tc>
          <w:tcPr>
            <w:tcW w:w="831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4"/>
              <w:ind w:right="236"/>
              <w:rPr>
                <w:sz w:val="18"/>
              </w:rPr>
            </w:pPr>
            <w:r>
              <w:rPr>
                <w:w w:val="85"/>
                <w:sz w:val="18"/>
              </w:rPr>
              <w:t>z</w:t>
            </w:r>
          </w:p>
        </w:tc>
        <w:tc>
          <w:tcPr>
            <w:tcW w:w="830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4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P&gt;|z|</w:t>
            </w:r>
          </w:p>
        </w:tc>
        <w:tc>
          <w:tcPr>
            <w:tcW w:w="1319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4"/>
              <w:ind w:left="305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[95%</w:t>
            </w:r>
            <w:r>
              <w:rPr>
                <w:spacing w:val="3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Conf.</w:t>
            </w:r>
          </w:p>
        </w:tc>
        <w:tc>
          <w:tcPr>
            <w:tcW w:w="924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4"/>
              <w:ind w:left="61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Interval]</w:t>
            </w:r>
          </w:p>
        </w:tc>
      </w:tr>
      <w:tr>
        <w:trPr>
          <w:trHeight w:val="398" w:hRule="atLeast"/>
        </w:trPr>
        <w:tc>
          <w:tcPr>
            <w:tcW w:w="3268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64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familysize</w:t>
            </w:r>
          </w:p>
        </w:tc>
        <w:tc>
          <w:tcPr>
            <w:tcW w:w="1268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64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.0274107</w:t>
            </w:r>
          </w:p>
        </w:tc>
        <w:tc>
          <w:tcPr>
            <w:tcW w:w="1124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4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.0163349</w:t>
            </w:r>
          </w:p>
        </w:tc>
        <w:tc>
          <w:tcPr>
            <w:tcW w:w="831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4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1.68</w:t>
            </w:r>
          </w:p>
        </w:tc>
        <w:tc>
          <w:tcPr>
            <w:tcW w:w="83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4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0.093</w:t>
            </w:r>
          </w:p>
        </w:tc>
        <w:tc>
          <w:tcPr>
            <w:tcW w:w="1319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4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-.0046052</w:t>
            </w:r>
          </w:p>
        </w:tc>
        <w:tc>
          <w:tcPr>
            <w:tcW w:w="924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4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.0594265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hungerandnofood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.1153272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.0464367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2.48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0.013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4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.024313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.2063414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gari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-.0146004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.1105876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-0.13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0.895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-.2313482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.2021473</w:t>
            </w:r>
          </w:p>
        </w:tc>
      </w:tr>
      <w:tr>
        <w:trPr>
          <w:trHeight w:val="265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rice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-.4651966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.0512272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-9.08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-.5656001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61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-.3647932</w:t>
            </w:r>
          </w:p>
        </w:tc>
      </w:tr>
      <w:tr>
        <w:trPr>
          <w:trHeight w:val="265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yamorcassavaormaizeflour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-2.477608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.0520023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-47.64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-2.579531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61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-2.375685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beans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-.4359361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.0930939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-4.68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-.6183967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61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-.2534754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meatorfish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.0000183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.0010564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0.02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0.986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-.0020521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.0020888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2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mosquitonetpossession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2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-.1132553</w:t>
            </w:r>
          </w:p>
        </w:tc>
        <w:tc>
          <w:tcPr>
            <w:tcW w:w="1124" w:type="dxa"/>
          </w:tcPr>
          <w:p>
            <w:pPr>
              <w:pStyle w:val="TableParagraph"/>
              <w:spacing w:before="32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.1096829</w:t>
            </w:r>
          </w:p>
        </w:tc>
        <w:tc>
          <w:tcPr>
            <w:tcW w:w="831" w:type="dxa"/>
          </w:tcPr>
          <w:p>
            <w:pPr>
              <w:pStyle w:val="TableParagraph"/>
              <w:spacing w:before="32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-1.03</w:t>
            </w:r>
          </w:p>
        </w:tc>
        <w:tc>
          <w:tcPr>
            <w:tcW w:w="830" w:type="dxa"/>
          </w:tcPr>
          <w:p>
            <w:pPr>
              <w:pStyle w:val="TableParagraph"/>
              <w:spacing w:before="32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0.302</w:t>
            </w:r>
          </w:p>
        </w:tc>
        <w:tc>
          <w:tcPr>
            <w:tcW w:w="1319" w:type="dxa"/>
          </w:tcPr>
          <w:p>
            <w:pPr>
              <w:pStyle w:val="TableParagraph"/>
              <w:spacing w:before="32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-.3282298</w:t>
            </w:r>
          </w:p>
        </w:tc>
        <w:tc>
          <w:tcPr>
            <w:tcW w:w="924" w:type="dxa"/>
          </w:tcPr>
          <w:p>
            <w:pPr>
              <w:pStyle w:val="TableParagraph"/>
              <w:spacing w:before="32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.1017193</w:t>
            </w:r>
          </w:p>
        </w:tc>
      </w:tr>
      <w:tr>
        <w:trPr>
          <w:trHeight w:val="265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primaryeducation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-.0048859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.0855122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-0.06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0.954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-.1724866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.1627148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secondarycertificate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.0120195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.0150796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0.80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0.425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-.017536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256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.041575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higherdegree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-.0214409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.0351395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-0.61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0.542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-.0903131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.0474312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nobasiceducation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.3575276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.0748373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4.78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.2108492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256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.504206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hadelectricity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-.4674526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.1780092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-2.63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0.009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-.8163442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-.118561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noelectricity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.007249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.0106667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0.68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0.497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-.0136573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.0281553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pipebornewater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-.375227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.1103001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-3.40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0.001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-.5914111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61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-.1590428</w:t>
            </w:r>
          </w:p>
        </w:tc>
      </w:tr>
      <w:tr>
        <w:trPr>
          <w:trHeight w:val="265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boreholeandwell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.3506021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.0934759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3.75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.1673927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.5338115</w:t>
            </w:r>
          </w:p>
        </w:tc>
      </w:tr>
      <w:tr>
        <w:trPr>
          <w:trHeight w:val="265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riverandspring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.4142911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3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.09998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4.14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.2183339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.6102482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noaccesstowater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-.7518714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.3363248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-2.24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0.025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-1.411056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61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-.0926869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waterormodernlatrine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-.2160954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.0567444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-3.81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-.3273124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61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-.1048785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pitorlatrine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.3392486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.1333248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2.54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0.011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.0779367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.6005605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notoiletfacility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.3839556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.1082935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3.55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.1717042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.5962069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alcoholicdrinks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.0503993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.0588731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0.86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0.392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-.0649899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.1657886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selfmedication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.1520142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.0648295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2.34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0.019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.0249507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.2790777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seekingmedicalcare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-.0946201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.0858654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-1.10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0.270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-.2629132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256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.073673</w:t>
            </w:r>
          </w:p>
        </w:tc>
      </w:tr>
      <w:tr>
        <w:trPr>
          <w:trHeight w:val="265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otherhealthcare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.0058876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.0145432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0.40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0.686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-.0226166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.0343919</w:t>
            </w:r>
          </w:p>
        </w:tc>
      </w:tr>
      <w:tr>
        <w:trPr>
          <w:trHeight w:val="265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wagesandsalaries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-.0167458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.1405038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-0.12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0.905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-.2921281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.2586365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entreprisesandbusiness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-.3829247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.0733213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-5.22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-.5266317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61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-.2392177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farmingcropandlivestock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.1088361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.2745091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0.40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0.692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-.4291918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256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.646864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2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remittances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2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-.1114508</w:t>
            </w:r>
          </w:p>
        </w:tc>
        <w:tc>
          <w:tcPr>
            <w:tcW w:w="1124" w:type="dxa"/>
          </w:tcPr>
          <w:p>
            <w:pPr>
              <w:pStyle w:val="TableParagraph"/>
              <w:spacing w:before="32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.0700782</w:t>
            </w:r>
          </w:p>
        </w:tc>
        <w:tc>
          <w:tcPr>
            <w:tcW w:w="831" w:type="dxa"/>
          </w:tcPr>
          <w:p>
            <w:pPr>
              <w:pStyle w:val="TableParagraph"/>
              <w:spacing w:before="32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-1.59</w:t>
            </w:r>
          </w:p>
        </w:tc>
        <w:tc>
          <w:tcPr>
            <w:tcW w:w="830" w:type="dxa"/>
          </w:tcPr>
          <w:p>
            <w:pPr>
              <w:pStyle w:val="TableParagraph"/>
              <w:spacing w:before="32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0.112</w:t>
            </w:r>
          </w:p>
        </w:tc>
        <w:tc>
          <w:tcPr>
            <w:tcW w:w="1319" w:type="dxa"/>
          </w:tcPr>
          <w:p>
            <w:pPr>
              <w:pStyle w:val="TableParagraph"/>
              <w:spacing w:before="32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-.2488015</w:t>
            </w:r>
          </w:p>
        </w:tc>
        <w:tc>
          <w:tcPr>
            <w:tcW w:w="924" w:type="dxa"/>
          </w:tcPr>
          <w:p>
            <w:pPr>
              <w:pStyle w:val="TableParagraph"/>
              <w:spacing w:before="32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.0258999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85"/>
                <w:sz w:val="18"/>
              </w:rPr>
              <w:t>monetaryandconditionaltransfers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.2686559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.2588591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1.04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0.299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-.2386987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.7760105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pensionsandgrants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-.1944056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.3163331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-0.61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0.539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-.8144071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.4255958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85"/>
                <w:sz w:val="18"/>
              </w:rPr>
              <w:t>dividendandinterestfrominvestmen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.1415338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.2212144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0.64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0.522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-.2920385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.5751061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85"/>
                <w:sz w:val="18"/>
              </w:rPr>
              <w:t>incomesfromlandandpropertiesowne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-.1762752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.1311218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-1.34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0.179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-.4332692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.0807189</w:t>
            </w:r>
          </w:p>
        </w:tc>
      </w:tr>
      <w:tr>
        <w:trPr>
          <w:trHeight w:val="266" w:hRule="atLeast"/>
        </w:trPr>
        <w:tc>
          <w:tcPr>
            <w:tcW w:w="32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ginicoefficient</w:t>
            </w:r>
          </w:p>
        </w:tc>
        <w:tc>
          <w:tcPr>
            <w:tcW w:w="126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.016695</w:t>
            </w:r>
          </w:p>
        </w:tc>
        <w:tc>
          <w:tcPr>
            <w:tcW w:w="1124" w:type="dxa"/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.0069267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2.41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0.016</w:t>
            </w:r>
          </w:p>
        </w:tc>
        <w:tc>
          <w:tcPr>
            <w:tcW w:w="1319" w:type="dxa"/>
          </w:tcPr>
          <w:p>
            <w:pPr>
              <w:pStyle w:val="TableParagraph"/>
              <w:spacing w:before="31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.0031189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ind w:left="256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.030271</w:t>
            </w:r>
          </w:p>
        </w:tc>
      </w:tr>
      <w:tr>
        <w:trPr>
          <w:trHeight w:val="379" w:hRule="atLeast"/>
        </w:trPr>
        <w:tc>
          <w:tcPr>
            <w:tcW w:w="3268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_cons</w:t>
            </w:r>
          </w:p>
        </w:tc>
        <w:tc>
          <w:tcPr>
            <w:tcW w:w="1268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3.128261</w:t>
            </w:r>
          </w:p>
        </w:tc>
        <w:tc>
          <w:tcPr>
            <w:tcW w:w="1124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left="15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.8133999</w:t>
            </w:r>
          </w:p>
        </w:tc>
        <w:tc>
          <w:tcPr>
            <w:tcW w:w="831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3.85</w:t>
            </w:r>
          </w:p>
        </w:tc>
        <w:tc>
          <w:tcPr>
            <w:tcW w:w="83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left="123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19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1.534027</w:t>
            </w:r>
          </w:p>
        </w:tc>
        <w:tc>
          <w:tcPr>
            <w:tcW w:w="924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left="159" w:right="-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4.722496</w:t>
            </w:r>
          </w:p>
        </w:tc>
      </w:tr>
    </w:tbl>
    <w:p>
      <w:pPr>
        <w:spacing w:after="0"/>
        <w:jc w:val="center"/>
        <w:rPr>
          <w:sz w:val="18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5"/>
        <w:jc w:val="center"/>
      </w:pPr>
      <w:r>
        <w:rPr/>
        <w:t>TABLE</w:t>
      </w:r>
      <w:r>
        <w:rPr>
          <w:spacing w:val="-2"/>
        </w:rPr>
        <w:t> </w:t>
      </w:r>
      <w:r>
        <w:rPr/>
        <w:t>H3: FIXED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MODEL–</w:t>
      </w:r>
      <w:r>
        <w:rPr>
          <w:spacing w:val="-1"/>
        </w:rPr>
        <w:t> </w:t>
      </w:r>
      <w:r>
        <w:rPr/>
        <w:t>WAVE</w:t>
      </w:r>
      <w:r>
        <w:rPr>
          <w:spacing w:val="2"/>
        </w:rPr>
        <w:t> </w:t>
      </w:r>
      <w:r>
        <w:rPr/>
        <w:t>I</w:t>
      </w:r>
    </w:p>
    <w:p>
      <w:pPr>
        <w:spacing w:before="31"/>
        <w:ind w:left="159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&gt;</w:t>
      </w:r>
      <w:r>
        <w:rPr>
          <w:rFonts w:ascii="Courier New"/>
          <w:spacing w:val="30"/>
          <w:sz w:val="15"/>
        </w:rPr>
        <w:t> </w:t>
      </w:r>
      <w:r>
        <w:rPr>
          <w:rFonts w:ascii="Courier New"/>
          <w:sz w:val="15"/>
        </w:rPr>
        <w:t>mlandandpropertiesowne</w:t>
      </w:r>
      <w:r>
        <w:rPr>
          <w:rFonts w:ascii="Courier New"/>
          <w:spacing w:val="28"/>
          <w:sz w:val="15"/>
        </w:rPr>
        <w:t> </w:t>
      </w:r>
      <w:r>
        <w:rPr>
          <w:rFonts w:ascii="Courier New"/>
          <w:sz w:val="15"/>
        </w:rPr>
        <w:t>ginicoefficient,</w:t>
      </w:r>
      <w:r>
        <w:rPr>
          <w:rFonts w:ascii="Courier New"/>
          <w:spacing w:val="31"/>
          <w:sz w:val="15"/>
        </w:rPr>
        <w:t> </w:t>
      </w:r>
      <w:r>
        <w:rPr>
          <w:rFonts w:ascii="Courier New"/>
          <w:sz w:val="15"/>
        </w:rPr>
        <w:t>fe</w:t>
      </w:r>
    </w:p>
    <w:p>
      <w:pPr>
        <w:pStyle w:val="BodyText"/>
        <w:spacing w:before="4"/>
        <w:rPr>
          <w:rFonts w:ascii="Courier New"/>
          <w:sz w:val="23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5"/>
        <w:gridCol w:w="2457"/>
        <w:gridCol w:w="2318"/>
        <w:gridCol w:w="417"/>
        <w:gridCol w:w="789"/>
      </w:tblGrid>
      <w:tr>
        <w:trPr>
          <w:trHeight w:val="192" w:hRule="atLeast"/>
        </w:trPr>
        <w:tc>
          <w:tcPr>
            <w:tcW w:w="3802" w:type="dxa"/>
            <w:gridSpan w:val="2"/>
          </w:tcPr>
          <w:p>
            <w:pPr>
              <w:pStyle w:val="TableParagraph"/>
              <w:spacing w:line="169" w:lineRule="exact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Fixed-effects</w:t>
            </w:r>
            <w:r>
              <w:rPr>
                <w:spacing w:val="30"/>
                <w:sz w:val="15"/>
              </w:rPr>
              <w:t> </w:t>
            </w:r>
            <w:r>
              <w:rPr>
                <w:sz w:val="15"/>
              </w:rPr>
              <w:t>(within)</w:t>
            </w:r>
            <w:r>
              <w:rPr>
                <w:spacing w:val="31"/>
                <w:sz w:val="15"/>
              </w:rPr>
              <w:t> </w:t>
            </w:r>
            <w:r>
              <w:rPr>
                <w:sz w:val="15"/>
              </w:rPr>
              <w:t>regression</w:t>
            </w:r>
          </w:p>
        </w:tc>
        <w:tc>
          <w:tcPr>
            <w:tcW w:w="2318" w:type="dxa"/>
          </w:tcPr>
          <w:p>
            <w:pPr>
              <w:pStyle w:val="TableParagraph"/>
              <w:spacing w:line="169" w:lineRule="exact"/>
              <w:ind w:left="698"/>
              <w:jc w:val="left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obs</w:t>
            </w:r>
          </w:p>
        </w:tc>
        <w:tc>
          <w:tcPr>
            <w:tcW w:w="417" w:type="dxa"/>
          </w:tcPr>
          <w:p>
            <w:pPr>
              <w:pStyle w:val="TableParagraph"/>
              <w:spacing w:line="169" w:lineRule="exact"/>
              <w:ind w:left="141"/>
              <w:jc w:val="left"/>
              <w:rPr>
                <w:sz w:val="15"/>
              </w:rPr>
            </w:pPr>
            <w:r>
              <w:rPr>
                <w:w w:val="97"/>
                <w:sz w:val="15"/>
              </w:rPr>
              <w:t>=</w:t>
            </w:r>
          </w:p>
        </w:tc>
        <w:tc>
          <w:tcPr>
            <w:tcW w:w="789" w:type="dxa"/>
          </w:tcPr>
          <w:p>
            <w:pPr>
              <w:pStyle w:val="TableParagraph"/>
              <w:spacing w:line="169" w:lineRule="exact"/>
              <w:ind w:right="47"/>
              <w:rPr>
                <w:sz w:val="15"/>
              </w:rPr>
            </w:pPr>
            <w:r>
              <w:rPr>
                <w:sz w:val="15"/>
              </w:rPr>
              <w:t>19261</w:t>
            </w:r>
          </w:p>
        </w:tc>
      </w:tr>
      <w:tr>
        <w:trPr>
          <w:trHeight w:val="192" w:hRule="atLeast"/>
        </w:trPr>
        <w:tc>
          <w:tcPr>
            <w:tcW w:w="3802" w:type="dxa"/>
            <w:gridSpan w:val="2"/>
          </w:tcPr>
          <w:p>
            <w:pPr>
              <w:pStyle w:val="TableParagraph"/>
              <w:spacing w:line="149" w:lineRule="exact" w:before="23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Group</w:t>
            </w:r>
            <w:r>
              <w:rPr>
                <w:spacing w:val="18"/>
                <w:sz w:val="15"/>
              </w:rPr>
              <w:t> </w:t>
            </w:r>
            <w:r>
              <w:rPr>
                <w:sz w:val="15"/>
              </w:rPr>
              <w:t>variable:</w:t>
            </w:r>
            <w:r>
              <w:rPr>
                <w:spacing w:val="19"/>
                <w:sz w:val="15"/>
              </w:rPr>
              <w:t> </w:t>
            </w:r>
            <w:r>
              <w:rPr>
                <w:sz w:val="15"/>
              </w:rPr>
              <w:t>state</w:t>
            </w:r>
          </w:p>
        </w:tc>
        <w:tc>
          <w:tcPr>
            <w:tcW w:w="2318" w:type="dxa"/>
          </w:tcPr>
          <w:p>
            <w:pPr>
              <w:pStyle w:val="TableParagraph"/>
              <w:spacing w:line="149" w:lineRule="exact" w:before="23"/>
              <w:ind w:left="698"/>
              <w:jc w:val="left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14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groups</w:t>
            </w:r>
          </w:p>
        </w:tc>
        <w:tc>
          <w:tcPr>
            <w:tcW w:w="417" w:type="dxa"/>
          </w:tcPr>
          <w:p>
            <w:pPr>
              <w:pStyle w:val="TableParagraph"/>
              <w:spacing w:line="149" w:lineRule="exact" w:before="23"/>
              <w:ind w:left="141"/>
              <w:jc w:val="left"/>
              <w:rPr>
                <w:sz w:val="15"/>
              </w:rPr>
            </w:pPr>
            <w:r>
              <w:rPr>
                <w:w w:val="97"/>
                <w:sz w:val="15"/>
              </w:rPr>
              <w:t>=</w:t>
            </w:r>
          </w:p>
        </w:tc>
        <w:tc>
          <w:tcPr>
            <w:tcW w:w="789" w:type="dxa"/>
          </w:tcPr>
          <w:p>
            <w:pPr>
              <w:pStyle w:val="TableParagraph"/>
              <w:spacing w:line="149" w:lineRule="exact" w:before="23"/>
              <w:ind w:right="47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</w:tr>
      <w:tr>
        <w:trPr>
          <w:trHeight w:val="456" w:hRule="atLeast"/>
        </w:trPr>
        <w:tc>
          <w:tcPr>
            <w:tcW w:w="3802" w:type="dxa"/>
            <w:gridSpan w:val="2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R-sq:</w:t>
            </w:r>
            <w:r>
              <w:rPr>
                <w:spacing w:val="108"/>
                <w:sz w:val="15"/>
              </w:rPr>
              <w:t> </w:t>
            </w:r>
            <w:r>
              <w:rPr>
                <w:sz w:val="15"/>
              </w:rPr>
              <w:t>within</w:t>
            </w:r>
            <w:r>
              <w:rPr>
                <w:spacing w:val="108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0.2619</w:t>
            </w:r>
          </w:p>
        </w:tc>
        <w:tc>
          <w:tcPr>
            <w:tcW w:w="2735" w:type="dxa"/>
            <w:gridSpan w:val="2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ind w:left="698"/>
              <w:jc w:val="left"/>
              <w:rPr>
                <w:sz w:val="15"/>
              </w:rPr>
            </w:pPr>
            <w:r>
              <w:rPr>
                <w:sz w:val="15"/>
              </w:rPr>
              <w:t>Obs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per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group: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min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789" w:type="dxa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ind w:right="47"/>
              <w:rPr>
                <w:sz w:val="15"/>
              </w:rPr>
            </w:pPr>
            <w:r>
              <w:rPr>
                <w:sz w:val="15"/>
              </w:rPr>
              <w:t>179</w:t>
            </w:r>
          </w:p>
        </w:tc>
      </w:tr>
      <w:tr>
        <w:trPr>
          <w:trHeight w:val="216" w:hRule="atLeast"/>
        </w:trPr>
        <w:tc>
          <w:tcPr>
            <w:tcW w:w="3802" w:type="dxa"/>
            <w:gridSpan w:val="2"/>
          </w:tcPr>
          <w:p>
            <w:pPr>
              <w:pStyle w:val="TableParagraph"/>
              <w:spacing w:before="23"/>
              <w:ind w:left="699"/>
              <w:jc w:val="left"/>
              <w:rPr>
                <w:sz w:val="15"/>
              </w:rPr>
            </w:pPr>
            <w:r>
              <w:rPr>
                <w:sz w:val="15"/>
              </w:rPr>
              <w:t>between</w:t>
            </w:r>
            <w:r>
              <w:rPr>
                <w:spacing w:val="14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0.1242</w:t>
            </w:r>
          </w:p>
        </w:tc>
        <w:tc>
          <w:tcPr>
            <w:tcW w:w="2735" w:type="dxa"/>
            <w:gridSpan w:val="2"/>
          </w:tcPr>
          <w:p>
            <w:pPr>
              <w:pStyle w:val="TableParagraph"/>
              <w:spacing w:before="23"/>
              <w:ind w:right="185"/>
              <w:rPr>
                <w:sz w:val="15"/>
              </w:rPr>
            </w:pPr>
            <w:r>
              <w:rPr>
                <w:sz w:val="15"/>
              </w:rPr>
              <w:t>avg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789" w:type="dxa"/>
          </w:tcPr>
          <w:p>
            <w:pPr>
              <w:pStyle w:val="TableParagraph"/>
              <w:spacing w:before="23"/>
              <w:ind w:right="47"/>
              <w:rPr>
                <w:sz w:val="15"/>
              </w:rPr>
            </w:pPr>
            <w:r>
              <w:rPr>
                <w:sz w:val="15"/>
              </w:rPr>
              <w:t>520.6</w:t>
            </w:r>
          </w:p>
        </w:tc>
      </w:tr>
      <w:tr>
        <w:trPr>
          <w:trHeight w:val="192" w:hRule="atLeast"/>
        </w:trPr>
        <w:tc>
          <w:tcPr>
            <w:tcW w:w="3802" w:type="dxa"/>
            <w:gridSpan w:val="2"/>
          </w:tcPr>
          <w:p>
            <w:pPr>
              <w:pStyle w:val="TableParagraph"/>
              <w:spacing w:line="149" w:lineRule="exact" w:before="23"/>
              <w:ind w:left="699"/>
              <w:jc w:val="left"/>
              <w:rPr>
                <w:sz w:val="15"/>
              </w:rPr>
            </w:pPr>
            <w:r>
              <w:rPr>
                <w:sz w:val="15"/>
              </w:rPr>
              <w:t>overall</w:t>
            </w:r>
            <w:r>
              <w:rPr>
                <w:spacing w:val="14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0.2590</w:t>
            </w:r>
          </w:p>
        </w:tc>
        <w:tc>
          <w:tcPr>
            <w:tcW w:w="2735" w:type="dxa"/>
            <w:gridSpan w:val="2"/>
          </w:tcPr>
          <w:p>
            <w:pPr>
              <w:pStyle w:val="TableParagraph"/>
              <w:spacing w:line="149" w:lineRule="exact" w:before="23"/>
              <w:ind w:right="185"/>
              <w:rPr>
                <w:sz w:val="15"/>
              </w:rPr>
            </w:pPr>
            <w:r>
              <w:rPr>
                <w:sz w:val="15"/>
              </w:rPr>
              <w:t>max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789" w:type="dxa"/>
          </w:tcPr>
          <w:p>
            <w:pPr>
              <w:pStyle w:val="TableParagraph"/>
              <w:spacing w:line="149" w:lineRule="exact" w:before="23"/>
              <w:ind w:right="47"/>
              <w:rPr>
                <w:sz w:val="15"/>
              </w:rPr>
            </w:pPr>
            <w:r>
              <w:rPr>
                <w:sz w:val="15"/>
              </w:rPr>
              <w:t>905</w:t>
            </w:r>
          </w:p>
        </w:tc>
      </w:tr>
      <w:tr>
        <w:trPr>
          <w:trHeight w:val="456" w:hRule="atLeast"/>
        </w:trPr>
        <w:tc>
          <w:tcPr>
            <w:tcW w:w="134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5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18" w:type="dxa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ind w:left="698"/>
              <w:jc w:val="left"/>
              <w:rPr>
                <w:sz w:val="15"/>
              </w:rPr>
            </w:pPr>
            <w:r>
              <w:rPr>
                <w:sz w:val="15"/>
              </w:rPr>
              <w:t>F(34,19190)</w:t>
            </w:r>
          </w:p>
        </w:tc>
        <w:tc>
          <w:tcPr>
            <w:tcW w:w="417" w:type="dxa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ind w:left="141"/>
              <w:jc w:val="left"/>
              <w:rPr>
                <w:sz w:val="15"/>
              </w:rPr>
            </w:pPr>
            <w:r>
              <w:rPr>
                <w:w w:val="97"/>
                <w:sz w:val="15"/>
              </w:rPr>
              <w:t>=</w:t>
            </w:r>
          </w:p>
        </w:tc>
        <w:tc>
          <w:tcPr>
            <w:tcW w:w="789" w:type="dxa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ind w:right="47"/>
              <w:rPr>
                <w:sz w:val="15"/>
              </w:rPr>
            </w:pPr>
            <w:r>
              <w:rPr>
                <w:sz w:val="15"/>
              </w:rPr>
              <w:t>200.32</w:t>
            </w:r>
          </w:p>
        </w:tc>
      </w:tr>
      <w:tr>
        <w:trPr>
          <w:trHeight w:val="192" w:hRule="atLeast"/>
        </w:trPr>
        <w:tc>
          <w:tcPr>
            <w:tcW w:w="1345" w:type="dxa"/>
          </w:tcPr>
          <w:p>
            <w:pPr>
              <w:pStyle w:val="TableParagraph"/>
              <w:spacing w:line="149" w:lineRule="exact" w:before="23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corr(u_i,</w:t>
            </w:r>
            <w:r>
              <w:rPr>
                <w:spacing w:val="19"/>
                <w:sz w:val="15"/>
              </w:rPr>
              <w:t> </w:t>
            </w:r>
            <w:r>
              <w:rPr>
                <w:sz w:val="15"/>
              </w:rPr>
              <w:t>Xb)</w:t>
            </w:r>
          </w:p>
        </w:tc>
        <w:tc>
          <w:tcPr>
            <w:tcW w:w="2457" w:type="dxa"/>
          </w:tcPr>
          <w:p>
            <w:pPr>
              <w:pStyle w:val="TableParagraph"/>
              <w:spacing w:line="149" w:lineRule="exact" w:before="23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-0.0399</w:t>
            </w:r>
          </w:p>
        </w:tc>
        <w:tc>
          <w:tcPr>
            <w:tcW w:w="2318" w:type="dxa"/>
          </w:tcPr>
          <w:p>
            <w:pPr>
              <w:pStyle w:val="TableParagraph"/>
              <w:spacing w:line="149" w:lineRule="exact" w:before="23"/>
              <w:ind w:left="698"/>
              <w:jc w:val="left"/>
              <w:rPr>
                <w:sz w:val="15"/>
              </w:rPr>
            </w:pPr>
            <w:r>
              <w:rPr>
                <w:sz w:val="15"/>
              </w:rPr>
              <w:t>Prob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&gt;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F</w:t>
            </w:r>
          </w:p>
        </w:tc>
        <w:tc>
          <w:tcPr>
            <w:tcW w:w="417" w:type="dxa"/>
          </w:tcPr>
          <w:p>
            <w:pPr>
              <w:pStyle w:val="TableParagraph"/>
              <w:spacing w:line="149" w:lineRule="exact" w:before="23"/>
              <w:ind w:left="141"/>
              <w:jc w:val="left"/>
              <w:rPr>
                <w:sz w:val="15"/>
              </w:rPr>
            </w:pPr>
            <w:r>
              <w:rPr>
                <w:w w:val="97"/>
                <w:sz w:val="15"/>
              </w:rPr>
              <w:t>=</w:t>
            </w:r>
          </w:p>
        </w:tc>
        <w:tc>
          <w:tcPr>
            <w:tcW w:w="789" w:type="dxa"/>
          </w:tcPr>
          <w:p>
            <w:pPr>
              <w:pStyle w:val="TableParagraph"/>
              <w:spacing w:line="149" w:lineRule="exact" w:before="23"/>
              <w:ind w:right="47"/>
              <w:rPr>
                <w:sz w:val="15"/>
              </w:rPr>
            </w:pPr>
            <w:r>
              <w:rPr>
                <w:sz w:val="15"/>
              </w:rPr>
              <w:t>0.0000</w:t>
            </w:r>
          </w:p>
        </w:tc>
      </w:tr>
    </w:tbl>
    <w:p>
      <w:pPr>
        <w:pStyle w:val="BodyText"/>
        <w:spacing w:before="5"/>
        <w:rPr>
          <w:rFonts w:ascii="Courier New"/>
          <w:sz w:val="29"/>
        </w:r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9"/>
        <w:gridCol w:w="1202"/>
        <w:gridCol w:w="2502"/>
        <w:gridCol w:w="277"/>
        <w:gridCol w:w="1112"/>
        <w:gridCol w:w="876"/>
      </w:tblGrid>
      <w:tr>
        <w:trPr>
          <w:trHeight w:val="417" w:hRule="atLeast"/>
        </w:trPr>
        <w:tc>
          <w:tcPr>
            <w:tcW w:w="3099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1"/>
              <w:ind w:right="127"/>
              <w:rPr>
                <w:sz w:val="15"/>
              </w:rPr>
            </w:pPr>
            <w:r>
              <w:rPr>
                <w:sz w:val="15"/>
              </w:rPr>
              <w:t>illness</w:t>
            </w:r>
          </w:p>
        </w:tc>
        <w:tc>
          <w:tcPr>
            <w:tcW w:w="1202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1"/>
              <w:ind w:right="131"/>
              <w:rPr>
                <w:sz w:val="15"/>
              </w:rPr>
            </w:pPr>
            <w:r>
              <w:rPr>
                <w:sz w:val="15"/>
              </w:rPr>
              <w:t>Coef.</w:t>
            </w:r>
          </w:p>
        </w:tc>
        <w:tc>
          <w:tcPr>
            <w:tcW w:w="250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tabs>
                <w:tab w:pos="1390" w:val="left" w:leader="none"/>
                <w:tab w:pos="1854" w:val="left" w:leader="none"/>
              </w:tabs>
              <w:spacing w:before="131"/>
              <w:ind w:right="37"/>
              <w:rPr>
                <w:sz w:val="15"/>
              </w:rPr>
            </w:pPr>
            <w:r>
              <w:rPr>
                <w:sz w:val="15"/>
              </w:rPr>
              <w:t>Std.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Err.</w:t>
              <w:tab/>
              <w:t>t</w:t>
              <w:tab/>
              <w:t>P&gt;|t|</w:t>
            </w:r>
          </w:p>
        </w:tc>
        <w:tc>
          <w:tcPr>
            <w:tcW w:w="277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1"/>
              <w:ind w:left="152"/>
              <w:jc w:val="left"/>
              <w:rPr>
                <w:sz w:val="15"/>
              </w:rPr>
            </w:pPr>
            <w:r>
              <w:rPr>
                <w:sz w:val="15"/>
              </w:rPr>
              <w:t>[95%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Conf.</w:t>
            </w:r>
          </w:p>
        </w:tc>
        <w:tc>
          <w:tcPr>
            <w:tcW w:w="87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1"/>
              <w:ind w:right="-15"/>
              <w:rPr>
                <w:sz w:val="15"/>
              </w:rPr>
            </w:pPr>
            <w:r>
              <w:rPr>
                <w:sz w:val="15"/>
              </w:rPr>
              <w:t>Interval]</w:t>
            </w:r>
          </w:p>
        </w:tc>
      </w:tr>
      <w:tr>
        <w:trPr>
          <w:trHeight w:val="324" w:hRule="atLeast"/>
        </w:trPr>
        <w:tc>
          <w:tcPr>
            <w:tcW w:w="3099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1"/>
              <w:ind w:right="127"/>
              <w:rPr>
                <w:sz w:val="15"/>
              </w:rPr>
            </w:pPr>
            <w:r>
              <w:rPr>
                <w:sz w:val="15"/>
              </w:rPr>
              <w:t>familsize</w:t>
            </w:r>
          </w:p>
        </w:tc>
        <w:tc>
          <w:tcPr>
            <w:tcW w:w="1202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31"/>
              <w:ind w:right="131"/>
              <w:rPr>
                <w:sz w:val="15"/>
              </w:rPr>
            </w:pPr>
            <w:r>
              <w:rPr>
                <w:sz w:val="15"/>
              </w:rPr>
              <w:t>.0205004</w:t>
            </w:r>
          </w:p>
        </w:tc>
        <w:tc>
          <w:tcPr>
            <w:tcW w:w="2502" w:type="dxa"/>
            <w:tcBorders>
              <w:top w:val="dashSmallGap" w:sz="6" w:space="0" w:color="000000"/>
            </w:tcBorders>
          </w:tcPr>
          <w:p>
            <w:pPr>
              <w:pStyle w:val="TableParagraph"/>
              <w:tabs>
                <w:tab w:pos="1204" w:val="left" w:leader="none"/>
                <w:tab w:pos="1854" w:val="left" w:leader="none"/>
              </w:tabs>
              <w:spacing w:before="131"/>
              <w:ind w:right="37"/>
              <w:rPr>
                <w:sz w:val="15"/>
              </w:rPr>
            </w:pPr>
            <w:r>
              <w:rPr>
                <w:sz w:val="15"/>
              </w:rPr>
              <w:t>.0080311</w:t>
              <w:tab/>
              <w:t>2.55</w:t>
              <w:tab/>
              <w:t>0.011</w:t>
            </w:r>
          </w:p>
        </w:tc>
        <w:tc>
          <w:tcPr>
            <w:tcW w:w="277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1"/>
              <w:ind w:left="152"/>
              <w:jc w:val="left"/>
              <w:rPr>
                <w:sz w:val="15"/>
              </w:rPr>
            </w:pPr>
            <w:r>
              <w:rPr>
                <w:sz w:val="15"/>
              </w:rPr>
              <w:t>.0047586</w:t>
            </w:r>
          </w:p>
        </w:tc>
        <w:tc>
          <w:tcPr>
            <w:tcW w:w="876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1"/>
              <w:ind w:right="-15"/>
              <w:rPr>
                <w:sz w:val="15"/>
              </w:rPr>
            </w:pPr>
            <w:r>
              <w:rPr>
                <w:sz w:val="15"/>
              </w:rPr>
              <w:t>.0362421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hunger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.0191291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204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.0158687</w:t>
              <w:tab/>
              <w:t>1.21</w:t>
              <w:tab/>
              <w:t>0.228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152"/>
              <w:jc w:val="left"/>
              <w:rPr>
                <w:sz w:val="15"/>
              </w:rPr>
            </w:pPr>
            <w:r>
              <w:rPr>
                <w:sz w:val="15"/>
              </w:rPr>
              <w:t>-.011975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.0502332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gari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-.0058891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.0095812</w:t>
              <w:tab/>
              <w:t>-0.61</w:t>
              <w:tab/>
              <w:t>0.539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152"/>
              <w:jc w:val="left"/>
              <w:rPr>
                <w:sz w:val="15"/>
              </w:rPr>
            </w:pPr>
            <w:r>
              <w:rPr>
                <w:sz w:val="15"/>
              </w:rPr>
              <w:t>-.024669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.0128909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rice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-.0639988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019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.0051951</w:t>
              <w:tab/>
              <w:t>-12.32</w:t>
              <w:tab/>
              <w:t>0.000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-.0741817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-.0538159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27"/>
              <w:rPr>
                <w:sz w:val="15"/>
              </w:rPr>
            </w:pPr>
            <w:r>
              <w:rPr>
                <w:sz w:val="15"/>
              </w:rPr>
              <w:t>yamorcassavaormaizeflour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1"/>
              <w:rPr>
                <w:sz w:val="15"/>
              </w:rPr>
            </w:pPr>
            <w:r>
              <w:rPr>
                <w:sz w:val="15"/>
              </w:rPr>
              <w:t>-.3948515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019" w:val="left" w:leader="none"/>
                <w:tab w:pos="1854" w:val="left" w:leader="none"/>
              </w:tabs>
              <w:spacing w:before="22"/>
              <w:ind w:right="37"/>
              <w:rPr>
                <w:sz w:val="15"/>
              </w:rPr>
            </w:pPr>
            <w:r>
              <w:rPr>
                <w:sz w:val="15"/>
              </w:rPr>
              <w:t>.0060871</w:t>
              <w:tab/>
              <w:t>-64.87</w:t>
              <w:tab/>
              <w:t>0.000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2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-.4067828</w:t>
            </w:r>
          </w:p>
        </w:tc>
        <w:tc>
          <w:tcPr>
            <w:tcW w:w="87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-.3829201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27"/>
              <w:rPr>
                <w:sz w:val="15"/>
              </w:rPr>
            </w:pPr>
            <w:r>
              <w:rPr>
                <w:sz w:val="15"/>
              </w:rPr>
              <w:t>beans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1"/>
              <w:rPr>
                <w:sz w:val="15"/>
              </w:rPr>
            </w:pPr>
            <w:r>
              <w:rPr>
                <w:sz w:val="15"/>
              </w:rPr>
              <w:t>-.0519511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019" w:val="left" w:leader="none"/>
                <w:tab w:pos="1761" w:val="left" w:leader="none"/>
              </w:tabs>
              <w:spacing w:before="22"/>
              <w:ind w:right="37"/>
              <w:rPr>
                <w:sz w:val="15"/>
              </w:rPr>
            </w:pPr>
            <w:r>
              <w:rPr>
                <w:sz w:val="15"/>
              </w:rPr>
              <w:t>.009789</w:t>
              <w:tab/>
              <w:t>-5.31</w:t>
              <w:tab/>
              <w:t>0.000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2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-.0711384</w:t>
            </w:r>
          </w:p>
        </w:tc>
        <w:tc>
          <w:tcPr>
            <w:tcW w:w="87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-.0327637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meatorfish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-.0000369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.0000941</w:t>
              <w:tab/>
              <w:t>-0.39</w:t>
              <w:tab/>
              <w:t>0.695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-.0002212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.0001475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mosquitonetpossession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-.0203512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.0116187</w:t>
              <w:tab/>
              <w:t>-1.75</w:t>
              <w:tab/>
              <w:t>0.080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-.0431249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.0024224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primaryeducation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-.0330551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.0383677</w:t>
              <w:tab/>
              <w:t>-0.86</w:t>
              <w:tab/>
              <w:t>0.389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-.1082592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.042149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27"/>
              <w:rPr>
                <w:sz w:val="15"/>
              </w:rPr>
            </w:pPr>
            <w:r>
              <w:rPr>
                <w:sz w:val="15"/>
              </w:rPr>
              <w:t>secondaryeducation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1"/>
              <w:rPr>
                <w:sz w:val="15"/>
              </w:rPr>
            </w:pPr>
            <w:r>
              <w:rPr>
                <w:sz w:val="15"/>
              </w:rPr>
              <w:t>-.0001537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2"/>
              <w:ind w:right="37"/>
              <w:rPr>
                <w:sz w:val="15"/>
              </w:rPr>
            </w:pPr>
            <w:r>
              <w:rPr>
                <w:sz w:val="15"/>
              </w:rPr>
              <w:t>.0002166</w:t>
              <w:tab/>
              <w:t>-0.71</w:t>
              <w:tab/>
              <w:t>0.478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2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-.0005783</w:t>
            </w:r>
          </w:p>
        </w:tc>
        <w:tc>
          <w:tcPr>
            <w:tcW w:w="87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.0002709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27"/>
              <w:rPr>
                <w:sz w:val="15"/>
              </w:rPr>
            </w:pPr>
            <w:r>
              <w:rPr>
                <w:sz w:val="15"/>
              </w:rPr>
              <w:t>higherdegree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1"/>
              <w:rPr>
                <w:sz w:val="15"/>
              </w:rPr>
            </w:pPr>
            <w:r>
              <w:rPr>
                <w:sz w:val="15"/>
              </w:rPr>
              <w:t>-.0015675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2"/>
              <w:ind w:right="37"/>
              <w:rPr>
                <w:sz w:val="15"/>
              </w:rPr>
            </w:pPr>
            <w:r>
              <w:rPr>
                <w:sz w:val="15"/>
              </w:rPr>
              <w:t>.0035253</w:t>
              <w:tab/>
              <w:t>-0.44</w:t>
              <w:tab/>
              <w:t>0.657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2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-.0084773</w:t>
            </w:r>
          </w:p>
        </w:tc>
        <w:tc>
          <w:tcPr>
            <w:tcW w:w="87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.0053424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nobasiceducation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.0546709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204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.0087295</w:t>
              <w:tab/>
              <w:t>6.26</w:t>
              <w:tab/>
              <w:t>0.000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152"/>
              <w:jc w:val="left"/>
              <w:rPr>
                <w:sz w:val="15"/>
              </w:rPr>
            </w:pPr>
            <w:r>
              <w:rPr>
                <w:sz w:val="15"/>
              </w:rPr>
              <w:t>.0375603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.0717815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hadelectricity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-.0605658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.0213264</w:t>
              <w:tab/>
              <w:t>-2.84</w:t>
              <w:tab/>
              <w:t>0.005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-.1023673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-.0187642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noelectricity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.0006128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204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.0009526</w:t>
              <w:tab/>
              <w:t>0.64</w:t>
              <w:tab/>
              <w:t>0.520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-.0012544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.00248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27"/>
              <w:rPr>
                <w:sz w:val="15"/>
              </w:rPr>
            </w:pPr>
            <w:r>
              <w:rPr>
                <w:sz w:val="15"/>
              </w:rPr>
              <w:t>pipebornewater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1"/>
              <w:rPr>
                <w:sz w:val="15"/>
              </w:rPr>
            </w:pPr>
            <w:r>
              <w:rPr>
                <w:sz w:val="15"/>
              </w:rPr>
              <w:t>-.0694591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2"/>
              <w:ind w:right="37"/>
              <w:rPr>
                <w:sz w:val="15"/>
              </w:rPr>
            </w:pPr>
            <w:r>
              <w:rPr>
                <w:sz w:val="15"/>
              </w:rPr>
              <w:t>.0123731</w:t>
              <w:tab/>
              <w:t>-5.61</w:t>
              <w:tab/>
              <w:t>0.000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2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-.0937115</w:t>
            </w:r>
          </w:p>
        </w:tc>
        <w:tc>
          <w:tcPr>
            <w:tcW w:w="87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-.0452066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27"/>
              <w:rPr>
                <w:sz w:val="15"/>
              </w:rPr>
            </w:pPr>
            <w:r>
              <w:rPr>
                <w:sz w:val="15"/>
              </w:rPr>
              <w:t>borehole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1"/>
              <w:rPr>
                <w:sz w:val="15"/>
              </w:rPr>
            </w:pPr>
            <w:r>
              <w:rPr>
                <w:sz w:val="15"/>
              </w:rPr>
              <w:t>-.0028211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2"/>
              <w:ind w:right="37"/>
              <w:rPr>
                <w:sz w:val="15"/>
              </w:rPr>
            </w:pPr>
            <w:r>
              <w:rPr>
                <w:sz w:val="15"/>
              </w:rPr>
              <w:t>.0045934</w:t>
              <w:tab/>
              <w:t>-0.61</w:t>
              <w:tab/>
              <w:t>0.539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2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-.0118246</w:t>
            </w:r>
          </w:p>
        </w:tc>
        <w:tc>
          <w:tcPr>
            <w:tcW w:w="87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.0061824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riverandspring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.0540653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204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.0120654</w:t>
              <w:tab/>
              <w:t>4.48</w:t>
              <w:tab/>
              <w:t>0.000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152"/>
              <w:jc w:val="left"/>
              <w:rPr>
                <w:sz w:val="15"/>
              </w:rPr>
            </w:pPr>
            <w:r>
              <w:rPr>
                <w:sz w:val="15"/>
              </w:rPr>
              <w:t>.0304159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.0777146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noaccesstowater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.0194772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204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.0061704</w:t>
              <w:tab/>
              <w:t>3.16</w:t>
              <w:tab/>
              <w:t>0.002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152"/>
              <w:jc w:val="left"/>
              <w:rPr>
                <w:sz w:val="15"/>
              </w:rPr>
            </w:pPr>
            <w:r>
              <w:rPr>
                <w:sz w:val="15"/>
              </w:rPr>
              <w:t>.0073826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.0315718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27"/>
              <w:rPr>
                <w:sz w:val="15"/>
              </w:rPr>
            </w:pPr>
            <w:r>
              <w:rPr>
                <w:sz w:val="15"/>
              </w:rPr>
              <w:t>waterormodernlatrine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1"/>
              <w:rPr>
                <w:sz w:val="15"/>
              </w:rPr>
            </w:pPr>
            <w:r>
              <w:rPr>
                <w:sz w:val="15"/>
              </w:rPr>
              <w:t>-.0115629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2"/>
              <w:ind w:right="37"/>
              <w:rPr>
                <w:sz w:val="15"/>
              </w:rPr>
            </w:pPr>
            <w:r>
              <w:rPr>
                <w:sz w:val="15"/>
              </w:rPr>
              <w:t>.0052113</w:t>
              <w:tab/>
              <w:t>-2.22</w:t>
              <w:tab/>
              <w:t>0.027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2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-.0217775</w:t>
            </w:r>
          </w:p>
        </w:tc>
        <w:tc>
          <w:tcPr>
            <w:tcW w:w="87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-.0013482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pitorlatrine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.0407454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204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.0156518</w:t>
              <w:tab/>
              <w:t>2.60</w:t>
              <w:tab/>
              <w:t>0.009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152"/>
              <w:jc w:val="left"/>
              <w:rPr>
                <w:sz w:val="15"/>
              </w:rPr>
            </w:pPr>
            <w:r>
              <w:rPr>
                <w:sz w:val="15"/>
              </w:rPr>
              <w:t>.0100665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.0714243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notoiletfacility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.0705782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204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.0119981</w:t>
              <w:tab/>
              <w:t>5.88</w:t>
              <w:tab/>
              <w:t>0.000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152"/>
              <w:jc w:val="left"/>
              <w:rPr>
                <w:sz w:val="15"/>
              </w:rPr>
            </w:pPr>
            <w:r>
              <w:rPr>
                <w:sz w:val="15"/>
              </w:rPr>
              <w:t>.0470609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.0940955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27"/>
              <w:rPr>
                <w:sz w:val="15"/>
              </w:rPr>
            </w:pPr>
            <w:r>
              <w:rPr>
                <w:sz w:val="15"/>
              </w:rPr>
              <w:t>alcoholicdrinks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1"/>
              <w:rPr>
                <w:sz w:val="15"/>
              </w:rPr>
            </w:pPr>
            <w:r>
              <w:rPr>
                <w:sz w:val="15"/>
              </w:rPr>
              <w:t>.0056853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204" w:val="left" w:leader="none"/>
                <w:tab w:pos="1854" w:val="left" w:leader="none"/>
              </w:tabs>
              <w:spacing w:before="22"/>
              <w:ind w:right="37"/>
              <w:rPr>
                <w:sz w:val="15"/>
              </w:rPr>
            </w:pPr>
            <w:r>
              <w:rPr>
                <w:sz w:val="15"/>
              </w:rPr>
              <w:t>.0060898</w:t>
              <w:tab/>
              <w:t>0.93</w:t>
              <w:tab/>
              <w:t>0.351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2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-.0062514</w:t>
            </w:r>
          </w:p>
        </w:tc>
        <w:tc>
          <w:tcPr>
            <w:tcW w:w="87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.0176219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selfmedication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.0165655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761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.006698</w:t>
              <w:tab/>
              <w:t>2.47</w:t>
              <w:tab/>
              <w:t>0.013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152"/>
              <w:jc w:val="left"/>
              <w:rPr>
                <w:sz w:val="15"/>
              </w:rPr>
            </w:pPr>
            <w:r>
              <w:rPr>
                <w:sz w:val="15"/>
              </w:rPr>
              <w:t>.0034367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.0296942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27"/>
              <w:rPr>
                <w:sz w:val="15"/>
              </w:rPr>
            </w:pPr>
            <w:r>
              <w:rPr>
                <w:sz w:val="15"/>
              </w:rPr>
              <w:t>seekingmedicalcare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1"/>
              <w:rPr>
                <w:sz w:val="15"/>
              </w:rPr>
            </w:pPr>
            <w:r>
              <w:rPr>
                <w:sz w:val="15"/>
              </w:rPr>
              <w:t>-.00432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2"/>
              <w:ind w:right="37"/>
              <w:rPr>
                <w:sz w:val="15"/>
              </w:rPr>
            </w:pPr>
            <w:r>
              <w:rPr>
                <w:sz w:val="15"/>
              </w:rPr>
              <w:t>.0067632</w:t>
              <w:tab/>
              <w:t>-0.64</w:t>
              <w:tab/>
              <w:t>0.523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2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-.0175765</w:t>
            </w:r>
          </w:p>
        </w:tc>
        <w:tc>
          <w:tcPr>
            <w:tcW w:w="87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.0089364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otherhealthcare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.0003897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204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.0012056</w:t>
              <w:tab/>
              <w:t>0.32</w:t>
              <w:tab/>
              <w:t>0.747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-.0019734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.0027528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wagesandsalaries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-.021779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.0067937</w:t>
              <w:tab/>
              <w:t>-3.21</w:t>
              <w:tab/>
              <w:t>0.001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-.0350952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-.0084628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27"/>
              <w:rPr>
                <w:sz w:val="15"/>
              </w:rPr>
            </w:pPr>
            <w:r>
              <w:rPr>
                <w:sz w:val="15"/>
              </w:rPr>
              <w:t>entreprisesandbusiness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1"/>
              <w:rPr>
                <w:sz w:val="15"/>
              </w:rPr>
            </w:pPr>
            <w:r>
              <w:rPr>
                <w:sz w:val="15"/>
              </w:rPr>
              <w:t>-.0189255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2"/>
              <w:ind w:right="37"/>
              <w:rPr>
                <w:sz w:val="15"/>
              </w:rPr>
            </w:pPr>
            <w:r>
              <w:rPr>
                <w:sz w:val="15"/>
              </w:rPr>
              <w:t>.0075326</w:t>
              <w:tab/>
              <w:t>-2.51</w:t>
              <w:tab/>
              <w:t>0.012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2"/>
              <w:ind w:left="244"/>
              <w:jc w:val="left"/>
              <w:rPr>
                <w:sz w:val="15"/>
              </w:rPr>
            </w:pPr>
            <w:r>
              <w:rPr>
                <w:sz w:val="15"/>
              </w:rPr>
              <w:t>-.03369</w:t>
            </w:r>
          </w:p>
        </w:tc>
        <w:tc>
          <w:tcPr>
            <w:tcW w:w="87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-.004161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farmingcropandlivestock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-.0322863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.0280863</w:t>
              <w:tab/>
              <w:t>-1.15</w:t>
              <w:tab/>
              <w:t>0.250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-.0873379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.0227652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27"/>
              <w:rPr>
                <w:sz w:val="15"/>
              </w:rPr>
            </w:pPr>
            <w:r>
              <w:rPr>
                <w:sz w:val="15"/>
              </w:rPr>
              <w:t>monetaryass1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1"/>
              <w:rPr>
                <w:sz w:val="15"/>
              </w:rPr>
            </w:pPr>
            <w:r>
              <w:rPr>
                <w:sz w:val="15"/>
              </w:rPr>
              <w:t>-.0106956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2"/>
              <w:ind w:right="37"/>
              <w:rPr>
                <w:sz w:val="15"/>
              </w:rPr>
            </w:pPr>
            <w:r>
              <w:rPr>
                <w:sz w:val="15"/>
              </w:rPr>
              <w:t>.0093724</w:t>
              <w:tab/>
              <w:t>-1.14</w:t>
              <w:tab/>
              <w:t>0.254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2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-.0290664</w:t>
            </w:r>
          </w:p>
        </w:tc>
        <w:tc>
          <w:tcPr>
            <w:tcW w:w="87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.0076752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remittances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.0192488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204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.0192603</w:t>
              <w:tab/>
              <w:t>1.00</w:t>
              <w:tab/>
              <w:t>0.318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-.0185032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.0570007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pensionsandgrants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-.0095004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.0273755</w:t>
              <w:tab/>
              <w:t>-0.35</w:t>
              <w:tab/>
              <w:t>0.729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-.0631589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.0441581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27"/>
              <w:rPr>
                <w:sz w:val="15"/>
              </w:rPr>
            </w:pPr>
            <w:r>
              <w:rPr>
                <w:w w:val="95"/>
                <w:sz w:val="15"/>
              </w:rPr>
              <w:t>dividendandinterestfrominvestmen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1"/>
              <w:rPr>
                <w:sz w:val="15"/>
              </w:rPr>
            </w:pPr>
            <w:r>
              <w:rPr>
                <w:sz w:val="15"/>
              </w:rPr>
              <w:t>.0175054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204" w:val="left" w:leader="none"/>
                <w:tab w:pos="1854" w:val="left" w:leader="none"/>
              </w:tabs>
              <w:spacing w:before="22"/>
              <w:ind w:right="37"/>
              <w:rPr>
                <w:sz w:val="15"/>
              </w:rPr>
            </w:pPr>
            <w:r>
              <w:rPr>
                <w:sz w:val="15"/>
              </w:rPr>
              <w:t>.0190945</w:t>
              <w:tab/>
              <w:t>0.92</w:t>
              <w:tab/>
              <w:t>0.359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2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-.0199216</w:t>
            </w:r>
          </w:p>
        </w:tc>
        <w:tc>
          <w:tcPr>
            <w:tcW w:w="87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.0549323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27"/>
              <w:rPr>
                <w:sz w:val="15"/>
              </w:rPr>
            </w:pPr>
            <w:r>
              <w:rPr>
                <w:w w:val="95"/>
                <w:sz w:val="15"/>
              </w:rPr>
              <w:t>incomesfromlandandpropertiesowne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1"/>
              <w:rPr>
                <w:sz w:val="15"/>
              </w:rPr>
            </w:pPr>
            <w:r>
              <w:rPr>
                <w:sz w:val="15"/>
              </w:rPr>
              <w:t>-.0118754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927" w:val="left" w:leader="none"/>
                <w:tab w:pos="1669" w:val="left" w:leader="none"/>
              </w:tabs>
              <w:spacing w:before="22"/>
              <w:ind w:right="37"/>
              <w:rPr>
                <w:sz w:val="15"/>
              </w:rPr>
            </w:pPr>
            <w:r>
              <w:rPr>
                <w:sz w:val="15"/>
              </w:rPr>
              <w:t>.01161</w:t>
              <w:tab/>
              <w:t>-1.02</w:t>
              <w:tab/>
              <w:t>0.306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2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-.0346319</w:t>
            </w:r>
          </w:p>
        </w:tc>
        <w:tc>
          <w:tcPr>
            <w:tcW w:w="876" w:type="dxa"/>
          </w:tcPr>
          <w:p>
            <w:pPr>
              <w:pStyle w:val="TableParagraph"/>
              <w:spacing w:before="22"/>
              <w:ind w:right="-15"/>
              <w:rPr>
                <w:sz w:val="15"/>
              </w:rPr>
            </w:pPr>
            <w:r>
              <w:rPr>
                <w:sz w:val="15"/>
              </w:rPr>
              <w:t>.0108812</w:t>
            </w: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ginicoefficient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.0021283</w:t>
            </w:r>
          </w:p>
        </w:tc>
        <w:tc>
          <w:tcPr>
            <w:tcW w:w="2502" w:type="dxa"/>
          </w:tcPr>
          <w:p>
            <w:pPr>
              <w:pStyle w:val="TableParagraph"/>
              <w:tabs>
                <w:tab w:pos="1204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.0006299</w:t>
              <w:tab/>
              <w:t>3.38</w:t>
              <w:tab/>
              <w:t>0.001</w:t>
            </w: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3"/>
              <w:ind w:left="152"/>
              <w:jc w:val="left"/>
              <w:rPr>
                <w:sz w:val="15"/>
              </w:rPr>
            </w:pPr>
            <w:r>
              <w:rPr>
                <w:sz w:val="15"/>
              </w:rPr>
              <w:t>.0008936</w:t>
            </w:r>
          </w:p>
        </w:tc>
        <w:tc>
          <w:tcPr>
            <w:tcW w:w="876" w:type="dxa"/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.0033629</w:t>
            </w:r>
          </w:p>
        </w:tc>
      </w:tr>
      <w:tr>
        <w:trPr>
          <w:trHeight w:val="309" w:hRule="atLeast"/>
        </w:trPr>
        <w:tc>
          <w:tcPr>
            <w:tcW w:w="3099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_cons</w:t>
            </w:r>
          </w:p>
        </w:tc>
        <w:tc>
          <w:tcPr>
            <w:tcW w:w="1202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1.000868</w:t>
            </w:r>
          </w:p>
        </w:tc>
        <w:tc>
          <w:tcPr>
            <w:tcW w:w="2502" w:type="dxa"/>
            <w:tcBorders>
              <w:bottom w:val="dashSmallGap" w:sz="6" w:space="0" w:color="000000"/>
            </w:tcBorders>
          </w:tcPr>
          <w:p>
            <w:pPr>
              <w:pStyle w:val="TableParagraph"/>
              <w:tabs>
                <w:tab w:pos="1112" w:val="left" w:leader="none"/>
                <w:tab w:pos="1854" w:val="left" w:leader="none"/>
              </w:tabs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.0758414</w:t>
              <w:tab/>
              <w:t>13.20</w:t>
              <w:tab/>
              <w:t>0.000</w:t>
            </w:r>
          </w:p>
        </w:tc>
        <w:tc>
          <w:tcPr>
            <w:tcW w:w="277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3"/>
              <w:ind w:left="244"/>
              <w:jc w:val="left"/>
              <w:rPr>
                <w:sz w:val="15"/>
              </w:rPr>
            </w:pPr>
            <w:r>
              <w:rPr>
                <w:sz w:val="15"/>
              </w:rPr>
              <w:t>.852212</w:t>
            </w:r>
          </w:p>
        </w:tc>
        <w:tc>
          <w:tcPr>
            <w:tcW w:w="87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3"/>
              <w:ind w:right="-15"/>
              <w:rPr>
                <w:sz w:val="15"/>
              </w:rPr>
            </w:pPr>
            <w:r>
              <w:rPr>
                <w:sz w:val="15"/>
              </w:rPr>
              <w:t>1.149523</w:t>
            </w:r>
          </w:p>
        </w:tc>
      </w:tr>
      <w:tr>
        <w:trPr>
          <w:trHeight w:val="324" w:hRule="atLeast"/>
        </w:trPr>
        <w:tc>
          <w:tcPr>
            <w:tcW w:w="3099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1"/>
              <w:ind w:right="127"/>
              <w:rPr>
                <w:sz w:val="15"/>
              </w:rPr>
            </w:pPr>
            <w:r>
              <w:rPr>
                <w:sz w:val="15"/>
              </w:rPr>
              <w:t>sigma_u</w:t>
            </w:r>
          </w:p>
        </w:tc>
        <w:tc>
          <w:tcPr>
            <w:tcW w:w="1202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31"/>
              <w:ind w:right="131"/>
              <w:rPr>
                <w:sz w:val="15"/>
              </w:rPr>
            </w:pPr>
            <w:r>
              <w:rPr>
                <w:sz w:val="15"/>
              </w:rPr>
              <w:t>.07739303</w:t>
            </w:r>
          </w:p>
        </w:tc>
        <w:tc>
          <w:tcPr>
            <w:tcW w:w="2502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7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6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9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sigma_e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.29693685</w:t>
            </w:r>
          </w:p>
        </w:tc>
        <w:tc>
          <w:tcPr>
            <w:tcW w:w="25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09" w:hRule="atLeast"/>
        </w:trPr>
        <w:tc>
          <w:tcPr>
            <w:tcW w:w="3099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3"/>
              <w:ind w:right="127"/>
              <w:rPr>
                <w:sz w:val="15"/>
              </w:rPr>
            </w:pPr>
            <w:r>
              <w:rPr>
                <w:sz w:val="15"/>
              </w:rPr>
              <w:t>rho</w:t>
            </w:r>
          </w:p>
        </w:tc>
        <w:tc>
          <w:tcPr>
            <w:tcW w:w="1202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3"/>
              <w:ind w:right="131"/>
              <w:rPr>
                <w:sz w:val="15"/>
              </w:rPr>
            </w:pPr>
            <w:r>
              <w:rPr>
                <w:sz w:val="15"/>
              </w:rPr>
              <w:t>.06361093</w:t>
            </w:r>
          </w:p>
        </w:tc>
        <w:tc>
          <w:tcPr>
            <w:tcW w:w="250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3"/>
              <w:ind w:right="37"/>
              <w:rPr>
                <w:sz w:val="15"/>
              </w:rPr>
            </w:pPr>
            <w:r>
              <w:rPr>
                <w:sz w:val="15"/>
              </w:rPr>
              <w:t>(fraction</w:t>
            </w:r>
            <w:r>
              <w:rPr>
                <w:spacing w:val="17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variance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due</w:t>
            </w:r>
          </w:p>
        </w:tc>
        <w:tc>
          <w:tcPr>
            <w:tcW w:w="277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3"/>
              <w:ind w:left="58"/>
              <w:jc w:val="left"/>
              <w:rPr>
                <w:sz w:val="15"/>
              </w:rPr>
            </w:pPr>
            <w:r>
              <w:rPr>
                <w:sz w:val="15"/>
              </w:rPr>
              <w:t>to</w:t>
            </w:r>
          </w:p>
        </w:tc>
        <w:tc>
          <w:tcPr>
            <w:tcW w:w="111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u_i)</w:t>
            </w:r>
          </w:p>
        </w:tc>
        <w:tc>
          <w:tcPr>
            <w:tcW w:w="876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2663" w:val="left" w:leader="none"/>
          <w:tab w:pos="4331" w:val="left" w:leader="none"/>
          <w:tab w:pos="5815" w:val="left" w:leader="none"/>
        </w:tabs>
        <w:spacing w:before="132"/>
        <w:ind w:left="159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F</w:t>
      </w:r>
      <w:r>
        <w:rPr>
          <w:rFonts w:ascii="Courier New"/>
          <w:spacing w:val="11"/>
          <w:sz w:val="15"/>
        </w:rPr>
        <w:t> </w:t>
      </w:r>
      <w:r>
        <w:rPr>
          <w:rFonts w:ascii="Courier New"/>
          <w:sz w:val="15"/>
        </w:rPr>
        <w:t>test</w:t>
      </w:r>
      <w:r>
        <w:rPr>
          <w:rFonts w:ascii="Courier New"/>
          <w:spacing w:val="12"/>
          <w:sz w:val="15"/>
        </w:rPr>
        <w:t> </w:t>
      </w:r>
      <w:r>
        <w:rPr>
          <w:rFonts w:ascii="Courier New"/>
          <w:sz w:val="15"/>
        </w:rPr>
        <w:t>that</w:t>
      </w:r>
      <w:r>
        <w:rPr>
          <w:rFonts w:ascii="Courier New"/>
          <w:spacing w:val="11"/>
          <w:sz w:val="15"/>
        </w:rPr>
        <w:t> </w:t>
      </w:r>
      <w:r>
        <w:rPr>
          <w:rFonts w:ascii="Courier New"/>
          <w:sz w:val="15"/>
        </w:rPr>
        <w:t>all</w:t>
      </w:r>
      <w:r>
        <w:rPr>
          <w:rFonts w:ascii="Courier New"/>
          <w:spacing w:val="11"/>
          <w:sz w:val="15"/>
        </w:rPr>
        <w:t> </w:t>
      </w:r>
      <w:r>
        <w:rPr>
          <w:rFonts w:ascii="Courier New"/>
          <w:sz w:val="15"/>
        </w:rPr>
        <w:t>u_i=0:</w:t>
        <w:tab/>
        <w:t>F(36,</w:t>
      </w:r>
      <w:r>
        <w:rPr>
          <w:rFonts w:ascii="Courier New"/>
          <w:spacing w:val="13"/>
          <w:sz w:val="15"/>
        </w:rPr>
        <w:t> </w:t>
      </w:r>
      <w:r>
        <w:rPr>
          <w:rFonts w:ascii="Courier New"/>
          <w:sz w:val="15"/>
        </w:rPr>
        <w:t>19190)</w:t>
      </w:r>
      <w:r>
        <w:rPr>
          <w:rFonts w:ascii="Courier New"/>
          <w:spacing w:val="11"/>
          <w:sz w:val="15"/>
        </w:rPr>
        <w:t> </w:t>
      </w:r>
      <w:r>
        <w:rPr>
          <w:rFonts w:ascii="Courier New"/>
          <w:sz w:val="15"/>
        </w:rPr>
        <w:t>=</w:t>
        <w:tab/>
        <w:t>29.62</w:t>
        <w:tab/>
        <w:t>Prob</w:t>
      </w:r>
      <w:r>
        <w:rPr>
          <w:rFonts w:ascii="Courier New"/>
          <w:spacing w:val="9"/>
          <w:sz w:val="15"/>
        </w:rPr>
        <w:t> </w:t>
      </w:r>
      <w:r>
        <w:rPr>
          <w:rFonts w:ascii="Courier New"/>
          <w:sz w:val="15"/>
        </w:rPr>
        <w:t>&gt;</w:t>
      </w:r>
      <w:r>
        <w:rPr>
          <w:rFonts w:ascii="Courier New"/>
          <w:spacing w:val="9"/>
          <w:sz w:val="15"/>
        </w:rPr>
        <w:t> </w:t>
      </w:r>
      <w:r>
        <w:rPr>
          <w:rFonts w:ascii="Courier New"/>
          <w:sz w:val="15"/>
        </w:rPr>
        <w:t>F</w:t>
      </w:r>
      <w:r>
        <w:rPr>
          <w:rFonts w:ascii="Courier New"/>
          <w:spacing w:val="8"/>
          <w:sz w:val="15"/>
        </w:rPr>
        <w:t> </w:t>
      </w:r>
      <w:r>
        <w:rPr>
          <w:rFonts w:ascii="Courier New"/>
          <w:sz w:val="15"/>
        </w:rPr>
        <w:t>=</w:t>
      </w:r>
      <w:r>
        <w:rPr>
          <w:rFonts w:ascii="Courier New"/>
          <w:spacing w:val="9"/>
          <w:sz w:val="15"/>
        </w:rPr>
        <w:t> </w:t>
      </w:r>
      <w:r>
        <w:rPr>
          <w:rFonts w:ascii="Courier New"/>
          <w:sz w:val="15"/>
        </w:rPr>
        <w:t>0.0000</w:t>
      </w:r>
    </w:p>
    <w:p>
      <w:pPr>
        <w:spacing w:after="0"/>
        <w:jc w:val="left"/>
        <w:rPr>
          <w:rFonts w:ascii="Courier New"/>
          <w:sz w:val="15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2"/>
        <w:jc w:val="center"/>
      </w:pPr>
      <w:r>
        <w:rPr/>
        <w:t>TABLE</w:t>
      </w:r>
      <w:r>
        <w:rPr>
          <w:spacing w:val="-1"/>
        </w:rPr>
        <w:t> </w:t>
      </w:r>
      <w:r>
        <w:rPr/>
        <w:t>H4:</w:t>
      </w:r>
      <w:r>
        <w:rPr>
          <w:spacing w:val="-1"/>
        </w:rPr>
        <w:t> </w:t>
      </w:r>
      <w:r>
        <w:rPr/>
        <w:t>RANDOM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WAVE I</w:t>
      </w:r>
    </w:p>
    <w:p>
      <w:pPr>
        <w:tabs>
          <w:tab w:pos="1575" w:val="left" w:leader="none"/>
        </w:tabs>
        <w:spacing w:before="31"/>
        <w:ind w:left="160" w:right="0" w:firstLine="0"/>
        <w:jc w:val="left"/>
        <w:rPr>
          <w:rFonts w:ascii="Courier New"/>
          <w:sz w:val="14"/>
        </w:rPr>
      </w:pPr>
      <w:r>
        <w:rPr>
          <w:rFonts w:ascii="Courier New"/>
          <w:w w:val="105"/>
          <w:sz w:val="14"/>
        </w:rPr>
        <w:t>Iteration</w:t>
      </w:r>
      <w:r>
        <w:rPr>
          <w:rFonts w:ascii="Courier New"/>
          <w:spacing w:val="40"/>
          <w:w w:val="105"/>
          <w:sz w:val="14"/>
        </w:rPr>
        <w:t> </w:t>
      </w:r>
      <w:r>
        <w:rPr>
          <w:rFonts w:ascii="Courier New"/>
          <w:w w:val="105"/>
          <w:sz w:val="14"/>
        </w:rPr>
        <w:t>3:</w:t>
        <w:tab/>
        <w:t>log</w:t>
      </w:r>
      <w:r>
        <w:rPr>
          <w:rFonts w:ascii="Courier New"/>
          <w:spacing w:val="45"/>
          <w:w w:val="105"/>
          <w:sz w:val="14"/>
        </w:rPr>
        <w:t> </w:t>
      </w:r>
      <w:r>
        <w:rPr>
          <w:rFonts w:ascii="Courier New"/>
          <w:w w:val="105"/>
          <w:sz w:val="14"/>
        </w:rPr>
        <w:t>likelihood</w:t>
      </w:r>
      <w:r>
        <w:rPr>
          <w:rFonts w:ascii="Courier New"/>
          <w:spacing w:val="44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</w:r>
      <w:r>
        <w:rPr>
          <w:rFonts w:ascii="Courier New"/>
          <w:spacing w:val="47"/>
          <w:w w:val="105"/>
          <w:sz w:val="14"/>
        </w:rPr>
        <w:t> </w:t>
      </w:r>
      <w:r>
        <w:rPr>
          <w:rFonts w:ascii="Courier New"/>
          <w:w w:val="105"/>
          <w:sz w:val="14"/>
        </w:rPr>
        <w:t>-5591.8101</w:t>
      </w:r>
    </w:p>
    <w:p>
      <w:pPr>
        <w:pStyle w:val="BodyText"/>
        <w:spacing w:before="11"/>
        <w:rPr>
          <w:rFonts w:ascii="Courier New"/>
          <w:sz w:val="21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5"/>
        <w:gridCol w:w="2405"/>
        <w:gridCol w:w="283"/>
        <w:gridCol w:w="849"/>
      </w:tblGrid>
      <w:tr>
        <w:trPr>
          <w:trHeight w:val="181" w:hRule="atLeast"/>
        </w:trPr>
        <w:tc>
          <w:tcPr>
            <w:tcW w:w="3915" w:type="dxa"/>
          </w:tcPr>
          <w:p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Random-effects</w:t>
            </w:r>
            <w:r>
              <w:rPr>
                <w:spacing w:val="7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logistic</w:t>
            </w:r>
            <w:r>
              <w:rPr>
                <w:spacing w:val="7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regression</w:t>
            </w:r>
          </w:p>
        </w:tc>
        <w:tc>
          <w:tcPr>
            <w:tcW w:w="2405" w:type="dxa"/>
          </w:tcPr>
          <w:p>
            <w:pPr>
              <w:pStyle w:val="TableParagraph"/>
              <w:ind w:left="66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Number</w:t>
            </w:r>
            <w:r>
              <w:rPr>
                <w:spacing w:val="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of</w:t>
            </w:r>
            <w:r>
              <w:rPr>
                <w:spacing w:val="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obs</w:t>
            </w:r>
          </w:p>
        </w:tc>
        <w:tc>
          <w:tcPr>
            <w:tcW w:w="283" w:type="dxa"/>
          </w:tcPr>
          <w:p>
            <w:pPr>
              <w:pStyle w:val="TableParagraph"/>
              <w:ind w:right="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19261</w:t>
            </w:r>
          </w:p>
        </w:tc>
      </w:tr>
      <w:tr>
        <w:trPr>
          <w:trHeight w:val="305" w:hRule="atLeast"/>
        </w:trPr>
        <w:tc>
          <w:tcPr>
            <w:tcW w:w="3915" w:type="dxa"/>
          </w:tcPr>
          <w:p>
            <w:pPr>
              <w:pStyle w:val="TableParagraph"/>
              <w:spacing w:before="22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Group</w:t>
            </w:r>
            <w:r>
              <w:rPr>
                <w:spacing w:val="4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variable:</w:t>
            </w:r>
            <w:r>
              <w:rPr>
                <w:spacing w:val="4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state</w:t>
            </w:r>
          </w:p>
        </w:tc>
        <w:tc>
          <w:tcPr>
            <w:tcW w:w="2405" w:type="dxa"/>
          </w:tcPr>
          <w:p>
            <w:pPr>
              <w:pStyle w:val="TableParagraph"/>
              <w:spacing w:before="22"/>
              <w:ind w:left="66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Number</w:t>
            </w:r>
            <w:r>
              <w:rPr>
                <w:spacing w:val="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of</w:t>
            </w:r>
            <w:r>
              <w:rPr>
                <w:spacing w:val="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groups</w:t>
            </w:r>
          </w:p>
        </w:tc>
        <w:tc>
          <w:tcPr>
            <w:tcW w:w="283" w:type="dxa"/>
          </w:tcPr>
          <w:p>
            <w:pPr>
              <w:pStyle w:val="TableParagraph"/>
              <w:spacing w:before="22"/>
              <w:ind w:right="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before="22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37</w:t>
            </w:r>
          </w:p>
        </w:tc>
      </w:tr>
      <w:tr>
        <w:trPr>
          <w:trHeight w:val="305" w:hRule="atLeast"/>
        </w:trPr>
        <w:tc>
          <w:tcPr>
            <w:tcW w:w="3915" w:type="dxa"/>
          </w:tcPr>
          <w:p>
            <w:pPr>
              <w:pStyle w:val="TableParagraph"/>
              <w:spacing w:before="124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Random</w:t>
            </w:r>
            <w:r>
              <w:rPr>
                <w:spacing w:val="3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effects</w:t>
            </w:r>
            <w:r>
              <w:rPr>
                <w:spacing w:val="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u_i</w:t>
            </w:r>
            <w:r>
              <w:rPr>
                <w:spacing w:val="3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~</w:t>
            </w:r>
            <w:r>
              <w:rPr>
                <w:spacing w:val="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Gaussian</w:t>
            </w:r>
          </w:p>
        </w:tc>
        <w:tc>
          <w:tcPr>
            <w:tcW w:w="2405" w:type="dxa"/>
          </w:tcPr>
          <w:p>
            <w:pPr>
              <w:pStyle w:val="TableParagraph"/>
              <w:spacing w:before="124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Obs</w:t>
            </w:r>
            <w:r>
              <w:rPr>
                <w:spacing w:val="2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group:</w:t>
            </w:r>
            <w:r>
              <w:rPr>
                <w:spacing w:val="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min</w:t>
            </w:r>
          </w:p>
        </w:tc>
        <w:tc>
          <w:tcPr>
            <w:tcW w:w="283" w:type="dxa"/>
          </w:tcPr>
          <w:p>
            <w:pPr>
              <w:pStyle w:val="TableParagraph"/>
              <w:spacing w:before="124"/>
              <w:ind w:right="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before="124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179</w:t>
            </w:r>
          </w:p>
        </w:tc>
      </w:tr>
      <w:tr>
        <w:trPr>
          <w:trHeight w:val="203" w:hRule="atLeast"/>
        </w:trPr>
        <w:tc>
          <w:tcPr>
            <w:tcW w:w="39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spacing w:before="22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avg</w:t>
            </w:r>
          </w:p>
        </w:tc>
        <w:tc>
          <w:tcPr>
            <w:tcW w:w="283" w:type="dxa"/>
          </w:tcPr>
          <w:p>
            <w:pPr>
              <w:pStyle w:val="TableParagraph"/>
              <w:spacing w:before="22"/>
              <w:ind w:right="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before="22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520.6</w:t>
            </w:r>
          </w:p>
        </w:tc>
      </w:tr>
      <w:tr>
        <w:trPr>
          <w:trHeight w:val="305" w:hRule="atLeast"/>
        </w:trPr>
        <w:tc>
          <w:tcPr>
            <w:tcW w:w="39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spacing w:before="22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max</w:t>
            </w:r>
          </w:p>
        </w:tc>
        <w:tc>
          <w:tcPr>
            <w:tcW w:w="283" w:type="dxa"/>
          </w:tcPr>
          <w:p>
            <w:pPr>
              <w:pStyle w:val="TableParagraph"/>
              <w:spacing w:before="22"/>
              <w:ind w:right="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before="22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905</w:t>
            </w:r>
          </w:p>
        </w:tc>
      </w:tr>
      <w:tr>
        <w:trPr>
          <w:trHeight w:val="407" w:hRule="atLeast"/>
        </w:trPr>
        <w:tc>
          <w:tcPr>
            <w:tcW w:w="3915" w:type="dxa"/>
          </w:tcPr>
          <w:p>
            <w:pPr>
              <w:pStyle w:val="TableParagraph"/>
              <w:spacing w:before="124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Integration</w:t>
            </w:r>
            <w:r>
              <w:rPr>
                <w:spacing w:val="7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method:</w:t>
            </w:r>
            <w:r>
              <w:rPr>
                <w:spacing w:val="7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mvaghermite</w:t>
            </w:r>
          </w:p>
        </w:tc>
        <w:tc>
          <w:tcPr>
            <w:tcW w:w="2405" w:type="dxa"/>
          </w:tcPr>
          <w:p>
            <w:pPr>
              <w:pStyle w:val="TableParagraph"/>
              <w:spacing w:before="124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Integration</w:t>
            </w:r>
            <w:r>
              <w:rPr>
                <w:spacing w:val="7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points</w:t>
            </w:r>
          </w:p>
        </w:tc>
        <w:tc>
          <w:tcPr>
            <w:tcW w:w="283" w:type="dxa"/>
          </w:tcPr>
          <w:p>
            <w:pPr>
              <w:pStyle w:val="TableParagraph"/>
              <w:spacing w:before="124"/>
              <w:ind w:right="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before="124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</w:tr>
      <w:tr>
        <w:trPr>
          <w:trHeight w:val="305" w:hRule="atLeast"/>
        </w:trPr>
        <w:tc>
          <w:tcPr>
            <w:tcW w:w="39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spacing w:before="124"/>
              <w:ind w:left="66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Wald</w:t>
            </w:r>
            <w:r>
              <w:rPr>
                <w:spacing w:val="5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chi2(34)</w:t>
            </w:r>
          </w:p>
        </w:tc>
        <w:tc>
          <w:tcPr>
            <w:tcW w:w="283" w:type="dxa"/>
          </w:tcPr>
          <w:p>
            <w:pPr>
              <w:pStyle w:val="TableParagraph"/>
              <w:spacing w:before="124"/>
              <w:ind w:right="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before="124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3107.75</w:t>
            </w:r>
          </w:p>
        </w:tc>
      </w:tr>
      <w:tr>
        <w:trPr>
          <w:trHeight w:val="180" w:hRule="atLeast"/>
        </w:trPr>
        <w:tc>
          <w:tcPr>
            <w:tcW w:w="3915" w:type="dxa"/>
          </w:tcPr>
          <w:p>
            <w:pPr>
              <w:pStyle w:val="TableParagraph"/>
              <w:spacing w:line="139" w:lineRule="exact" w:before="22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Log</w:t>
            </w:r>
            <w:r>
              <w:rPr>
                <w:spacing w:val="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likelihood </w:t>
            </w:r>
            <w:r>
              <w:rPr>
                <w:spacing w:val="6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3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-5591.8101</w:t>
            </w:r>
          </w:p>
        </w:tc>
        <w:tc>
          <w:tcPr>
            <w:tcW w:w="2405" w:type="dxa"/>
          </w:tcPr>
          <w:p>
            <w:pPr>
              <w:pStyle w:val="TableParagraph"/>
              <w:spacing w:line="139" w:lineRule="exact" w:before="22"/>
              <w:ind w:left="66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Prob</w:t>
            </w:r>
            <w:r>
              <w:rPr>
                <w:spacing w:val="2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&gt;</w:t>
            </w:r>
            <w:r>
              <w:rPr>
                <w:spacing w:val="2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chi2</w:t>
            </w:r>
          </w:p>
        </w:tc>
        <w:tc>
          <w:tcPr>
            <w:tcW w:w="283" w:type="dxa"/>
          </w:tcPr>
          <w:p>
            <w:pPr>
              <w:pStyle w:val="TableParagraph"/>
              <w:spacing w:line="139" w:lineRule="exact" w:before="22"/>
              <w:ind w:right="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line="139" w:lineRule="exact" w:before="22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0.0000</w:t>
            </w:r>
          </w:p>
        </w:tc>
      </w:tr>
    </w:tbl>
    <w:p>
      <w:pPr>
        <w:pStyle w:val="BodyText"/>
        <w:spacing w:before="8"/>
        <w:rPr>
          <w:rFonts w:ascii="Courier New"/>
          <w:sz w:val="2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3"/>
        <w:gridCol w:w="1223"/>
        <w:gridCol w:w="1084"/>
        <w:gridCol w:w="801"/>
        <w:gridCol w:w="800"/>
        <w:gridCol w:w="1272"/>
        <w:gridCol w:w="891"/>
      </w:tblGrid>
      <w:tr>
        <w:trPr>
          <w:trHeight w:val="392" w:hRule="atLeast"/>
        </w:trPr>
        <w:tc>
          <w:tcPr>
            <w:tcW w:w="3153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4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illness</w:t>
            </w:r>
          </w:p>
        </w:tc>
        <w:tc>
          <w:tcPr>
            <w:tcW w:w="1223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4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Coef.</w:t>
            </w:r>
          </w:p>
        </w:tc>
        <w:tc>
          <w:tcPr>
            <w:tcW w:w="1084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4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Std.</w:t>
            </w:r>
            <w:r>
              <w:rPr>
                <w:spacing w:val="3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Err.</w:t>
            </w:r>
          </w:p>
        </w:tc>
        <w:tc>
          <w:tcPr>
            <w:tcW w:w="801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4"/>
              <w:ind w:left="48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z</w:t>
            </w:r>
          </w:p>
        </w:tc>
        <w:tc>
          <w:tcPr>
            <w:tcW w:w="800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4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P&gt;|z|</w:t>
            </w:r>
          </w:p>
        </w:tc>
        <w:tc>
          <w:tcPr>
            <w:tcW w:w="127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4"/>
              <w:ind w:left="29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[95%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Conf.</w:t>
            </w:r>
          </w:p>
        </w:tc>
        <w:tc>
          <w:tcPr>
            <w:tcW w:w="891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4"/>
              <w:ind w:left="62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Interval]</w:t>
            </w:r>
          </w:p>
        </w:tc>
      </w:tr>
      <w:tr>
        <w:trPr>
          <w:trHeight w:val="305" w:hRule="atLeast"/>
        </w:trPr>
        <w:tc>
          <w:tcPr>
            <w:tcW w:w="3153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4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familsize</w:t>
            </w:r>
          </w:p>
        </w:tc>
        <w:tc>
          <w:tcPr>
            <w:tcW w:w="1223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24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.1393099</w:t>
            </w:r>
          </w:p>
        </w:tc>
        <w:tc>
          <w:tcPr>
            <w:tcW w:w="1084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4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.0950682</w:t>
            </w:r>
          </w:p>
        </w:tc>
        <w:tc>
          <w:tcPr>
            <w:tcW w:w="801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4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1.47</w:t>
            </w:r>
          </w:p>
        </w:tc>
        <w:tc>
          <w:tcPr>
            <w:tcW w:w="800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4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0.143</w:t>
            </w:r>
          </w:p>
        </w:tc>
        <w:tc>
          <w:tcPr>
            <w:tcW w:w="1272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4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-.0470203</w:t>
            </w:r>
          </w:p>
        </w:tc>
        <w:tc>
          <w:tcPr>
            <w:tcW w:w="891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4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.3256401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hunger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.1742712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.1503501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1.16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0.246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-.1204096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250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.468952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gari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-.056319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.1146953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-0.49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0.623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-.2811177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.1684797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rice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-.7132575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.0578864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-12.32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-.8267126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62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-.5998023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yamorcassavaormaizeflour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-2.672077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.0580206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-46.05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-2.785795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62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-2.558359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beans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-.4773783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.0986407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-4.84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-.6707105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62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-.2840462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meatorfish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-.000322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.0010232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-0.31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0.753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-.0023274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.0016834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mosquitonetpossession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-.1025168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.1175302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-0.87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0.383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-.3328718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.1278382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primaryeducation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-.2556653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.3476776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-0.74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0.462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-.9371008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.4257702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secondaryeducation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-.0011937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.0024502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-0.49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0.626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-.0059959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.0036085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higherdegree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-.009174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.0362507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-0.25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0.800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-.0802242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.0618761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nobasiceducation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.2813889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.0788579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3.57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9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.1268303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.4359475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hadelectricity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-.4065453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.1880129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-2.16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0.031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-.7750438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62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-.0380468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noelectricity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.0057231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.0109369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0.52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0.601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-.0157128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250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.027159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pipebornewater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-.4787383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.1147264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-4.17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9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-.703598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62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-.2538786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borehole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-.0280949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.0518954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-0.54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0.588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9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-.129808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.0736183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riverandspring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.3360268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24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.104535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3.21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0.001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9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.1311419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.5409116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noaccesstowater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.2158836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.0716956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3.01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0.003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9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.0753628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.3564044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waterormodernlatrine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-.1413493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24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.059164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-2.39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0.017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-.2573087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62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-.0253899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pitorlatrine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.2673892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.1385557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1.93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0.054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-.0041749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.5389534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notoiletfacility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.525574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.1158141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4.54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9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.2985824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.7525655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alcoholicdrinks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.0451936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.0601136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0.75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0.452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-.0726269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250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.163014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selfmedication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.1567812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.0650185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2.41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0.016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9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.0293473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.2842151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seekingmedicalcare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-.015603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.0740982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-0.21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0.833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-.1608329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.1296268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otherhealthcare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.0048863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.0158083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0.31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0.757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-.0260974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.0358701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wagesandsalaries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-.2643271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.0735536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-3.59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-.4084895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62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-.1201648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entreprisesandbusiness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-.1798373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.0782041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-2.30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0.021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-.3331146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250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-.02656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farmingcropandlivestock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-.2940135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.2938722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-1.00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0.317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-.8699924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.2819653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monetaryass1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-.076477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.0985698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-0.78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0.438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-.2696702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.1167162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remittances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.2417201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.2194711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1.10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0.271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-.1884353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.6718755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pensionsandgrants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-.0516737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.3226271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-0.16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0.873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-.6840112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.5806637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dividendandinterestfrominvestmen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.164237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.2224582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0.74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0.460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-.2717731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250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.600247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incomesfromlandandpropertiesowne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-.1612274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24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.137243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-1.17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0.240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-.4302187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.1077639</w:t>
            </w:r>
          </w:p>
        </w:tc>
      </w:tr>
      <w:tr>
        <w:trPr>
          <w:trHeight w:val="203" w:hRule="atLeast"/>
        </w:trPr>
        <w:tc>
          <w:tcPr>
            <w:tcW w:w="315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ginicoefficient</w:t>
            </w:r>
          </w:p>
        </w:tc>
        <w:tc>
          <w:tcPr>
            <w:tcW w:w="1223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.0271318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.0073265</w:t>
            </w:r>
          </w:p>
        </w:tc>
        <w:tc>
          <w:tcPr>
            <w:tcW w:w="801" w:type="dxa"/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3.70</w:t>
            </w:r>
          </w:p>
        </w:tc>
        <w:tc>
          <w:tcPr>
            <w:tcW w:w="800" w:type="dxa"/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"/>
              <w:ind w:left="29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.0127722</w:t>
            </w:r>
          </w:p>
        </w:tc>
        <w:tc>
          <w:tcPr>
            <w:tcW w:w="891" w:type="dxa"/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.0414914</w:t>
            </w:r>
          </w:p>
        </w:tc>
      </w:tr>
      <w:tr>
        <w:trPr>
          <w:trHeight w:val="290" w:hRule="atLeast"/>
        </w:trPr>
        <w:tc>
          <w:tcPr>
            <w:tcW w:w="3153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_cons</w:t>
            </w:r>
          </w:p>
        </w:tc>
        <w:tc>
          <w:tcPr>
            <w:tcW w:w="1223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4.180054</w:t>
            </w:r>
          </w:p>
        </w:tc>
        <w:tc>
          <w:tcPr>
            <w:tcW w:w="1084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.7698955</w:t>
            </w:r>
          </w:p>
        </w:tc>
        <w:tc>
          <w:tcPr>
            <w:tcW w:w="801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4"/>
              </w:rPr>
            </w:pPr>
            <w:r>
              <w:rPr>
                <w:w w:val="105"/>
                <w:sz w:val="14"/>
              </w:rPr>
              <w:t>5.43</w:t>
            </w:r>
          </w:p>
        </w:tc>
        <w:tc>
          <w:tcPr>
            <w:tcW w:w="800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left="146" w:right="17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left="29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2.671087</w:t>
            </w:r>
          </w:p>
        </w:tc>
        <w:tc>
          <w:tcPr>
            <w:tcW w:w="891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5.689022</w:t>
            </w:r>
          </w:p>
        </w:tc>
      </w:tr>
      <w:tr>
        <w:trPr>
          <w:trHeight w:val="392" w:hRule="atLeast"/>
        </w:trPr>
        <w:tc>
          <w:tcPr>
            <w:tcW w:w="3153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4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/lnsig2u</w:t>
            </w:r>
          </w:p>
        </w:tc>
        <w:tc>
          <w:tcPr>
            <w:tcW w:w="1223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4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-.3749596</w:t>
            </w:r>
          </w:p>
        </w:tc>
        <w:tc>
          <w:tcPr>
            <w:tcW w:w="1084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4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.2465023</w:t>
            </w:r>
          </w:p>
        </w:tc>
        <w:tc>
          <w:tcPr>
            <w:tcW w:w="801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4"/>
              <w:ind w:left="20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-.8580951</w:t>
            </w:r>
          </w:p>
        </w:tc>
        <w:tc>
          <w:tcPr>
            <w:tcW w:w="891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4"/>
              <w:ind w:left="250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.108176</w:t>
            </w:r>
          </w:p>
        </w:tc>
      </w:tr>
      <w:tr>
        <w:trPr>
          <w:trHeight w:val="305" w:hRule="atLeast"/>
        </w:trPr>
        <w:tc>
          <w:tcPr>
            <w:tcW w:w="3153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4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sigma_u</w:t>
            </w:r>
          </w:p>
        </w:tc>
        <w:tc>
          <w:tcPr>
            <w:tcW w:w="1223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24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.8290459</w:t>
            </w:r>
          </w:p>
        </w:tc>
        <w:tc>
          <w:tcPr>
            <w:tcW w:w="1084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4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.1021808</w:t>
            </w:r>
          </w:p>
        </w:tc>
        <w:tc>
          <w:tcPr>
            <w:tcW w:w="801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4"/>
              <w:ind w:left="39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.651129</w:t>
            </w:r>
          </w:p>
        </w:tc>
        <w:tc>
          <w:tcPr>
            <w:tcW w:w="891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4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1.055577</w:t>
            </w:r>
          </w:p>
        </w:tc>
      </w:tr>
      <w:tr>
        <w:trPr>
          <w:trHeight w:val="290" w:hRule="atLeast"/>
        </w:trPr>
        <w:tc>
          <w:tcPr>
            <w:tcW w:w="3153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rho</w:t>
            </w:r>
          </w:p>
        </w:tc>
        <w:tc>
          <w:tcPr>
            <w:tcW w:w="1223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right="134"/>
              <w:rPr>
                <w:sz w:val="14"/>
              </w:rPr>
            </w:pPr>
            <w:r>
              <w:rPr>
                <w:w w:val="105"/>
                <w:sz w:val="14"/>
              </w:rPr>
              <w:t>.172815</w:t>
            </w:r>
          </w:p>
        </w:tc>
        <w:tc>
          <w:tcPr>
            <w:tcW w:w="1084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left="1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.0352375</w:t>
            </w:r>
          </w:p>
        </w:tc>
        <w:tc>
          <w:tcPr>
            <w:tcW w:w="801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left="29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.1141593</w:t>
            </w:r>
          </w:p>
        </w:tc>
        <w:tc>
          <w:tcPr>
            <w:tcW w:w="891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left="156" w:right="-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.2530008</w:t>
            </w:r>
          </w:p>
        </w:tc>
      </w:tr>
    </w:tbl>
    <w:p>
      <w:pPr>
        <w:tabs>
          <w:tab w:pos="4688" w:val="left" w:leader="none"/>
        </w:tabs>
        <w:spacing w:before="125"/>
        <w:ind w:left="160" w:right="0" w:firstLine="0"/>
        <w:jc w:val="left"/>
        <w:rPr>
          <w:rFonts w:ascii="Courier New"/>
          <w:sz w:val="14"/>
        </w:rPr>
      </w:pPr>
      <w:r>
        <w:rPr>
          <w:rFonts w:ascii="Courier New"/>
          <w:w w:val="105"/>
          <w:sz w:val="14"/>
        </w:rPr>
        <w:t>Likelihood-ratio</w:t>
      </w:r>
      <w:r>
        <w:rPr>
          <w:rFonts w:ascii="Courier New"/>
          <w:spacing w:val="46"/>
          <w:w w:val="105"/>
          <w:sz w:val="14"/>
        </w:rPr>
        <w:t> </w:t>
      </w:r>
      <w:r>
        <w:rPr>
          <w:rFonts w:ascii="Courier New"/>
          <w:w w:val="105"/>
          <w:sz w:val="14"/>
        </w:rPr>
        <w:t>test</w:t>
      </w:r>
      <w:r>
        <w:rPr>
          <w:rFonts w:ascii="Courier New"/>
          <w:spacing w:val="45"/>
          <w:w w:val="105"/>
          <w:sz w:val="14"/>
        </w:rPr>
        <w:t> </w:t>
      </w:r>
      <w:r>
        <w:rPr>
          <w:rFonts w:ascii="Courier New"/>
          <w:w w:val="105"/>
          <w:sz w:val="14"/>
        </w:rPr>
        <w:t>of</w:t>
      </w:r>
      <w:r>
        <w:rPr>
          <w:rFonts w:ascii="Courier New"/>
          <w:spacing w:val="46"/>
          <w:w w:val="105"/>
          <w:sz w:val="14"/>
        </w:rPr>
        <w:t> </w:t>
      </w:r>
      <w:r>
        <w:rPr>
          <w:rFonts w:ascii="Courier New"/>
          <w:w w:val="105"/>
          <w:sz w:val="14"/>
        </w:rPr>
        <w:t>rho=0:</w:t>
      </w:r>
      <w:r>
        <w:rPr>
          <w:rFonts w:ascii="Courier New"/>
          <w:spacing w:val="46"/>
          <w:w w:val="105"/>
          <w:sz w:val="14"/>
        </w:rPr>
        <w:t> </w:t>
      </w:r>
      <w:r>
        <w:rPr>
          <w:rFonts w:ascii="Courier New"/>
          <w:w w:val="105"/>
          <w:sz w:val="14"/>
        </w:rPr>
        <w:t>chibar2(01)</w:t>
      </w:r>
      <w:r>
        <w:rPr>
          <w:rFonts w:ascii="Courier New"/>
          <w:spacing w:val="45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  <w:tab/>
        <w:t>814.15</w:t>
      </w:r>
      <w:r>
        <w:rPr>
          <w:rFonts w:ascii="Courier New"/>
          <w:spacing w:val="32"/>
          <w:w w:val="105"/>
          <w:sz w:val="14"/>
        </w:rPr>
        <w:t> </w:t>
      </w:r>
      <w:r>
        <w:rPr>
          <w:rFonts w:ascii="Courier New"/>
          <w:w w:val="105"/>
          <w:sz w:val="14"/>
        </w:rPr>
        <w:t>Prob</w:t>
      </w:r>
      <w:r>
        <w:rPr>
          <w:rFonts w:ascii="Courier New"/>
          <w:spacing w:val="32"/>
          <w:w w:val="105"/>
          <w:sz w:val="14"/>
        </w:rPr>
        <w:t> </w:t>
      </w:r>
      <w:r>
        <w:rPr>
          <w:rFonts w:ascii="Courier New"/>
          <w:w w:val="105"/>
          <w:sz w:val="14"/>
        </w:rPr>
        <w:t>&gt;=</w:t>
      </w:r>
      <w:r>
        <w:rPr>
          <w:rFonts w:ascii="Courier New"/>
          <w:spacing w:val="31"/>
          <w:w w:val="105"/>
          <w:sz w:val="14"/>
        </w:rPr>
        <w:t> </w:t>
      </w:r>
      <w:r>
        <w:rPr>
          <w:rFonts w:ascii="Courier New"/>
          <w:w w:val="105"/>
          <w:sz w:val="14"/>
        </w:rPr>
        <w:t>chibar2</w:t>
      </w:r>
      <w:r>
        <w:rPr>
          <w:rFonts w:ascii="Courier New"/>
          <w:spacing w:val="32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</w:r>
      <w:r>
        <w:rPr>
          <w:rFonts w:ascii="Courier New"/>
          <w:spacing w:val="31"/>
          <w:w w:val="105"/>
          <w:sz w:val="14"/>
        </w:rPr>
        <w:t> </w:t>
      </w:r>
      <w:r>
        <w:rPr>
          <w:rFonts w:ascii="Courier New"/>
          <w:w w:val="105"/>
          <w:sz w:val="14"/>
        </w:rPr>
        <w:t>0.000</w:t>
      </w:r>
    </w:p>
    <w:p>
      <w:pPr>
        <w:spacing w:after="0"/>
        <w:jc w:val="left"/>
        <w:rPr>
          <w:rFonts w:ascii="Courier New"/>
          <w:sz w:val="14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8"/>
        <w:jc w:val="center"/>
      </w:pPr>
      <w:r>
        <w:rPr/>
        <w:t>TABLE</w:t>
      </w:r>
      <w:r>
        <w:rPr>
          <w:spacing w:val="-2"/>
        </w:rPr>
        <w:t> </w:t>
      </w:r>
      <w:r>
        <w:rPr/>
        <w:t>H5:</w:t>
      </w:r>
      <w:r>
        <w:rPr>
          <w:spacing w:val="-1"/>
        </w:rPr>
        <w:t> </w:t>
      </w:r>
      <w:r>
        <w:rPr/>
        <w:t>HOMOGENEITY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WAVE I</w:t>
      </w:r>
      <w:r>
        <w:rPr>
          <w:spacing w:val="-6"/>
        </w:rPr>
        <w:t> </w:t>
      </w:r>
      <w:r>
        <w:rPr/>
        <w:t>DATA</w:t>
      </w:r>
    </w:p>
    <w:p>
      <w:pPr>
        <w:pStyle w:val="BodyText"/>
        <w:spacing w:before="10"/>
        <w:rPr>
          <w:sz w:val="13"/>
        </w:rPr>
      </w:pPr>
    </w:p>
    <w:p>
      <w:pPr>
        <w:spacing w:before="104"/>
        <w:ind w:left="169" w:right="0" w:firstLine="0"/>
        <w:jc w:val="left"/>
        <w:rPr>
          <w:rFonts w:ascii="Courier New"/>
          <w:sz w:val="15"/>
        </w:rPr>
      </w:pPr>
      <w:r>
        <w:rPr>
          <w:rFonts w:ascii="Courier New"/>
          <w:w w:val="120"/>
          <w:sz w:val="15"/>
        </w:rPr>
        <w:t>Breusch</w:t>
      </w:r>
      <w:r>
        <w:rPr>
          <w:rFonts w:ascii="Courier New"/>
          <w:spacing w:val="50"/>
          <w:w w:val="120"/>
          <w:sz w:val="15"/>
        </w:rPr>
        <w:t> </w:t>
      </w:r>
      <w:r>
        <w:rPr>
          <w:rFonts w:ascii="Courier New"/>
          <w:w w:val="120"/>
          <w:sz w:val="15"/>
        </w:rPr>
        <w:t>and</w:t>
      </w:r>
      <w:r>
        <w:rPr>
          <w:rFonts w:ascii="Courier New"/>
          <w:spacing w:val="51"/>
          <w:w w:val="120"/>
          <w:sz w:val="15"/>
        </w:rPr>
        <w:t> </w:t>
      </w:r>
      <w:r>
        <w:rPr>
          <w:rFonts w:ascii="Courier New"/>
          <w:w w:val="120"/>
          <w:sz w:val="15"/>
        </w:rPr>
        <w:t>Pagan</w:t>
      </w:r>
      <w:r>
        <w:rPr>
          <w:rFonts w:ascii="Courier New"/>
          <w:spacing w:val="51"/>
          <w:w w:val="120"/>
          <w:sz w:val="15"/>
        </w:rPr>
        <w:t> </w:t>
      </w:r>
      <w:r>
        <w:rPr>
          <w:rFonts w:ascii="Courier New"/>
          <w:w w:val="120"/>
          <w:sz w:val="15"/>
        </w:rPr>
        <w:t>Lagrangian</w:t>
      </w:r>
      <w:r>
        <w:rPr>
          <w:rFonts w:ascii="Courier New"/>
          <w:spacing w:val="51"/>
          <w:w w:val="120"/>
          <w:sz w:val="15"/>
        </w:rPr>
        <w:t> </w:t>
      </w:r>
      <w:r>
        <w:rPr>
          <w:rFonts w:ascii="Courier New"/>
          <w:w w:val="120"/>
          <w:sz w:val="15"/>
        </w:rPr>
        <w:t>multiplier</w:t>
      </w:r>
      <w:r>
        <w:rPr>
          <w:rFonts w:ascii="Courier New"/>
          <w:spacing w:val="50"/>
          <w:w w:val="120"/>
          <w:sz w:val="15"/>
        </w:rPr>
        <w:t> </w:t>
      </w:r>
      <w:r>
        <w:rPr>
          <w:rFonts w:ascii="Courier New"/>
          <w:w w:val="120"/>
          <w:sz w:val="15"/>
        </w:rPr>
        <w:t>test</w:t>
      </w:r>
      <w:r>
        <w:rPr>
          <w:rFonts w:ascii="Courier New"/>
          <w:spacing w:val="51"/>
          <w:w w:val="120"/>
          <w:sz w:val="15"/>
        </w:rPr>
        <w:t> </w:t>
      </w:r>
      <w:r>
        <w:rPr>
          <w:rFonts w:ascii="Courier New"/>
          <w:w w:val="120"/>
          <w:sz w:val="15"/>
        </w:rPr>
        <w:t>for</w:t>
      </w:r>
      <w:r>
        <w:rPr>
          <w:rFonts w:ascii="Courier New"/>
          <w:spacing w:val="51"/>
          <w:w w:val="120"/>
          <w:sz w:val="15"/>
        </w:rPr>
        <w:t> </w:t>
      </w:r>
      <w:r>
        <w:rPr>
          <w:rFonts w:ascii="Courier New"/>
          <w:w w:val="120"/>
          <w:sz w:val="15"/>
        </w:rPr>
        <w:t>random</w:t>
      </w:r>
      <w:r>
        <w:rPr>
          <w:rFonts w:ascii="Courier New"/>
          <w:spacing w:val="49"/>
          <w:w w:val="120"/>
          <w:sz w:val="15"/>
        </w:rPr>
        <w:t> </w:t>
      </w:r>
      <w:r>
        <w:rPr>
          <w:rFonts w:ascii="Courier New"/>
          <w:w w:val="120"/>
          <w:sz w:val="15"/>
        </w:rPr>
        <w:t>effects</w:t>
      </w:r>
    </w:p>
    <w:p>
      <w:pPr>
        <w:pStyle w:val="BodyText"/>
        <w:spacing w:before="7"/>
        <w:rPr>
          <w:rFonts w:ascii="Courier New"/>
          <w:sz w:val="15"/>
        </w:rPr>
      </w:pPr>
    </w:p>
    <w:p>
      <w:pPr>
        <w:spacing w:before="104"/>
        <w:ind w:left="1089" w:right="0" w:firstLine="0"/>
        <w:jc w:val="left"/>
        <w:rPr>
          <w:rFonts w:ascii="Courier New"/>
          <w:sz w:val="15"/>
        </w:rPr>
      </w:pPr>
      <w:r>
        <w:rPr>
          <w:rFonts w:ascii="Courier New"/>
          <w:w w:val="120"/>
          <w:sz w:val="15"/>
        </w:rPr>
        <w:t>illness[state,t]</w:t>
      </w:r>
      <w:r>
        <w:rPr>
          <w:rFonts w:ascii="Courier New"/>
          <w:spacing w:val="46"/>
          <w:w w:val="120"/>
          <w:sz w:val="15"/>
        </w:rPr>
        <w:t> </w:t>
      </w:r>
      <w:r>
        <w:rPr>
          <w:rFonts w:ascii="Courier New"/>
          <w:w w:val="120"/>
          <w:sz w:val="15"/>
        </w:rPr>
        <w:t>=</w:t>
      </w:r>
      <w:r>
        <w:rPr>
          <w:rFonts w:ascii="Courier New"/>
          <w:spacing w:val="47"/>
          <w:w w:val="120"/>
          <w:sz w:val="15"/>
        </w:rPr>
        <w:t> </w:t>
      </w:r>
      <w:r>
        <w:rPr>
          <w:rFonts w:ascii="Courier New"/>
          <w:w w:val="120"/>
          <w:sz w:val="15"/>
        </w:rPr>
        <w:t>Xb</w:t>
      </w:r>
      <w:r>
        <w:rPr>
          <w:rFonts w:ascii="Courier New"/>
          <w:spacing w:val="47"/>
          <w:w w:val="120"/>
          <w:sz w:val="15"/>
        </w:rPr>
        <w:t> </w:t>
      </w:r>
      <w:r>
        <w:rPr>
          <w:rFonts w:ascii="Courier New"/>
          <w:w w:val="120"/>
          <w:sz w:val="15"/>
        </w:rPr>
        <w:t>+</w:t>
      </w:r>
      <w:r>
        <w:rPr>
          <w:rFonts w:ascii="Courier New"/>
          <w:spacing w:val="47"/>
          <w:w w:val="120"/>
          <w:sz w:val="15"/>
        </w:rPr>
        <w:t> </w:t>
      </w:r>
      <w:r>
        <w:rPr>
          <w:rFonts w:ascii="Courier New"/>
          <w:w w:val="120"/>
          <w:sz w:val="15"/>
        </w:rPr>
        <w:t>u[state]</w:t>
      </w:r>
      <w:r>
        <w:rPr>
          <w:rFonts w:ascii="Courier New"/>
          <w:spacing w:val="48"/>
          <w:w w:val="120"/>
          <w:sz w:val="15"/>
        </w:rPr>
        <w:t> </w:t>
      </w:r>
      <w:r>
        <w:rPr>
          <w:rFonts w:ascii="Courier New"/>
          <w:w w:val="120"/>
          <w:sz w:val="15"/>
        </w:rPr>
        <w:t>+</w:t>
      </w:r>
      <w:r>
        <w:rPr>
          <w:rFonts w:ascii="Courier New"/>
          <w:spacing w:val="48"/>
          <w:w w:val="120"/>
          <w:sz w:val="15"/>
        </w:rPr>
        <w:t> </w:t>
      </w:r>
      <w:r>
        <w:rPr>
          <w:rFonts w:ascii="Courier New"/>
          <w:w w:val="120"/>
          <w:sz w:val="15"/>
        </w:rPr>
        <w:t>e[state,t]</w:t>
      </w:r>
    </w:p>
    <w:p>
      <w:pPr>
        <w:pStyle w:val="BodyText"/>
        <w:spacing w:before="6"/>
        <w:rPr>
          <w:rFonts w:ascii="Courier New"/>
          <w:sz w:val="15"/>
        </w:rPr>
      </w:pPr>
    </w:p>
    <w:p>
      <w:pPr>
        <w:spacing w:before="105"/>
        <w:ind w:left="197" w:right="5870" w:firstLine="0"/>
        <w:jc w:val="center"/>
        <w:rPr>
          <w:rFonts w:ascii="Courier New"/>
          <w:sz w:val="15"/>
        </w:rPr>
      </w:pPr>
      <w:r>
        <w:rPr>
          <w:rFonts w:ascii="Courier New"/>
          <w:w w:val="120"/>
          <w:sz w:val="15"/>
        </w:rPr>
        <w:t>Estimated</w:t>
      </w:r>
      <w:r>
        <w:rPr>
          <w:rFonts w:ascii="Courier New"/>
          <w:spacing w:val="85"/>
          <w:w w:val="120"/>
          <w:sz w:val="15"/>
        </w:rPr>
        <w:t> </w:t>
      </w:r>
      <w:r>
        <w:rPr>
          <w:rFonts w:ascii="Courier New"/>
          <w:w w:val="120"/>
          <w:sz w:val="15"/>
        </w:rPr>
        <w:t>results:</w:t>
      </w:r>
    </w:p>
    <w:p>
      <w:pPr>
        <w:tabs>
          <w:tab w:pos="1458" w:val="left" w:leader="none"/>
        </w:tabs>
        <w:spacing w:before="55"/>
        <w:ind w:left="537" w:right="0" w:firstLine="0"/>
        <w:jc w:val="center"/>
        <w:rPr>
          <w:rFonts w:ascii="Courier New"/>
          <w:sz w:val="15"/>
        </w:rPr>
      </w:pPr>
      <w:r>
        <w:rPr/>
        <w:pict>
          <v:group style="position:absolute;margin-left:166.904785pt;margin-top:1.596798pt;width:193.7pt;height:55.65pt;mso-position-horizontal-relative:page;mso-position-vertical-relative:paragraph;z-index:-43047424" coordorigin="3338,32" coordsize="3874,1113">
            <v:shape style="position:absolute;left:4414;top:482;width:17;height:663" coordorigin="4415,483" coordsize="17,663" path="m4431,933l4415,933,4415,1145,4431,1145,4431,933xm4431,708l4415,708,4415,919,4431,919,4431,708xm4431,483l4415,483,4415,694,4431,694,4431,483xe" filled="true" fillcolor="#000000" stroked="false">
              <v:path arrowok="t"/>
              <v:fill type="solid"/>
            </v:shape>
            <v:line style="position:absolute" from="3338,356" to="4473,356" stroked="true" strokeweight=".707449pt" strokecolor="#000000">
              <v:stroke dashstyle="shortdash"/>
            </v:line>
            <v:shape style="position:absolute;left:4414;top:257;width:173;height:212" coordorigin="4415,257" coordsize="173,212" path="m4431,257l4415,257,4415,469,4431,469,4431,257xm4588,349l4489,349,4489,363,4588,363,4588,349xe" filled="true" fillcolor="#000000" stroked="false">
              <v:path arrowok="t"/>
              <v:fill type="solid"/>
            </v:shape>
            <v:line style="position:absolute" from="4604,356" to="7119,356" stroked="true" strokeweight=".707449pt" strokecolor="#000000">
              <v:stroke dashstyle="shortdash"/>
            </v:line>
            <v:shape style="position:absolute;left:4414;top:31;width:2797;height:331" coordorigin="4415,32" coordsize="2797,331" path="m4431,32l4415,32,4415,243,4431,243,4431,32xm7211,349l7135,349,7135,363,7169,363,7211,34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ourier New"/>
          <w:w w:val="120"/>
          <w:sz w:val="15"/>
        </w:rPr>
        <w:t>Var</w:t>
        <w:tab/>
        <w:t>sd</w:t>
      </w:r>
      <w:r>
        <w:rPr>
          <w:rFonts w:ascii="Courier New"/>
          <w:spacing w:val="37"/>
          <w:w w:val="120"/>
          <w:sz w:val="15"/>
        </w:rPr>
        <w:t> </w:t>
      </w:r>
      <w:r>
        <w:rPr>
          <w:rFonts w:ascii="Courier New"/>
          <w:w w:val="120"/>
          <w:sz w:val="15"/>
        </w:rPr>
        <w:t>=</w:t>
      </w:r>
      <w:r>
        <w:rPr>
          <w:rFonts w:ascii="Courier New"/>
          <w:spacing w:val="40"/>
          <w:w w:val="120"/>
          <w:sz w:val="15"/>
        </w:rPr>
        <w:t> </w:t>
      </w:r>
      <w:r>
        <w:rPr>
          <w:rFonts w:ascii="Courier New"/>
          <w:w w:val="120"/>
          <w:sz w:val="15"/>
        </w:rPr>
        <w:t>sqrt(Var)</w:t>
      </w:r>
    </w:p>
    <w:p>
      <w:pPr>
        <w:pStyle w:val="BodyText"/>
        <w:spacing w:before="7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pgSz w:w="12240" w:h="15840"/>
          <w:pgMar w:header="0" w:footer="935" w:top="1360" w:bottom="1200" w:left="1320" w:right="1000"/>
        </w:sectPr>
      </w:pPr>
    </w:p>
    <w:p>
      <w:pPr>
        <w:spacing w:before="104"/>
        <w:ind w:left="0" w:right="0" w:firstLine="0"/>
        <w:jc w:val="right"/>
        <w:rPr>
          <w:rFonts w:ascii="Courier New"/>
          <w:sz w:val="15"/>
        </w:rPr>
      </w:pPr>
      <w:r>
        <w:rPr>
          <w:rFonts w:ascii="Courier New"/>
          <w:w w:val="120"/>
          <w:sz w:val="15"/>
        </w:rPr>
        <w:t>illness</w:t>
      </w:r>
    </w:p>
    <w:p>
      <w:pPr>
        <w:spacing w:line="319" w:lineRule="auto" w:before="56"/>
        <w:ind w:left="2728" w:right="0" w:firstLine="0"/>
        <w:jc w:val="right"/>
        <w:rPr>
          <w:rFonts w:ascii="Courier New"/>
          <w:sz w:val="15"/>
        </w:rPr>
      </w:pPr>
      <w:r>
        <w:rPr>
          <w:rFonts w:ascii="Courier New"/>
          <w:w w:val="120"/>
          <w:sz w:val="15"/>
        </w:rPr>
        <w:t>e</w:t>
      </w:r>
      <w:r>
        <w:rPr>
          <w:rFonts w:ascii="Courier New"/>
          <w:w w:val="120"/>
          <w:sz w:val="15"/>
        </w:rPr>
        <w:t> </w:t>
      </w:r>
      <w:r>
        <w:rPr>
          <w:rFonts w:ascii="Courier New"/>
          <w:w w:val="120"/>
          <w:sz w:val="15"/>
        </w:rPr>
        <w:t>u</w:t>
      </w:r>
    </w:p>
    <w:p>
      <w:pPr>
        <w:spacing w:before="104"/>
        <w:ind w:left="0" w:right="5497" w:firstLine="0"/>
        <w:jc w:val="right"/>
        <w:rPr>
          <w:rFonts w:ascii="Courier New"/>
          <w:sz w:val="15"/>
        </w:rPr>
      </w:pPr>
      <w:r>
        <w:rPr/>
        <w:br w:type="column"/>
      </w:r>
      <w:r>
        <w:rPr>
          <w:rFonts w:ascii="Courier New"/>
          <w:w w:val="120"/>
          <w:sz w:val="15"/>
        </w:rPr>
        <w:t>.125787</w:t>
      </w:r>
    </w:p>
    <w:p>
      <w:pPr>
        <w:spacing w:before="56"/>
        <w:ind w:left="0" w:right="5497" w:firstLine="0"/>
        <w:jc w:val="right"/>
        <w:rPr>
          <w:rFonts w:ascii="Courier New"/>
          <w:sz w:val="15"/>
        </w:rPr>
      </w:pPr>
      <w:r>
        <w:rPr>
          <w:rFonts w:ascii="Courier New"/>
          <w:w w:val="120"/>
          <w:sz w:val="15"/>
        </w:rPr>
        <w:t>.0882267</w:t>
      </w:r>
    </w:p>
    <w:p>
      <w:pPr>
        <w:spacing w:before="55"/>
        <w:ind w:left="541" w:right="0" w:firstLine="0"/>
        <w:jc w:val="left"/>
        <w:rPr>
          <w:rFonts w:ascii="Courier New"/>
          <w:sz w:val="15"/>
        </w:rPr>
      </w:pPr>
      <w:r>
        <w:rPr>
          <w:rFonts w:ascii="Courier New"/>
          <w:w w:val="120"/>
          <w:sz w:val="15"/>
        </w:rPr>
        <w:t>.00</w:t>
      </w:r>
    </w:p>
    <w:p>
      <w:pPr>
        <w:spacing w:after="0"/>
        <w:jc w:val="left"/>
        <w:rPr>
          <w:rFonts w:ascii="Courier New"/>
          <w:sz w:val="15"/>
        </w:rPr>
        <w:sectPr>
          <w:type w:val="continuous"/>
          <w:pgSz w:w="12240" w:h="15840"/>
          <w:pgMar w:top="1380" w:bottom="280" w:left="1320" w:right="1000"/>
          <w:cols w:num="2" w:equalWidth="0">
            <w:col w:w="2925" w:space="40"/>
            <w:col w:w="6955"/>
          </w:cols>
        </w:sectPr>
      </w:pPr>
    </w:p>
    <w:p>
      <w:pPr>
        <w:pStyle w:val="BodyText"/>
        <w:spacing w:before="6"/>
        <w:rPr>
          <w:rFonts w:ascii="Courier New"/>
          <w:sz w:val="10"/>
        </w:rPr>
      </w:pPr>
    </w:p>
    <w:p>
      <w:pPr>
        <w:tabs>
          <w:tab w:pos="2009" w:val="left" w:leader="none"/>
        </w:tabs>
        <w:spacing w:before="105"/>
        <w:ind w:left="1089" w:right="0" w:firstLine="0"/>
        <w:jc w:val="left"/>
        <w:rPr>
          <w:rFonts w:ascii="Courier New"/>
          <w:sz w:val="15"/>
        </w:rPr>
      </w:pPr>
      <w:r>
        <w:rPr>
          <w:rFonts w:ascii="Courier New"/>
          <w:w w:val="120"/>
          <w:sz w:val="15"/>
        </w:rPr>
        <w:t>Test:</w:t>
        <w:tab/>
        <w:t>Var(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17"/>
        </w:rPr>
      </w:pPr>
    </w:p>
    <w:p>
      <w:pPr>
        <w:pStyle w:val="BodyText"/>
        <w:spacing w:before="90"/>
        <w:ind w:left="238" w:right="562"/>
        <w:jc w:val="center"/>
      </w:pPr>
      <w:r>
        <w:rPr/>
        <w:t>TABLE</w:t>
      </w:r>
      <w:r>
        <w:rPr>
          <w:spacing w:val="-2"/>
        </w:rPr>
        <w:t> </w:t>
      </w:r>
      <w:r>
        <w:rPr/>
        <w:t>H6:</w:t>
      </w:r>
      <w:r>
        <w:rPr>
          <w:spacing w:val="-1"/>
        </w:rPr>
        <w:t> </w:t>
      </w:r>
      <w:r>
        <w:rPr/>
        <w:t>HAUSMAN</w:t>
      </w:r>
      <w:r>
        <w:rPr>
          <w:spacing w:val="-2"/>
        </w:rPr>
        <w:t> </w:t>
      </w:r>
      <w:r>
        <w:rPr/>
        <w:t>SPECIFICATION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WAVE</w:t>
      </w:r>
      <w:r>
        <w:rPr>
          <w:spacing w:val="-1"/>
        </w:rPr>
        <w:t> </w:t>
      </w:r>
      <w:r>
        <w:rPr/>
        <w:t>I</w:t>
      </w:r>
      <w:r>
        <w:rPr>
          <w:spacing w:val="-5"/>
        </w:rPr>
        <w:t> </w:t>
      </w:r>
      <w:r>
        <w:rPr/>
        <w:t>DATA</w:t>
      </w:r>
    </w:p>
    <w:p>
      <w:pPr>
        <w:pStyle w:val="BodyText"/>
        <w:spacing w:before="3"/>
        <w:rPr>
          <w:sz w:val="9"/>
        </w:rPr>
      </w:pPr>
    </w:p>
    <w:p>
      <w:pPr>
        <w:spacing w:before="102" w:after="26"/>
        <w:ind w:left="2672" w:right="0" w:firstLine="0"/>
        <w:jc w:val="left"/>
        <w:rPr>
          <w:rFonts w:ascii="Courier New"/>
          <w:sz w:val="12"/>
        </w:rPr>
      </w:pPr>
      <w:r>
        <w:rPr/>
        <w:pict>
          <v:shape style="position:absolute;margin-left:171.569pt;margin-top:8.15395pt;width:21.95pt;height:.1pt;mso-position-horizontal-relative:page;mso-position-vertical-relative:paragraph;z-index:15790080" coordorigin="3431,163" coordsize="439,0" path="m3431,163l3529,163m3545,163l3642,163m3659,163l3756,163m3772,163l3870,163e" filled="false" stroked="true" strokeweight=".691483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73.964294pt;margin-top:8.15395pt;width:21.95pt;height:.1pt;mso-position-horizontal-relative:page;mso-position-vertical-relative:paragraph;z-index:15790592" coordorigin="5479,163" coordsize="439,0" path="m5479,163l5577,163m5593,163l5691,163m5707,163l5805,163m5821,163l5918,163e" filled="false" stroked="true" strokeweight=".691483pt" strokecolor="#000000">
            <v:path arrowok="t"/>
            <v:stroke dashstyle="solid"/>
            <w10:wrap type="none"/>
          </v:shape>
        </w:pict>
      </w:r>
      <w:r>
        <w:rPr>
          <w:rFonts w:ascii="Courier New"/>
          <w:w w:val="150"/>
          <w:sz w:val="12"/>
        </w:rPr>
        <w:t>Coefficients</w:t>
      </w:r>
    </w:p>
    <w:tbl>
      <w:tblPr>
        <w:tblW w:w="0" w:type="auto"/>
        <w:jc w:val="left"/>
        <w:tblInd w:w="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8"/>
        <w:gridCol w:w="1647"/>
        <w:gridCol w:w="1594"/>
        <w:gridCol w:w="1651"/>
        <w:gridCol w:w="2442"/>
      </w:tblGrid>
      <w:tr>
        <w:trPr>
          <w:trHeight w:val="428" w:hRule="atLeast"/>
        </w:trPr>
        <w:tc>
          <w:tcPr>
            <w:tcW w:w="1528" w:type="dxa"/>
            <w:tcBorders>
              <w:bottom w:val="dashed" w:sz="6" w:space="0" w:color="000000"/>
              <w:right w:val="dashed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gridSpan w:val="2"/>
            <w:tcBorders>
              <w:left w:val="dashed" w:sz="8" w:space="0" w:color="000000"/>
              <w:bottom w:val="dashed" w:sz="6" w:space="0" w:color="000000"/>
            </w:tcBorders>
          </w:tcPr>
          <w:p>
            <w:pPr>
              <w:pStyle w:val="TableParagraph"/>
              <w:tabs>
                <w:tab w:pos="1479" w:val="left" w:leader="none"/>
              </w:tabs>
              <w:spacing w:before="17"/>
              <w:ind w:right="679"/>
              <w:rPr>
                <w:sz w:val="12"/>
              </w:rPr>
            </w:pPr>
            <w:r>
              <w:rPr>
                <w:w w:val="150"/>
                <w:sz w:val="12"/>
              </w:rPr>
              <w:t>(b)</w:t>
              <w:tab/>
              <w:t>(B)</w:t>
            </w:r>
          </w:p>
          <w:p>
            <w:pPr>
              <w:pStyle w:val="TableParagraph"/>
              <w:tabs>
                <w:tab w:pos="1365" w:val="left" w:leader="none"/>
              </w:tabs>
              <w:spacing w:before="43"/>
              <w:ind w:right="679"/>
              <w:rPr>
                <w:sz w:val="12"/>
              </w:rPr>
            </w:pPr>
            <w:r>
              <w:rPr>
                <w:w w:val="150"/>
                <w:sz w:val="12"/>
              </w:rPr>
              <w:t>fe</w:t>
              <w:tab/>
              <w:t>fee</w:t>
            </w:r>
          </w:p>
        </w:tc>
        <w:tc>
          <w:tcPr>
            <w:tcW w:w="1651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17"/>
              <w:ind w:left="690"/>
              <w:jc w:val="left"/>
              <w:rPr>
                <w:sz w:val="12"/>
              </w:rPr>
            </w:pPr>
            <w:r>
              <w:rPr>
                <w:w w:val="150"/>
                <w:sz w:val="12"/>
              </w:rPr>
              <w:t>(b-B)</w:t>
            </w:r>
          </w:p>
          <w:p>
            <w:pPr>
              <w:pStyle w:val="TableParagraph"/>
              <w:spacing w:before="43"/>
              <w:ind w:left="349"/>
              <w:jc w:val="left"/>
              <w:rPr>
                <w:sz w:val="12"/>
              </w:rPr>
            </w:pPr>
            <w:r>
              <w:rPr>
                <w:w w:val="150"/>
                <w:sz w:val="12"/>
              </w:rPr>
              <w:t>Difference</w:t>
            </w:r>
          </w:p>
        </w:tc>
        <w:tc>
          <w:tcPr>
            <w:tcW w:w="2442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line="316" w:lineRule="auto" w:before="17"/>
              <w:ind w:left="974" w:hanging="797"/>
              <w:jc w:val="left"/>
              <w:rPr>
                <w:sz w:val="12"/>
              </w:rPr>
            </w:pPr>
            <w:r>
              <w:rPr>
                <w:w w:val="150"/>
                <w:sz w:val="12"/>
              </w:rPr>
              <w:t>sqrt(diag(V_b-V_B))</w:t>
            </w:r>
            <w:r>
              <w:rPr>
                <w:spacing w:val="-106"/>
                <w:w w:val="150"/>
                <w:sz w:val="12"/>
              </w:rPr>
              <w:t> </w:t>
            </w:r>
            <w:r>
              <w:rPr>
                <w:w w:val="150"/>
                <w:sz w:val="12"/>
              </w:rPr>
              <w:t>S.E.</w:t>
            </w:r>
          </w:p>
        </w:tc>
      </w:tr>
      <w:tr>
        <w:trPr>
          <w:trHeight w:val="267" w:hRule="atLeast"/>
        </w:trPr>
        <w:tc>
          <w:tcPr>
            <w:tcW w:w="1528" w:type="dxa"/>
            <w:tcBorders>
              <w:top w:val="dashed" w:sz="6" w:space="0" w:color="000000"/>
              <w:right w:val="dashed" w:sz="8" w:space="0" w:color="000000"/>
            </w:tcBorders>
          </w:tcPr>
          <w:p>
            <w:pPr>
              <w:pStyle w:val="TableParagraph"/>
              <w:spacing w:before="110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familysize</w:t>
            </w:r>
          </w:p>
        </w:tc>
        <w:tc>
          <w:tcPr>
            <w:tcW w:w="1647" w:type="dxa"/>
            <w:tcBorders>
              <w:top w:val="dashed" w:sz="6" w:space="0" w:color="000000"/>
              <w:left w:val="dashed" w:sz="8" w:space="0" w:color="000000"/>
            </w:tcBorders>
          </w:tcPr>
          <w:p>
            <w:pPr>
              <w:pStyle w:val="TableParagraph"/>
              <w:spacing w:before="110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.0009057</w:t>
            </w:r>
          </w:p>
        </w:tc>
        <w:tc>
          <w:tcPr>
            <w:tcW w:w="1594" w:type="dxa"/>
            <w:tcBorders>
              <w:top w:val="dashed" w:sz="6" w:space="0" w:color="000000"/>
            </w:tcBorders>
          </w:tcPr>
          <w:p>
            <w:pPr>
              <w:pStyle w:val="TableParagraph"/>
              <w:spacing w:before="110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.0004968</w:t>
            </w:r>
          </w:p>
        </w:tc>
        <w:tc>
          <w:tcPr>
            <w:tcW w:w="1651" w:type="dxa"/>
            <w:tcBorders>
              <w:top w:val="dashed" w:sz="6" w:space="0" w:color="000000"/>
            </w:tcBorders>
          </w:tcPr>
          <w:p>
            <w:pPr>
              <w:pStyle w:val="TableParagraph"/>
              <w:spacing w:before="110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.0004089</w:t>
            </w:r>
          </w:p>
        </w:tc>
        <w:tc>
          <w:tcPr>
            <w:tcW w:w="2442" w:type="dxa"/>
            <w:tcBorders>
              <w:top w:val="dashed" w:sz="6" w:space="0" w:color="000000"/>
            </w:tcBorders>
          </w:tcPr>
          <w:p>
            <w:pPr>
              <w:pStyle w:val="TableParagraph"/>
              <w:spacing w:before="110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.0000839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hungerandn~d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-.0001138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-.0031997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.0030859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48"/>
                <w:sz w:val="12"/>
              </w:rPr>
              <w:t>.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gari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-.0060618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-.0074816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.0014198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.0007962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rice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-.0590511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-.0637587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.0047076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48"/>
                <w:sz w:val="12"/>
              </w:rPr>
              <w:t>.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yamorcassa~r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-.3945603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-.3947124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.0001521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.0001563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beans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-.0527965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-.0522586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-.0005379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.0008467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meatorfish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-.0000338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-.0000419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8.19e-06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5.93e-06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mosquitone~n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-.0209487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-.0206924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-.0002564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.0003258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primaryedu~n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-.0004279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-.0004465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.0000185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.0004937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secondaryc~e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.0004823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.0000889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.0003934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48"/>
                <w:sz w:val="12"/>
              </w:rPr>
              <w:t>.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higherdegree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-.0017701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-.0014384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-.0003318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.0002527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nobasicedu~n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.0569079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.0545592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.0023487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.0007281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hadelectri~y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-.0616535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-.0601921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-.0014614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.0018575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noelectric~y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.0006441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.0006098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.0000343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.0000805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pipebornew~r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-.0676728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-.0690925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.0014197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.001076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boreholean~l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.0245967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.0208256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.0037711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48"/>
                <w:sz w:val="12"/>
              </w:rPr>
              <w:t>.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riverandsp~g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.056177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.054218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.0019589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.0010851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noaccessto~r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-.0446459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-.0333707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-.0112752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.0030124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waterormod~e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-.0134691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-.0112855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-.0021837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.000165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pitorlatrine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.0419156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.040238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.0016776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.0014322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notoiletfa~y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.0693644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.0704902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-.0011258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.000766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alcoholicd~s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.0058917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.0056876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.0002041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.0005593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selfmedica~n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.0173511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.016968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.0003831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.0006168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seekingmed~e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-.0048577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-.0040147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-.000843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.0006213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otherhealt~e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.0003812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.0003369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.0000442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.0001149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wagesandsa~s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.0159761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.0192648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-.0032887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.0013829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entreprise~s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-.0228877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-.018421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-.0044667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48"/>
                <w:sz w:val="12"/>
              </w:rPr>
              <w:t>.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farmingcro~k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-.0230121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-.031818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.0088059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.0022315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remittances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-.0190661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-.0215407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.0024746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48"/>
                <w:sz w:val="12"/>
              </w:rPr>
              <w:t>.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monetaryan~s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.0143292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.010974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.0033552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.0022274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pensionsan~s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-.0113687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-.010295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-.0010737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.0024734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dividendan~n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.0152558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.0167058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-.00145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.001747</w:t>
            </w:r>
          </w:p>
        </w:tc>
      </w:tr>
      <w:tr>
        <w:trPr>
          <w:trHeight w:val="178" w:hRule="atLeast"/>
        </w:trPr>
        <w:tc>
          <w:tcPr>
            <w:tcW w:w="1528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incomesfro~e</w:t>
            </w:r>
          </w:p>
        </w:tc>
        <w:tc>
          <w:tcPr>
            <w:tcW w:w="1647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-.0129056</w:t>
            </w:r>
          </w:p>
        </w:tc>
        <w:tc>
          <w:tcPr>
            <w:tcW w:w="1594" w:type="dxa"/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-.0122106</w:t>
            </w:r>
          </w:p>
        </w:tc>
        <w:tc>
          <w:tcPr>
            <w:tcW w:w="1651" w:type="dxa"/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-.000695</w:t>
            </w:r>
          </w:p>
        </w:tc>
        <w:tc>
          <w:tcPr>
            <w:tcW w:w="2442" w:type="dxa"/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50"/>
                <w:sz w:val="12"/>
              </w:rPr>
              <w:t>.001032</w:t>
            </w:r>
          </w:p>
        </w:tc>
      </w:tr>
      <w:tr>
        <w:trPr>
          <w:trHeight w:val="254" w:hRule="atLeast"/>
        </w:trPr>
        <w:tc>
          <w:tcPr>
            <w:tcW w:w="1528" w:type="dxa"/>
            <w:tcBorders>
              <w:bottom w:val="dashed" w:sz="6" w:space="0" w:color="000000"/>
              <w:right w:val="dashed" w:sz="8" w:space="0" w:color="000000"/>
            </w:tcBorders>
          </w:tcPr>
          <w:p>
            <w:pPr>
              <w:pStyle w:val="TableParagraph"/>
              <w:spacing w:before="22"/>
              <w:ind w:right="159"/>
              <w:rPr>
                <w:sz w:val="12"/>
              </w:rPr>
            </w:pPr>
            <w:r>
              <w:rPr>
                <w:w w:val="150"/>
                <w:sz w:val="12"/>
              </w:rPr>
              <w:t>ginicoeffi~t</w:t>
            </w:r>
          </w:p>
        </w:tc>
        <w:tc>
          <w:tcPr>
            <w:tcW w:w="1647" w:type="dxa"/>
            <w:tcBorders>
              <w:left w:val="dashed" w:sz="8" w:space="0" w:color="000000"/>
              <w:bottom w:val="dashed" w:sz="6" w:space="0" w:color="000000"/>
            </w:tcBorders>
          </w:tcPr>
          <w:p>
            <w:pPr>
              <w:pStyle w:val="TableParagraph"/>
              <w:spacing w:before="22"/>
              <w:ind w:right="223"/>
              <w:rPr>
                <w:sz w:val="12"/>
              </w:rPr>
            </w:pPr>
            <w:r>
              <w:rPr>
                <w:w w:val="150"/>
                <w:sz w:val="12"/>
              </w:rPr>
              <w:t>.0020388</w:t>
            </w:r>
          </w:p>
        </w:tc>
        <w:tc>
          <w:tcPr>
            <w:tcW w:w="1594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22"/>
              <w:ind w:right="337"/>
              <w:rPr>
                <w:sz w:val="12"/>
              </w:rPr>
            </w:pPr>
            <w:r>
              <w:rPr>
                <w:w w:val="150"/>
                <w:sz w:val="12"/>
              </w:rPr>
              <w:t>.0021521</w:t>
            </w:r>
          </w:p>
        </w:tc>
        <w:tc>
          <w:tcPr>
            <w:tcW w:w="1651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22"/>
              <w:ind w:right="168"/>
              <w:rPr>
                <w:sz w:val="12"/>
              </w:rPr>
            </w:pPr>
            <w:r>
              <w:rPr>
                <w:w w:val="150"/>
                <w:sz w:val="12"/>
              </w:rPr>
              <w:t>-.0001133</w:t>
            </w:r>
          </w:p>
        </w:tc>
        <w:tc>
          <w:tcPr>
            <w:tcW w:w="2442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22"/>
              <w:ind w:right="789"/>
              <w:rPr>
                <w:sz w:val="12"/>
              </w:rPr>
            </w:pPr>
            <w:r>
              <w:rPr>
                <w:w w:val="148"/>
                <w:sz w:val="12"/>
              </w:rPr>
              <w:t>.</w:t>
            </w:r>
          </w:p>
        </w:tc>
      </w:tr>
    </w:tbl>
    <w:p>
      <w:pPr>
        <w:spacing w:line="316" w:lineRule="auto" w:before="112"/>
        <w:ind w:left="1534" w:right="816" w:firstLine="1706"/>
        <w:jc w:val="left"/>
        <w:rPr>
          <w:rFonts w:ascii="Courier New"/>
          <w:sz w:val="12"/>
        </w:rPr>
      </w:pPr>
      <w:r>
        <w:rPr>
          <w:rFonts w:ascii="Courier New"/>
          <w:w w:val="150"/>
          <w:sz w:val="12"/>
        </w:rPr>
        <w:t>b</w:t>
      </w:r>
      <w:r>
        <w:rPr>
          <w:rFonts w:ascii="Courier New"/>
          <w:spacing w:val="29"/>
          <w:w w:val="150"/>
          <w:sz w:val="12"/>
        </w:rPr>
        <w:t> </w:t>
      </w:r>
      <w:r>
        <w:rPr>
          <w:rFonts w:ascii="Courier New"/>
          <w:w w:val="150"/>
          <w:sz w:val="12"/>
        </w:rPr>
        <w:t>=</w:t>
      </w:r>
      <w:r>
        <w:rPr>
          <w:rFonts w:ascii="Courier New"/>
          <w:spacing w:val="30"/>
          <w:w w:val="150"/>
          <w:sz w:val="12"/>
        </w:rPr>
        <w:t> </w:t>
      </w:r>
      <w:r>
        <w:rPr>
          <w:rFonts w:ascii="Courier New"/>
          <w:w w:val="150"/>
          <w:sz w:val="12"/>
        </w:rPr>
        <w:t>consistent</w:t>
      </w:r>
      <w:r>
        <w:rPr>
          <w:rFonts w:ascii="Courier New"/>
          <w:spacing w:val="30"/>
          <w:w w:val="150"/>
          <w:sz w:val="12"/>
        </w:rPr>
        <w:t> </w:t>
      </w:r>
      <w:r>
        <w:rPr>
          <w:rFonts w:ascii="Courier New"/>
          <w:w w:val="150"/>
          <w:sz w:val="12"/>
        </w:rPr>
        <w:t>under</w:t>
      </w:r>
      <w:r>
        <w:rPr>
          <w:rFonts w:ascii="Courier New"/>
          <w:spacing w:val="30"/>
          <w:w w:val="150"/>
          <w:sz w:val="12"/>
        </w:rPr>
        <w:t> </w:t>
      </w:r>
      <w:r>
        <w:rPr>
          <w:rFonts w:ascii="Courier New"/>
          <w:w w:val="150"/>
          <w:sz w:val="12"/>
        </w:rPr>
        <w:t>Ho</w:t>
      </w:r>
      <w:r>
        <w:rPr>
          <w:rFonts w:ascii="Courier New"/>
          <w:spacing w:val="29"/>
          <w:w w:val="150"/>
          <w:sz w:val="12"/>
        </w:rPr>
        <w:t> </w:t>
      </w:r>
      <w:r>
        <w:rPr>
          <w:rFonts w:ascii="Courier New"/>
          <w:w w:val="150"/>
          <w:sz w:val="12"/>
        </w:rPr>
        <w:t>and</w:t>
      </w:r>
      <w:r>
        <w:rPr>
          <w:rFonts w:ascii="Courier New"/>
          <w:spacing w:val="30"/>
          <w:w w:val="150"/>
          <w:sz w:val="12"/>
        </w:rPr>
        <w:t> </w:t>
      </w:r>
      <w:r>
        <w:rPr>
          <w:rFonts w:ascii="Courier New"/>
          <w:w w:val="150"/>
          <w:sz w:val="12"/>
        </w:rPr>
        <w:t>Ha;</w:t>
      </w:r>
      <w:r>
        <w:rPr>
          <w:rFonts w:ascii="Courier New"/>
          <w:spacing w:val="30"/>
          <w:w w:val="150"/>
          <w:sz w:val="12"/>
        </w:rPr>
        <w:t> </w:t>
      </w:r>
      <w:r>
        <w:rPr>
          <w:rFonts w:ascii="Courier New"/>
          <w:w w:val="150"/>
          <w:sz w:val="12"/>
        </w:rPr>
        <w:t>obtained</w:t>
      </w:r>
      <w:r>
        <w:rPr>
          <w:rFonts w:ascii="Courier New"/>
          <w:spacing w:val="30"/>
          <w:w w:val="150"/>
          <w:sz w:val="12"/>
        </w:rPr>
        <w:t> </w:t>
      </w:r>
      <w:r>
        <w:rPr>
          <w:rFonts w:ascii="Courier New"/>
          <w:w w:val="150"/>
          <w:sz w:val="12"/>
        </w:rPr>
        <w:t>from</w:t>
      </w:r>
      <w:r>
        <w:rPr>
          <w:rFonts w:ascii="Courier New"/>
          <w:spacing w:val="29"/>
          <w:w w:val="150"/>
          <w:sz w:val="12"/>
        </w:rPr>
        <w:t> </w:t>
      </w:r>
      <w:r>
        <w:rPr>
          <w:rFonts w:ascii="Courier New"/>
          <w:w w:val="150"/>
          <w:sz w:val="12"/>
        </w:rPr>
        <w:t>xtreg</w:t>
      </w:r>
      <w:r>
        <w:rPr>
          <w:rFonts w:ascii="Courier New"/>
          <w:spacing w:val="-105"/>
          <w:w w:val="150"/>
          <w:sz w:val="12"/>
        </w:rPr>
        <w:t> </w:t>
      </w:r>
      <w:r>
        <w:rPr>
          <w:rFonts w:ascii="Courier New"/>
          <w:w w:val="150"/>
          <w:sz w:val="12"/>
        </w:rPr>
        <w:t>B</w:t>
      </w:r>
      <w:r>
        <w:rPr>
          <w:rFonts w:ascii="Courier New"/>
          <w:spacing w:val="34"/>
          <w:w w:val="150"/>
          <w:sz w:val="12"/>
        </w:rPr>
        <w:t> </w:t>
      </w:r>
      <w:r>
        <w:rPr>
          <w:rFonts w:ascii="Courier New"/>
          <w:w w:val="150"/>
          <w:sz w:val="12"/>
        </w:rPr>
        <w:t>=</w:t>
      </w:r>
      <w:r>
        <w:rPr>
          <w:rFonts w:ascii="Courier New"/>
          <w:spacing w:val="35"/>
          <w:w w:val="150"/>
          <w:sz w:val="12"/>
        </w:rPr>
        <w:t> </w:t>
      </w:r>
      <w:r>
        <w:rPr>
          <w:rFonts w:ascii="Courier New"/>
          <w:w w:val="150"/>
          <w:sz w:val="12"/>
        </w:rPr>
        <w:t>inconsistent</w:t>
      </w:r>
      <w:r>
        <w:rPr>
          <w:rFonts w:ascii="Courier New"/>
          <w:spacing w:val="35"/>
          <w:w w:val="150"/>
          <w:sz w:val="12"/>
        </w:rPr>
        <w:t> </w:t>
      </w:r>
      <w:r>
        <w:rPr>
          <w:rFonts w:ascii="Courier New"/>
          <w:w w:val="150"/>
          <w:sz w:val="12"/>
        </w:rPr>
        <w:t>under</w:t>
      </w:r>
      <w:r>
        <w:rPr>
          <w:rFonts w:ascii="Courier New"/>
          <w:spacing w:val="35"/>
          <w:w w:val="150"/>
          <w:sz w:val="12"/>
        </w:rPr>
        <w:t> </w:t>
      </w:r>
      <w:r>
        <w:rPr>
          <w:rFonts w:ascii="Courier New"/>
          <w:w w:val="150"/>
          <w:sz w:val="12"/>
        </w:rPr>
        <w:t>Ha,</w:t>
      </w:r>
      <w:r>
        <w:rPr>
          <w:rFonts w:ascii="Courier New"/>
          <w:spacing w:val="34"/>
          <w:w w:val="150"/>
          <w:sz w:val="12"/>
        </w:rPr>
        <w:t> </w:t>
      </w:r>
      <w:r>
        <w:rPr>
          <w:rFonts w:ascii="Courier New"/>
          <w:w w:val="150"/>
          <w:sz w:val="12"/>
        </w:rPr>
        <w:t>efficient</w:t>
      </w:r>
      <w:r>
        <w:rPr>
          <w:rFonts w:ascii="Courier New"/>
          <w:spacing w:val="35"/>
          <w:w w:val="150"/>
          <w:sz w:val="12"/>
        </w:rPr>
        <w:t> </w:t>
      </w:r>
      <w:r>
        <w:rPr>
          <w:rFonts w:ascii="Courier New"/>
          <w:w w:val="150"/>
          <w:sz w:val="12"/>
        </w:rPr>
        <w:t>under</w:t>
      </w:r>
      <w:r>
        <w:rPr>
          <w:rFonts w:ascii="Courier New"/>
          <w:spacing w:val="34"/>
          <w:w w:val="150"/>
          <w:sz w:val="12"/>
        </w:rPr>
        <w:t> </w:t>
      </w:r>
      <w:r>
        <w:rPr>
          <w:rFonts w:ascii="Courier New"/>
          <w:w w:val="150"/>
          <w:sz w:val="12"/>
        </w:rPr>
        <w:t>Ho;</w:t>
      </w:r>
      <w:r>
        <w:rPr>
          <w:rFonts w:ascii="Courier New"/>
          <w:spacing w:val="35"/>
          <w:w w:val="150"/>
          <w:sz w:val="12"/>
        </w:rPr>
        <w:t> </w:t>
      </w:r>
      <w:r>
        <w:rPr>
          <w:rFonts w:ascii="Courier New"/>
          <w:w w:val="150"/>
          <w:sz w:val="12"/>
        </w:rPr>
        <w:t>obtained</w:t>
      </w:r>
      <w:r>
        <w:rPr>
          <w:rFonts w:ascii="Courier New"/>
          <w:spacing w:val="35"/>
          <w:w w:val="150"/>
          <w:sz w:val="12"/>
        </w:rPr>
        <w:t> </w:t>
      </w:r>
      <w:r>
        <w:rPr>
          <w:rFonts w:ascii="Courier New"/>
          <w:w w:val="150"/>
          <w:sz w:val="12"/>
        </w:rPr>
        <w:t>from</w:t>
      </w:r>
      <w:r>
        <w:rPr>
          <w:rFonts w:ascii="Courier New"/>
          <w:spacing w:val="35"/>
          <w:w w:val="150"/>
          <w:sz w:val="12"/>
        </w:rPr>
        <w:t> </w:t>
      </w:r>
      <w:r>
        <w:rPr>
          <w:rFonts w:ascii="Courier New"/>
          <w:w w:val="150"/>
          <w:sz w:val="12"/>
        </w:rPr>
        <w:t>xtreg</w:t>
      </w:r>
    </w:p>
    <w:p>
      <w:pPr>
        <w:pStyle w:val="BodyText"/>
        <w:spacing w:before="7"/>
        <w:rPr>
          <w:rFonts w:ascii="Courier New"/>
          <w:sz w:val="15"/>
        </w:rPr>
      </w:pPr>
    </w:p>
    <w:p>
      <w:pPr>
        <w:tabs>
          <w:tab w:pos="1420" w:val="left" w:leader="none"/>
          <w:tab w:pos="1989" w:val="left" w:leader="none"/>
        </w:tabs>
        <w:spacing w:before="1"/>
        <w:ind w:left="623" w:right="0" w:firstLine="0"/>
        <w:jc w:val="left"/>
        <w:rPr>
          <w:rFonts w:ascii="Courier New"/>
          <w:sz w:val="12"/>
        </w:rPr>
      </w:pPr>
      <w:r>
        <w:rPr>
          <w:rFonts w:ascii="Courier New"/>
          <w:w w:val="150"/>
          <w:sz w:val="12"/>
        </w:rPr>
        <w:t>Test:</w:t>
        <w:tab/>
        <w:t>Ho:</w:t>
        <w:tab/>
        <w:t>difference</w:t>
      </w:r>
      <w:r>
        <w:rPr>
          <w:rFonts w:ascii="Courier New"/>
          <w:spacing w:val="50"/>
          <w:w w:val="150"/>
          <w:sz w:val="12"/>
        </w:rPr>
        <w:t> </w:t>
      </w:r>
      <w:r>
        <w:rPr>
          <w:rFonts w:ascii="Courier New"/>
          <w:w w:val="150"/>
          <w:sz w:val="12"/>
        </w:rPr>
        <w:t>in</w:t>
      </w:r>
      <w:r>
        <w:rPr>
          <w:rFonts w:ascii="Courier New"/>
          <w:spacing w:val="49"/>
          <w:w w:val="150"/>
          <w:sz w:val="12"/>
        </w:rPr>
        <w:t> </w:t>
      </w:r>
      <w:r>
        <w:rPr>
          <w:rFonts w:ascii="Courier New"/>
          <w:w w:val="150"/>
          <w:sz w:val="12"/>
        </w:rPr>
        <w:t>coefficients</w:t>
      </w:r>
      <w:r>
        <w:rPr>
          <w:rFonts w:ascii="Courier New"/>
          <w:spacing w:val="51"/>
          <w:w w:val="150"/>
          <w:sz w:val="12"/>
        </w:rPr>
        <w:t> </w:t>
      </w:r>
      <w:r>
        <w:rPr>
          <w:rFonts w:ascii="Courier New"/>
          <w:w w:val="150"/>
          <w:sz w:val="12"/>
        </w:rPr>
        <w:t>not</w:t>
      </w:r>
      <w:r>
        <w:rPr>
          <w:rFonts w:ascii="Courier New"/>
          <w:spacing w:val="50"/>
          <w:w w:val="150"/>
          <w:sz w:val="12"/>
        </w:rPr>
        <w:t> </w:t>
      </w:r>
      <w:r>
        <w:rPr>
          <w:rFonts w:ascii="Courier New"/>
          <w:w w:val="150"/>
          <w:sz w:val="12"/>
        </w:rPr>
        <w:t>systematic</w:t>
      </w:r>
    </w:p>
    <w:p>
      <w:pPr>
        <w:pStyle w:val="BodyText"/>
        <w:spacing w:before="5"/>
        <w:rPr>
          <w:rFonts w:ascii="Courier New"/>
          <w:sz w:val="10"/>
        </w:rPr>
      </w:pPr>
    </w:p>
    <w:p>
      <w:pPr>
        <w:spacing w:before="103"/>
        <w:ind w:left="2103" w:right="0" w:firstLine="0"/>
        <w:jc w:val="left"/>
        <w:rPr>
          <w:rFonts w:ascii="Courier New"/>
          <w:sz w:val="12"/>
        </w:rPr>
      </w:pPr>
      <w:r>
        <w:rPr>
          <w:rFonts w:ascii="Courier New"/>
          <w:w w:val="150"/>
          <w:sz w:val="12"/>
        </w:rPr>
        <w:t>chi2(34)</w:t>
      </w:r>
      <w:r>
        <w:rPr>
          <w:rFonts w:ascii="Courier New"/>
          <w:spacing w:val="87"/>
          <w:w w:val="150"/>
          <w:sz w:val="12"/>
        </w:rPr>
        <w:t> </w:t>
      </w:r>
      <w:r>
        <w:rPr>
          <w:rFonts w:ascii="Courier New"/>
          <w:w w:val="150"/>
          <w:sz w:val="12"/>
        </w:rPr>
        <w:t>=</w:t>
      </w:r>
      <w:r>
        <w:rPr>
          <w:rFonts w:ascii="Courier New"/>
          <w:spacing w:val="87"/>
          <w:w w:val="150"/>
          <w:sz w:val="12"/>
        </w:rPr>
        <w:t> </w:t>
      </w:r>
      <w:r>
        <w:rPr>
          <w:rFonts w:ascii="Courier New"/>
          <w:w w:val="150"/>
          <w:sz w:val="12"/>
        </w:rPr>
        <w:t>(b-B)'[(V_b-V_B)^(-1)](b-B)</w:t>
      </w:r>
    </w:p>
    <w:p>
      <w:pPr>
        <w:tabs>
          <w:tab w:pos="3582" w:val="left" w:leader="none"/>
          <w:tab w:pos="4720" w:val="left" w:leader="none"/>
        </w:tabs>
        <w:spacing w:before="43"/>
        <w:ind w:left="3127" w:right="0" w:firstLine="0"/>
        <w:jc w:val="left"/>
        <w:rPr>
          <w:rFonts w:ascii="Courier New"/>
          <w:sz w:val="12"/>
        </w:rPr>
      </w:pPr>
      <w:r>
        <w:rPr>
          <w:rFonts w:ascii="Courier New"/>
          <w:w w:val="150"/>
          <w:sz w:val="12"/>
        </w:rPr>
        <w:t>=</w:t>
        <w:tab/>
        <w:t>-90.48</w:t>
        <w:tab/>
        <w:t>chi2&lt;0</w:t>
      </w:r>
      <w:r>
        <w:rPr>
          <w:rFonts w:ascii="Courier New"/>
          <w:spacing w:val="32"/>
          <w:w w:val="150"/>
          <w:sz w:val="12"/>
        </w:rPr>
        <w:t> </w:t>
      </w:r>
      <w:r>
        <w:rPr>
          <w:rFonts w:ascii="Courier New"/>
          <w:w w:val="150"/>
          <w:sz w:val="12"/>
        </w:rPr>
        <w:t>==&gt;</w:t>
      </w:r>
      <w:r>
        <w:rPr>
          <w:rFonts w:ascii="Courier New"/>
          <w:spacing w:val="31"/>
          <w:w w:val="150"/>
          <w:sz w:val="12"/>
        </w:rPr>
        <w:t> </w:t>
      </w:r>
      <w:r>
        <w:rPr>
          <w:rFonts w:ascii="Courier New"/>
          <w:w w:val="150"/>
          <w:sz w:val="12"/>
        </w:rPr>
        <w:t>model</w:t>
      </w:r>
      <w:r>
        <w:rPr>
          <w:rFonts w:ascii="Courier New"/>
          <w:spacing w:val="32"/>
          <w:w w:val="150"/>
          <w:sz w:val="12"/>
        </w:rPr>
        <w:t> </w:t>
      </w:r>
      <w:r>
        <w:rPr>
          <w:rFonts w:ascii="Courier New"/>
          <w:w w:val="150"/>
          <w:sz w:val="12"/>
        </w:rPr>
        <w:t>fitted</w:t>
      </w:r>
      <w:r>
        <w:rPr>
          <w:rFonts w:ascii="Courier New"/>
          <w:spacing w:val="33"/>
          <w:w w:val="150"/>
          <w:sz w:val="12"/>
        </w:rPr>
        <w:t> </w:t>
      </w:r>
      <w:r>
        <w:rPr>
          <w:rFonts w:ascii="Courier New"/>
          <w:w w:val="150"/>
          <w:sz w:val="12"/>
        </w:rPr>
        <w:t>on</w:t>
      </w:r>
      <w:r>
        <w:rPr>
          <w:rFonts w:ascii="Courier New"/>
          <w:spacing w:val="32"/>
          <w:w w:val="150"/>
          <w:sz w:val="12"/>
        </w:rPr>
        <w:t> </w:t>
      </w:r>
      <w:r>
        <w:rPr>
          <w:rFonts w:ascii="Courier New"/>
          <w:w w:val="150"/>
          <w:sz w:val="12"/>
        </w:rPr>
        <w:t>these</w:t>
      </w:r>
    </w:p>
    <w:p>
      <w:pPr>
        <w:spacing w:after="0"/>
        <w:jc w:val="left"/>
        <w:rPr>
          <w:rFonts w:ascii="Courier New"/>
          <w:sz w:val="12"/>
        </w:rPr>
        <w:sectPr>
          <w:type w:val="continuous"/>
          <w:pgSz w:w="12240" w:h="15840"/>
          <w:pgMar w:top="1380" w:bottom="280" w:left="1320" w:right="1000"/>
        </w:sectPr>
      </w:pPr>
    </w:p>
    <w:p>
      <w:pPr>
        <w:spacing w:before="74"/>
        <w:ind w:left="120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H7: ROBUSTNESS</w:t>
      </w:r>
      <w:r>
        <w:rPr>
          <w:spacing w:val="-1"/>
          <w:sz w:val="22"/>
        </w:rPr>
        <w:t> </w:t>
      </w:r>
      <w:r>
        <w:rPr>
          <w:sz w:val="22"/>
        </w:rPr>
        <w:t>CHECK: MULTILEVEL</w:t>
      </w:r>
      <w:r>
        <w:rPr>
          <w:spacing w:val="-5"/>
          <w:sz w:val="22"/>
        </w:rPr>
        <w:t> </w:t>
      </w:r>
      <w:r>
        <w:rPr>
          <w:sz w:val="22"/>
        </w:rPr>
        <w:t>LOGISTIC</w:t>
      </w:r>
      <w:r>
        <w:rPr>
          <w:spacing w:val="-2"/>
          <w:sz w:val="22"/>
        </w:rPr>
        <w:t> </w:t>
      </w:r>
      <w:r>
        <w:rPr>
          <w:sz w:val="22"/>
        </w:rPr>
        <w:t>REGRESSION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WAVE</w:t>
      </w:r>
      <w:r>
        <w:rPr>
          <w:spacing w:val="-1"/>
          <w:sz w:val="22"/>
        </w:rPr>
        <w:t> </w:t>
      </w:r>
      <w:r>
        <w:rPr>
          <w:sz w:val="22"/>
        </w:rPr>
        <w:t>I</w:t>
      </w: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2"/>
        <w:gridCol w:w="2397"/>
        <w:gridCol w:w="277"/>
        <w:gridCol w:w="831"/>
      </w:tblGrid>
      <w:tr>
        <w:trPr>
          <w:trHeight w:val="193" w:hRule="atLeast"/>
        </w:trPr>
        <w:tc>
          <w:tcPr>
            <w:tcW w:w="3782" w:type="dxa"/>
          </w:tcPr>
          <w:p>
            <w:pPr>
              <w:pStyle w:val="TableParagraph"/>
              <w:spacing w:line="170" w:lineRule="exact"/>
              <w:ind w:left="50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Mixed-effects</w:t>
            </w:r>
            <w:r>
              <w:rPr>
                <w:spacing w:val="84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logistic</w:t>
            </w:r>
            <w:r>
              <w:rPr>
                <w:spacing w:val="84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regression</w:t>
            </w:r>
          </w:p>
        </w:tc>
        <w:tc>
          <w:tcPr>
            <w:tcW w:w="2397" w:type="dxa"/>
          </w:tcPr>
          <w:p>
            <w:pPr>
              <w:pStyle w:val="TableParagraph"/>
              <w:spacing w:line="170" w:lineRule="exact"/>
              <w:ind w:left="693"/>
              <w:jc w:val="left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obs</w:t>
            </w:r>
          </w:p>
        </w:tc>
        <w:tc>
          <w:tcPr>
            <w:tcW w:w="277" w:type="dxa"/>
          </w:tcPr>
          <w:p>
            <w:pPr>
              <w:pStyle w:val="TableParagraph"/>
              <w:spacing w:line="170" w:lineRule="exact"/>
              <w:ind w:left="48"/>
              <w:jc w:val="left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31" w:type="dxa"/>
          </w:tcPr>
          <w:p>
            <w:pPr>
              <w:pStyle w:val="TableParagraph"/>
              <w:spacing w:line="170" w:lineRule="exact"/>
              <w:ind w:right="48"/>
              <w:rPr>
                <w:sz w:val="15"/>
              </w:rPr>
            </w:pPr>
            <w:r>
              <w:rPr>
                <w:sz w:val="15"/>
              </w:rPr>
              <w:t>11967</w:t>
            </w:r>
          </w:p>
        </w:tc>
      </w:tr>
      <w:tr>
        <w:trPr>
          <w:trHeight w:val="326" w:hRule="atLeast"/>
        </w:trPr>
        <w:tc>
          <w:tcPr>
            <w:tcW w:w="3782" w:type="dxa"/>
          </w:tcPr>
          <w:p>
            <w:pPr>
              <w:pStyle w:val="TableParagraph"/>
              <w:tabs>
                <w:tab w:pos="1986" w:val="left" w:leader="none"/>
              </w:tabs>
              <w:spacing w:before="23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Group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variable:</w:t>
              <w:tab/>
              <w:t>state_gini</w:t>
            </w:r>
          </w:p>
        </w:tc>
        <w:tc>
          <w:tcPr>
            <w:tcW w:w="2397" w:type="dxa"/>
          </w:tcPr>
          <w:p>
            <w:pPr>
              <w:pStyle w:val="TableParagraph"/>
              <w:spacing w:before="23"/>
              <w:ind w:left="693"/>
              <w:jc w:val="left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groups</w:t>
            </w:r>
          </w:p>
        </w:tc>
        <w:tc>
          <w:tcPr>
            <w:tcW w:w="277" w:type="dxa"/>
          </w:tcPr>
          <w:p>
            <w:pPr>
              <w:pStyle w:val="TableParagraph"/>
              <w:spacing w:before="23"/>
              <w:ind w:left="48"/>
              <w:jc w:val="left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31" w:type="dxa"/>
          </w:tcPr>
          <w:p>
            <w:pPr>
              <w:pStyle w:val="TableParagraph"/>
              <w:spacing w:before="23"/>
              <w:ind w:right="48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</w:tr>
      <w:tr>
        <w:trPr>
          <w:trHeight w:val="326" w:hRule="atLeast"/>
        </w:trPr>
        <w:tc>
          <w:tcPr>
            <w:tcW w:w="378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before="132"/>
              <w:ind w:right="47"/>
              <w:rPr>
                <w:sz w:val="15"/>
              </w:rPr>
            </w:pPr>
            <w:r>
              <w:rPr>
                <w:sz w:val="15"/>
              </w:rPr>
              <w:t>Obs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per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group: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min</w:t>
            </w:r>
          </w:p>
        </w:tc>
        <w:tc>
          <w:tcPr>
            <w:tcW w:w="277" w:type="dxa"/>
          </w:tcPr>
          <w:p>
            <w:pPr>
              <w:pStyle w:val="TableParagraph"/>
              <w:spacing w:before="132"/>
              <w:ind w:left="48"/>
              <w:jc w:val="left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31" w:type="dxa"/>
          </w:tcPr>
          <w:p>
            <w:pPr>
              <w:pStyle w:val="TableParagraph"/>
              <w:spacing w:before="132"/>
              <w:ind w:right="48"/>
              <w:rPr>
                <w:sz w:val="15"/>
              </w:rPr>
            </w:pPr>
            <w:r>
              <w:rPr>
                <w:w w:val="96"/>
                <w:sz w:val="15"/>
              </w:rPr>
              <w:t>2</w:t>
            </w:r>
          </w:p>
        </w:tc>
      </w:tr>
      <w:tr>
        <w:trPr>
          <w:trHeight w:val="217" w:hRule="atLeast"/>
        </w:trPr>
        <w:tc>
          <w:tcPr>
            <w:tcW w:w="378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before="24"/>
              <w:ind w:right="47"/>
              <w:rPr>
                <w:sz w:val="15"/>
              </w:rPr>
            </w:pPr>
            <w:r>
              <w:rPr>
                <w:sz w:val="15"/>
              </w:rPr>
              <w:t>avg</w:t>
            </w:r>
          </w:p>
        </w:tc>
        <w:tc>
          <w:tcPr>
            <w:tcW w:w="277" w:type="dxa"/>
          </w:tcPr>
          <w:p>
            <w:pPr>
              <w:pStyle w:val="TableParagraph"/>
              <w:spacing w:before="24"/>
              <w:ind w:left="48"/>
              <w:jc w:val="left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31" w:type="dxa"/>
          </w:tcPr>
          <w:p>
            <w:pPr>
              <w:pStyle w:val="TableParagraph"/>
              <w:spacing w:before="24"/>
              <w:ind w:right="48"/>
              <w:rPr>
                <w:sz w:val="15"/>
              </w:rPr>
            </w:pPr>
            <w:r>
              <w:rPr>
                <w:sz w:val="15"/>
              </w:rPr>
              <w:t>323.4</w:t>
            </w:r>
          </w:p>
        </w:tc>
      </w:tr>
      <w:tr>
        <w:trPr>
          <w:trHeight w:val="326" w:hRule="atLeast"/>
        </w:trPr>
        <w:tc>
          <w:tcPr>
            <w:tcW w:w="378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before="23"/>
              <w:ind w:right="47"/>
              <w:rPr>
                <w:sz w:val="15"/>
              </w:rPr>
            </w:pPr>
            <w:r>
              <w:rPr>
                <w:sz w:val="15"/>
              </w:rPr>
              <w:t>max</w:t>
            </w:r>
          </w:p>
        </w:tc>
        <w:tc>
          <w:tcPr>
            <w:tcW w:w="277" w:type="dxa"/>
          </w:tcPr>
          <w:p>
            <w:pPr>
              <w:pStyle w:val="TableParagraph"/>
              <w:spacing w:before="23"/>
              <w:ind w:left="48"/>
              <w:jc w:val="left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31" w:type="dxa"/>
          </w:tcPr>
          <w:p>
            <w:pPr>
              <w:pStyle w:val="TableParagraph"/>
              <w:spacing w:before="23"/>
              <w:ind w:right="48"/>
              <w:rPr>
                <w:sz w:val="15"/>
              </w:rPr>
            </w:pPr>
            <w:r>
              <w:rPr>
                <w:sz w:val="15"/>
              </w:rPr>
              <w:t>766</w:t>
            </w:r>
          </w:p>
        </w:tc>
      </w:tr>
      <w:tr>
        <w:trPr>
          <w:trHeight w:val="435" w:hRule="atLeast"/>
        </w:trPr>
        <w:tc>
          <w:tcPr>
            <w:tcW w:w="3782" w:type="dxa"/>
          </w:tcPr>
          <w:p>
            <w:pPr>
              <w:pStyle w:val="TableParagraph"/>
              <w:spacing w:before="132"/>
              <w:ind w:left="50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Integration</w:t>
            </w:r>
            <w:r>
              <w:rPr>
                <w:spacing w:val="79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method:</w:t>
            </w:r>
            <w:r>
              <w:rPr>
                <w:spacing w:val="79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mvaghermite</w:t>
            </w:r>
          </w:p>
        </w:tc>
        <w:tc>
          <w:tcPr>
            <w:tcW w:w="2397" w:type="dxa"/>
          </w:tcPr>
          <w:p>
            <w:pPr>
              <w:pStyle w:val="TableParagraph"/>
              <w:spacing w:before="132"/>
              <w:ind w:right="47"/>
              <w:rPr>
                <w:sz w:val="15"/>
              </w:rPr>
            </w:pPr>
            <w:r>
              <w:rPr>
                <w:w w:val="95"/>
                <w:sz w:val="15"/>
              </w:rPr>
              <w:t>Integration</w:t>
            </w:r>
            <w:r>
              <w:rPr>
                <w:spacing w:val="76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points</w:t>
            </w:r>
          </w:p>
        </w:tc>
        <w:tc>
          <w:tcPr>
            <w:tcW w:w="277" w:type="dxa"/>
          </w:tcPr>
          <w:p>
            <w:pPr>
              <w:pStyle w:val="TableParagraph"/>
              <w:spacing w:before="132"/>
              <w:ind w:left="48"/>
              <w:jc w:val="left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31" w:type="dxa"/>
          </w:tcPr>
          <w:p>
            <w:pPr>
              <w:pStyle w:val="TableParagraph"/>
              <w:spacing w:before="132"/>
              <w:ind w:right="48"/>
              <w:rPr>
                <w:sz w:val="15"/>
              </w:rPr>
            </w:pPr>
            <w:r>
              <w:rPr>
                <w:w w:val="96"/>
                <w:sz w:val="15"/>
              </w:rPr>
              <w:t>7</w:t>
            </w:r>
          </w:p>
        </w:tc>
      </w:tr>
      <w:tr>
        <w:trPr>
          <w:trHeight w:val="326" w:hRule="atLeast"/>
        </w:trPr>
        <w:tc>
          <w:tcPr>
            <w:tcW w:w="378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before="132"/>
              <w:ind w:left="693"/>
              <w:jc w:val="left"/>
              <w:rPr>
                <w:sz w:val="15"/>
              </w:rPr>
            </w:pPr>
            <w:r>
              <w:rPr>
                <w:sz w:val="15"/>
              </w:rPr>
              <w:t>Wald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chi2(33)</w:t>
            </w:r>
          </w:p>
        </w:tc>
        <w:tc>
          <w:tcPr>
            <w:tcW w:w="277" w:type="dxa"/>
          </w:tcPr>
          <w:p>
            <w:pPr>
              <w:pStyle w:val="TableParagraph"/>
              <w:spacing w:before="132"/>
              <w:ind w:left="48"/>
              <w:jc w:val="left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31" w:type="dxa"/>
          </w:tcPr>
          <w:p>
            <w:pPr>
              <w:pStyle w:val="TableParagraph"/>
              <w:spacing w:before="132"/>
              <w:ind w:right="48"/>
              <w:rPr>
                <w:sz w:val="15"/>
              </w:rPr>
            </w:pPr>
            <w:r>
              <w:rPr>
                <w:sz w:val="15"/>
              </w:rPr>
              <w:t>1825.41</w:t>
            </w:r>
          </w:p>
        </w:tc>
      </w:tr>
      <w:tr>
        <w:trPr>
          <w:trHeight w:val="193" w:hRule="atLeast"/>
        </w:trPr>
        <w:tc>
          <w:tcPr>
            <w:tcW w:w="3782" w:type="dxa"/>
          </w:tcPr>
          <w:p>
            <w:pPr>
              <w:pStyle w:val="TableParagraph"/>
              <w:spacing w:line="150" w:lineRule="exact" w:before="24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Log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likelihood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09"/>
                <w:sz w:val="15"/>
              </w:rPr>
              <w:t> </w:t>
            </w:r>
            <w:r>
              <w:rPr>
                <w:sz w:val="15"/>
              </w:rPr>
              <w:t>-3538.153</w:t>
            </w:r>
          </w:p>
        </w:tc>
        <w:tc>
          <w:tcPr>
            <w:tcW w:w="2397" w:type="dxa"/>
          </w:tcPr>
          <w:p>
            <w:pPr>
              <w:pStyle w:val="TableParagraph"/>
              <w:spacing w:line="150" w:lineRule="exact" w:before="24"/>
              <w:ind w:left="693"/>
              <w:jc w:val="left"/>
              <w:rPr>
                <w:sz w:val="15"/>
              </w:rPr>
            </w:pPr>
            <w:r>
              <w:rPr>
                <w:sz w:val="15"/>
              </w:rPr>
              <w:t>Prob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&gt;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chi2</w:t>
            </w:r>
          </w:p>
        </w:tc>
        <w:tc>
          <w:tcPr>
            <w:tcW w:w="277" w:type="dxa"/>
          </w:tcPr>
          <w:p>
            <w:pPr>
              <w:pStyle w:val="TableParagraph"/>
              <w:spacing w:line="150" w:lineRule="exact" w:before="24"/>
              <w:ind w:left="48"/>
              <w:jc w:val="left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31" w:type="dxa"/>
          </w:tcPr>
          <w:p>
            <w:pPr>
              <w:pStyle w:val="TableParagraph"/>
              <w:spacing w:line="150" w:lineRule="exact" w:before="24"/>
              <w:ind w:right="48"/>
              <w:rPr>
                <w:sz w:val="15"/>
              </w:rPr>
            </w:pPr>
            <w:r>
              <w:rPr>
                <w:sz w:val="15"/>
              </w:rPr>
              <w:t>0.0000</w:t>
            </w:r>
          </w:p>
        </w:tc>
      </w:tr>
    </w:tbl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166" w:type="dxa"/>
        <w:tblBorders>
          <w:top w:val="dashSmallGap" w:sz="6" w:space="0" w:color="000000"/>
          <w:left w:val="dashSmallGap" w:sz="6" w:space="0" w:color="000000"/>
          <w:bottom w:val="dashSmallGap" w:sz="6" w:space="0" w:color="000000"/>
          <w:right w:val="dashSmallGap" w:sz="6" w:space="0" w:color="000000"/>
          <w:insideH w:val="dashSmallGap" w:sz="6" w:space="0" w:color="000000"/>
          <w:insideV w:val="dashSmallGap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6"/>
        <w:gridCol w:w="1196"/>
        <w:gridCol w:w="1060"/>
        <w:gridCol w:w="783"/>
        <w:gridCol w:w="783"/>
        <w:gridCol w:w="1244"/>
        <w:gridCol w:w="871"/>
      </w:tblGrid>
      <w:tr>
        <w:trPr>
          <w:trHeight w:val="420" w:hRule="atLeast"/>
        </w:trPr>
        <w:tc>
          <w:tcPr>
            <w:tcW w:w="3266" w:type="dxa"/>
            <w:tcBorders>
              <w:left w:val="nil"/>
              <w:right w:val="dashed" w:sz="6" w:space="0" w:color="000000"/>
            </w:tcBorders>
          </w:tcPr>
          <w:p>
            <w:pPr>
              <w:pStyle w:val="TableParagraph"/>
              <w:spacing w:before="133"/>
              <w:ind w:right="126"/>
              <w:rPr>
                <w:sz w:val="15"/>
              </w:rPr>
            </w:pPr>
            <w:r>
              <w:rPr>
                <w:sz w:val="15"/>
              </w:rPr>
              <w:t>illness</w:t>
            </w:r>
          </w:p>
        </w:tc>
        <w:tc>
          <w:tcPr>
            <w:tcW w:w="1196" w:type="dxa"/>
            <w:tcBorders>
              <w:left w:val="dashed" w:sz="6" w:space="0" w:color="000000"/>
              <w:right w:val="nil"/>
            </w:tcBorders>
          </w:tcPr>
          <w:p>
            <w:pPr>
              <w:pStyle w:val="TableParagraph"/>
              <w:spacing w:before="133"/>
              <w:ind w:right="131"/>
              <w:rPr>
                <w:sz w:val="15"/>
              </w:rPr>
            </w:pPr>
            <w:r>
              <w:rPr>
                <w:sz w:val="15"/>
              </w:rPr>
              <w:t>Coef.</w:t>
            </w:r>
          </w:p>
        </w:tc>
        <w:tc>
          <w:tcPr>
            <w:tcW w:w="106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3"/>
              <w:ind w:left="130" w:right="69"/>
              <w:jc w:val="center"/>
              <w:rPr>
                <w:sz w:val="15"/>
              </w:rPr>
            </w:pPr>
            <w:r>
              <w:rPr>
                <w:sz w:val="15"/>
              </w:rPr>
              <w:t>Std.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Err.</w:t>
            </w:r>
          </w:p>
        </w:tc>
        <w:tc>
          <w:tcPr>
            <w:tcW w:w="78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3"/>
              <w:ind w:left="471"/>
              <w:jc w:val="left"/>
              <w:rPr>
                <w:sz w:val="15"/>
              </w:rPr>
            </w:pPr>
            <w:r>
              <w:rPr>
                <w:w w:val="96"/>
                <w:sz w:val="15"/>
              </w:rPr>
              <w:t>z</w:t>
            </w:r>
          </w:p>
        </w:tc>
        <w:tc>
          <w:tcPr>
            <w:tcW w:w="78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3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P&gt;|z|</w:t>
            </w:r>
          </w:p>
        </w:tc>
        <w:tc>
          <w:tcPr>
            <w:tcW w:w="12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3"/>
              <w:ind w:left="288"/>
              <w:jc w:val="left"/>
              <w:rPr>
                <w:sz w:val="15"/>
              </w:rPr>
            </w:pPr>
            <w:r>
              <w:rPr>
                <w:sz w:val="15"/>
              </w:rPr>
              <w:t>[95%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Conf.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3"/>
              <w:ind w:left="58" w:right="-1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Interval]</w:t>
            </w:r>
          </w:p>
        </w:tc>
      </w:tr>
      <w:tr>
        <w:trPr>
          <w:trHeight w:val="7605" w:hRule="atLeast"/>
        </w:trPr>
        <w:tc>
          <w:tcPr>
            <w:tcW w:w="3266" w:type="dxa"/>
            <w:tcBorders>
              <w:left w:val="nil"/>
              <w:right w:val="dashed" w:sz="6" w:space="0" w:color="000000"/>
            </w:tcBorders>
          </w:tcPr>
          <w:p>
            <w:pPr>
              <w:pStyle w:val="TableParagraph"/>
              <w:spacing w:line="307" w:lineRule="auto" w:before="133"/>
              <w:ind w:left="1752" w:right="126" w:firstLine="460"/>
              <w:rPr>
                <w:sz w:val="15"/>
              </w:rPr>
            </w:pPr>
            <w:r>
              <w:rPr>
                <w:w w:val="95"/>
                <w:sz w:val="15"/>
              </w:rPr>
              <w:t>familysize</w:t>
            </w:r>
            <w:r>
              <w:rPr>
                <w:spacing w:val="-83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hungerandnofood</w:t>
            </w:r>
          </w:p>
          <w:p>
            <w:pPr>
              <w:pStyle w:val="TableParagraph"/>
              <w:spacing w:line="307" w:lineRule="auto"/>
              <w:ind w:left="922" w:right="126" w:firstLine="1843"/>
              <w:rPr>
                <w:sz w:val="15"/>
              </w:rPr>
            </w:pPr>
            <w:r>
              <w:rPr>
                <w:w w:val="95"/>
                <w:sz w:val="15"/>
              </w:rPr>
              <w:t>gari</w:t>
            </w:r>
            <w:r>
              <w:rPr>
                <w:spacing w:val="-83"/>
                <w:w w:val="95"/>
                <w:sz w:val="15"/>
              </w:rPr>
              <w:t> </w:t>
            </w:r>
            <w:r>
              <w:rPr>
                <w:sz w:val="15"/>
              </w:rPr>
              <w:t>             rice</w:t>
            </w:r>
            <w:r>
              <w:rPr>
                <w:spacing w:val="1"/>
                <w:sz w:val="15"/>
              </w:rPr>
              <w:t> </w:t>
            </w:r>
            <w:r>
              <w:rPr>
                <w:w w:val="95"/>
                <w:sz w:val="15"/>
              </w:rPr>
              <w:t>yamorcassavaormaizeflour</w:t>
            </w:r>
          </w:p>
          <w:p>
            <w:pPr>
              <w:pStyle w:val="TableParagraph"/>
              <w:spacing w:line="307" w:lineRule="auto" w:before="1"/>
              <w:ind w:left="1199" w:right="126" w:firstLine="1475"/>
              <w:rPr>
                <w:sz w:val="15"/>
              </w:rPr>
            </w:pPr>
            <w:r>
              <w:rPr>
                <w:w w:val="95"/>
                <w:sz w:val="15"/>
              </w:rPr>
              <w:t>beans</w:t>
            </w:r>
            <w:r>
              <w:rPr>
                <w:spacing w:val="-83"/>
                <w:w w:val="95"/>
                <w:sz w:val="15"/>
              </w:rPr>
              <w:t> </w:t>
            </w:r>
            <w:r>
              <w:rPr>
                <w:sz w:val="15"/>
              </w:rPr>
              <w:t>meatorfish</w:t>
            </w:r>
            <w:r>
              <w:rPr>
                <w:spacing w:val="1"/>
                <w:sz w:val="15"/>
              </w:rPr>
              <w:t> </w:t>
            </w:r>
            <w:r>
              <w:rPr>
                <w:w w:val="95"/>
                <w:sz w:val="15"/>
              </w:rPr>
              <w:t>mosquitonetpossession</w:t>
            </w:r>
            <w:r>
              <w:rPr>
                <w:spacing w:val="1"/>
                <w:w w:val="95"/>
                <w:sz w:val="15"/>
              </w:rPr>
              <w:t> </w:t>
            </w:r>
            <w:r>
              <w:rPr>
                <w:sz w:val="15"/>
              </w:rPr>
              <w:t>primaryeducation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secondarycertificate</w:t>
            </w:r>
          </w:p>
          <w:p>
            <w:pPr>
              <w:pStyle w:val="TableParagraph"/>
              <w:spacing w:line="307" w:lineRule="auto" w:before="1"/>
              <w:ind w:left="1291" w:right="126" w:firstLine="737"/>
              <w:rPr>
                <w:sz w:val="15"/>
              </w:rPr>
            </w:pPr>
            <w:r>
              <w:rPr>
                <w:w w:val="95"/>
                <w:sz w:val="15"/>
              </w:rPr>
              <w:t>higherdegree</w:t>
            </w:r>
            <w:r>
              <w:rPr>
                <w:spacing w:val="-83"/>
                <w:w w:val="95"/>
                <w:sz w:val="15"/>
              </w:rPr>
              <w:t> </w:t>
            </w:r>
            <w:r>
              <w:rPr>
                <w:sz w:val="15"/>
              </w:rPr>
              <w:t>nobasiceducation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hadelectricity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noelectricity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pipebornewater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boreholeandwell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riverandspring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noaccesstowater</w:t>
            </w:r>
            <w:r>
              <w:rPr>
                <w:spacing w:val="1"/>
                <w:sz w:val="15"/>
              </w:rPr>
              <w:t> </w:t>
            </w:r>
            <w:r>
              <w:rPr>
                <w:w w:val="95"/>
                <w:sz w:val="15"/>
              </w:rPr>
              <w:t>waterormodernlatrine</w:t>
            </w:r>
          </w:p>
          <w:p>
            <w:pPr>
              <w:pStyle w:val="TableParagraph"/>
              <w:spacing w:line="307" w:lineRule="auto" w:before="2"/>
              <w:ind w:left="1014" w:right="126" w:firstLine="1014"/>
              <w:rPr>
                <w:sz w:val="15"/>
              </w:rPr>
            </w:pPr>
            <w:r>
              <w:rPr>
                <w:w w:val="95"/>
                <w:sz w:val="15"/>
              </w:rPr>
              <w:t>pitorlatrine</w:t>
            </w:r>
            <w:r>
              <w:rPr>
                <w:spacing w:val="-83"/>
                <w:w w:val="95"/>
                <w:sz w:val="15"/>
              </w:rPr>
              <w:t> </w:t>
            </w:r>
            <w:r>
              <w:rPr>
                <w:sz w:val="15"/>
              </w:rPr>
              <w:t>notoiletfacility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alcoholicdrinks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selfmedication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seekingmedicalcare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otherhealthcare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wagesandsalaries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entreprisesandbusiness</w:t>
            </w:r>
            <w:r>
              <w:rPr>
                <w:spacing w:val="1"/>
                <w:sz w:val="15"/>
              </w:rPr>
              <w:t> </w:t>
            </w:r>
            <w:r>
              <w:rPr>
                <w:w w:val="95"/>
                <w:sz w:val="15"/>
              </w:rPr>
              <w:t>farmingcropandlivestock</w:t>
            </w:r>
          </w:p>
          <w:p>
            <w:pPr>
              <w:pStyle w:val="TableParagraph"/>
              <w:spacing w:line="307" w:lineRule="auto" w:before="2"/>
              <w:ind w:left="277" w:right="126" w:firstLine="1844"/>
              <w:rPr>
                <w:sz w:val="15"/>
              </w:rPr>
            </w:pPr>
            <w:r>
              <w:rPr>
                <w:w w:val="95"/>
                <w:sz w:val="15"/>
              </w:rPr>
              <w:t>remittances</w:t>
            </w:r>
            <w:r>
              <w:rPr>
                <w:spacing w:val="-83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monetaryandconditionaltransfers</w:t>
            </w:r>
          </w:p>
          <w:p>
            <w:pPr>
              <w:pStyle w:val="TableParagraph"/>
              <w:spacing w:line="307" w:lineRule="auto" w:before="1"/>
              <w:ind w:left="185" w:right="126" w:firstLine="1383"/>
              <w:jc w:val="both"/>
              <w:rPr>
                <w:sz w:val="15"/>
              </w:rPr>
            </w:pPr>
            <w:r>
              <w:rPr>
                <w:w w:val="95"/>
                <w:sz w:val="15"/>
              </w:rPr>
              <w:t>pensionsandgrants</w:t>
            </w:r>
            <w:r>
              <w:rPr>
                <w:spacing w:val="1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dividendandinterestfrominvestmen</w:t>
            </w:r>
            <w:r>
              <w:rPr>
                <w:spacing w:val="1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incomesfromlandandpropertiesowne</w:t>
            </w:r>
          </w:p>
          <w:p>
            <w:pPr>
              <w:pStyle w:val="TableParagraph"/>
              <w:ind w:right="126"/>
              <w:rPr>
                <w:sz w:val="15"/>
              </w:rPr>
            </w:pPr>
            <w:r>
              <w:rPr>
                <w:sz w:val="15"/>
              </w:rPr>
              <w:t>_cons</w:t>
            </w:r>
          </w:p>
        </w:tc>
        <w:tc>
          <w:tcPr>
            <w:tcW w:w="1196" w:type="dxa"/>
            <w:tcBorders>
              <w:left w:val="dashed" w:sz="6" w:space="0" w:color="000000"/>
              <w:right w:val="nil"/>
            </w:tcBorders>
          </w:tcPr>
          <w:p>
            <w:pPr>
              <w:pStyle w:val="TableParagraph"/>
              <w:spacing w:before="133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.0053334</w:t>
            </w:r>
          </w:p>
          <w:p>
            <w:pPr>
              <w:pStyle w:val="TableParagraph"/>
              <w:spacing w:before="48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.0647556</w:t>
            </w:r>
          </w:p>
          <w:p>
            <w:pPr>
              <w:pStyle w:val="TableParagraph"/>
              <w:spacing w:before="47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-.3401484</w:t>
            </w:r>
          </w:p>
          <w:p>
            <w:pPr>
              <w:pStyle w:val="TableParagraph"/>
              <w:spacing w:before="48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-.6787604</w:t>
            </w:r>
          </w:p>
          <w:p>
            <w:pPr>
              <w:pStyle w:val="TableParagraph"/>
              <w:spacing w:before="48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-2.557521</w:t>
            </w:r>
          </w:p>
          <w:p>
            <w:pPr>
              <w:pStyle w:val="TableParagraph"/>
              <w:spacing w:before="48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-.5463935</w:t>
            </w:r>
          </w:p>
          <w:p>
            <w:pPr>
              <w:pStyle w:val="TableParagraph"/>
              <w:spacing w:before="48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.0000978</w:t>
            </w:r>
          </w:p>
          <w:p>
            <w:pPr>
              <w:pStyle w:val="TableParagraph"/>
              <w:spacing w:before="47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-.1510735</w:t>
            </w:r>
          </w:p>
          <w:p>
            <w:pPr>
              <w:pStyle w:val="TableParagraph"/>
              <w:spacing w:before="48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-.0467961</w:t>
            </w:r>
          </w:p>
          <w:p>
            <w:pPr>
              <w:pStyle w:val="TableParagraph"/>
              <w:spacing w:before="48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.0130765</w:t>
            </w:r>
          </w:p>
          <w:p>
            <w:pPr>
              <w:pStyle w:val="TableParagraph"/>
              <w:spacing w:before="48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.0267672</w:t>
            </w:r>
          </w:p>
          <w:p>
            <w:pPr>
              <w:pStyle w:val="TableParagraph"/>
              <w:spacing w:before="48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.3435598</w:t>
            </w:r>
          </w:p>
          <w:p>
            <w:pPr>
              <w:pStyle w:val="TableParagraph"/>
              <w:spacing w:before="47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-.6387701</w:t>
            </w:r>
          </w:p>
          <w:p>
            <w:pPr>
              <w:pStyle w:val="TableParagraph"/>
              <w:spacing w:before="48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.0080886</w:t>
            </w:r>
          </w:p>
          <w:p>
            <w:pPr>
              <w:pStyle w:val="TableParagraph"/>
              <w:spacing w:before="48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-.4397192</w:t>
            </w:r>
          </w:p>
          <w:p>
            <w:pPr>
              <w:pStyle w:val="TableParagraph"/>
              <w:spacing w:before="48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.2303016</w:t>
            </w:r>
          </w:p>
          <w:p>
            <w:pPr>
              <w:pStyle w:val="TableParagraph"/>
              <w:spacing w:before="48"/>
              <w:ind w:left="415"/>
              <w:jc w:val="left"/>
              <w:rPr>
                <w:sz w:val="15"/>
              </w:rPr>
            </w:pPr>
            <w:r>
              <w:rPr>
                <w:sz w:val="15"/>
              </w:rPr>
              <w:t>.224918</w:t>
            </w:r>
          </w:p>
          <w:p>
            <w:pPr>
              <w:pStyle w:val="TableParagraph"/>
              <w:spacing w:before="48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-.5432824</w:t>
            </w:r>
          </w:p>
          <w:p>
            <w:pPr>
              <w:pStyle w:val="TableParagraph"/>
              <w:spacing w:before="47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-.1211017</w:t>
            </w:r>
          </w:p>
          <w:p>
            <w:pPr>
              <w:pStyle w:val="TableParagraph"/>
              <w:spacing w:before="48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.3746184</w:t>
            </w:r>
          </w:p>
          <w:p>
            <w:pPr>
              <w:pStyle w:val="TableParagraph"/>
              <w:spacing w:before="48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.3170022</w:t>
            </w:r>
          </w:p>
          <w:p>
            <w:pPr>
              <w:pStyle w:val="TableParagraph"/>
              <w:spacing w:before="48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.1160752</w:t>
            </w:r>
          </w:p>
          <w:p>
            <w:pPr>
              <w:pStyle w:val="TableParagraph"/>
              <w:spacing w:before="48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.0429365</w:t>
            </w:r>
          </w:p>
          <w:p>
            <w:pPr>
              <w:pStyle w:val="TableParagraph"/>
              <w:spacing w:before="48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-.1519157</w:t>
            </w:r>
          </w:p>
          <w:p>
            <w:pPr>
              <w:pStyle w:val="TableParagraph"/>
              <w:spacing w:before="47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.0119018</w:t>
            </w:r>
          </w:p>
          <w:p>
            <w:pPr>
              <w:pStyle w:val="TableParagraph"/>
              <w:spacing w:before="48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.2192181</w:t>
            </w:r>
          </w:p>
          <w:p>
            <w:pPr>
              <w:pStyle w:val="TableParagraph"/>
              <w:spacing w:before="48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-.1171411</w:t>
            </w:r>
          </w:p>
          <w:p>
            <w:pPr>
              <w:pStyle w:val="TableParagraph"/>
              <w:spacing w:before="48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-.4165984</w:t>
            </w:r>
          </w:p>
          <w:p>
            <w:pPr>
              <w:pStyle w:val="TableParagraph"/>
              <w:spacing w:before="48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-.3162549</w:t>
            </w:r>
          </w:p>
          <w:p>
            <w:pPr>
              <w:pStyle w:val="TableParagraph"/>
              <w:spacing w:before="47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.5738707</w:t>
            </w:r>
          </w:p>
          <w:p>
            <w:pPr>
              <w:pStyle w:val="TableParagraph"/>
              <w:spacing w:before="48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-.0481125</w:t>
            </w:r>
          </w:p>
          <w:p>
            <w:pPr>
              <w:pStyle w:val="TableParagraph"/>
              <w:spacing w:before="48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.6908956</w:t>
            </w:r>
          </w:p>
          <w:p>
            <w:pPr>
              <w:pStyle w:val="TableParagraph"/>
              <w:spacing w:before="48"/>
              <w:ind w:left="230"/>
              <w:jc w:val="left"/>
              <w:rPr>
                <w:sz w:val="15"/>
              </w:rPr>
            </w:pPr>
            <w:r>
              <w:rPr>
                <w:sz w:val="15"/>
              </w:rPr>
              <w:t>-.1488928</w:t>
            </w:r>
          </w:p>
          <w:p>
            <w:pPr>
              <w:pStyle w:val="TableParagraph"/>
              <w:spacing w:before="47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3.947843</w:t>
            </w:r>
          </w:p>
        </w:tc>
        <w:tc>
          <w:tcPr>
            <w:tcW w:w="106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3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.0167321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.0541601</w:t>
            </w:r>
          </w:p>
          <w:p>
            <w:pPr>
              <w:pStyle w:val="TableParagraph"/>
              <w:spacing w:before="47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.1414931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.0738895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.0738177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.1246564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.0009682</w:t>
            </w:r>
          </w:p>
          <w:p>
            <w:pPr>
              <w:pStyle w:val="TableParagraph"/>
              <w:spacing w:before="47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.1553396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.1087196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.0193761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.0469385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.0948245</w:t>
            </w:r>
          </w:p>
          <w:p>
            <w:pPr>
              <w:pStyle w:val="TableParagraph"/>
              <w:spacing w:before="47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.2533803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.0130277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.1402028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.1204808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.1218864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.3802283</w:t>
            </w:r>
          </w:p>
          <w:p>
            <w:pPr>
              <w:pStyle w:val="TableParagraph"/>
              <w:spacing w:before="47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.0703289</w:t>
            </w:r>
          </w:p>
          <w:p>
            <w:pPr>
              <w:pStyle w:val="TableParagraph"/>
              <w:spacing w:before="48"/>
              <w:ind w:left="240"/>
              <w:jc w:val="left"/>
              <w:rPr>
                <w:sz w:val="15"/>
              </w:rPr>
            </w:pPr>
            <w:r>
              <w:rPr>
                <w:sz w:val="15"/>
              </w:rPr>
              <w:t>.166221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.1518474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.0791926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.0894318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.1085701</w:t>
            </w:r>
          </w:p>
          <w:p>
            <w:pPr>
              <w:pStyle w:val="TableParagraph"/>
              <w:spacing w:before="47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.0182448</w:t>
            </w:r>
          </w:p>
          <w:p>
            <w:pPr>
              <w:pStyle w:val="TableParagraph"/>
              <w:spacing w:before="48"/>
              <w:ind w:left="240"/>
              <w:jc w:val="left"/>
              <w:rPr>
                <w:sz w:val="15"/>
              </w:rPr>
            </w:pPr>
            <w:r>
              <w:rPr>
                <w:sz w:val="15"/>
              </w:rPr>
              <w:t>.173918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.0923004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.3438393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.0886945</w:t>
            </w:r>
          </w:p>
          <w:p>
            <w:pPr>
              <w:pStyle w:val="TableParagraph"/>
              <w:spacing w:before="47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.3299606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.3817454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.2787747</w:t>
            </w:r>
          </w:p>
          <w:p>
            <w:pPr>
              <w:pStyle w:val="TableParagraph"/>
              <w:spacing w:before="48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.1664724</w:t>
            </w:r>
          </w:p>
          <w:p>
            <w:pPr>
              <w:pStyle w:val="TableParagraph"/>
              <w:spacing w:before="47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1.045913</w:t>
            </w:r>
          </w:p>
        </w:tc>
        <w:tc>
          <w:tcPr>
            <w:tcW w:w="78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3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0.32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1.20</w:t>
            </w:r>
          </w:p>
          <w:p>
            <w:pPr>
              <w:pStyle w:val="TableParagraph"/>
              <w:spacing w:before="47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-2.40</w:t>
            </w:r>
          </w:p>
          <w:p>
            <w:pPr>
              <w:pStyle w:val="TableParagraph"/>
              <w:spacing w:before="48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-9.19</w:t>
            </w:r>
          </w:p>
          <w:p>
            <w:pPr>
              <w:pStyle w:val="TableParagraph"/>
              <w:spacing w:before="48"/>
              <w:ind w:left="102"/>
              <w:jc w:val="left"/>
              <w:rPr>
                <w:sz w:val="15"/>
              </w:rPr>
            </w:pPr>
            <w:r>
              <w:rPr>
                <w:sz w:val="15"/>
              </w:rPr>
              <w:t>-34.65</w:t>
            </w:r>
          </w:p>
          <w:p>
            <w:pPr>
              <w:pStyle w:val="TableParagraph"/>
              <w:spacing w:before="48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-4.38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0.10</w:t>
            </w:r>
          </w:p>
          <w:p>
            <w:pPr>
              <w:pStyle w:val="TableParagraph"/>
              <w:spacing w:before="47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-0.97</w:t>
            </w:r>
          </w:p>
          <w:p>
            <w:pPr>
              <w:pStyle w:val="TableParagraph"/>
              <w:spacing w:before="48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-0.43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0.67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0.57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3.62</w:t>
            </w:r>
          </w:p>
          <w:p>
            <w:pPr>
              <w:pStyle w:val="TableParagraph"/>
              <w:spacing w:before="47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-2.52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0.62</w:t>
            </w:r>
          </w:p>
          <w:p>
            <w:pPr>
              <w:pStyle w:val="TableParagraph"/>
              <w:spacing w:before="48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-3.14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1.91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1.85</w:t>
            </w:r>
          </w:p>
          <w:p>
            <w:pPr>
              <w:pStyle w:val="TableParagraph"/>
              <w:spacing w:before="48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-1.43</w:t>
            </w:r>
          </w:p>
          <w:p>
            <w:pPr>
              <w:pStyle w:val="TableParagraph"/>
              <w:spacing w:before="47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-1.72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2.25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2.09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1.47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0.48</w:t>
            </w:r>
          </w:p>
          <w:p>
            <w:pPr>
              <w:pStyle w:val="TableParagraph"/>
              <w:spacing w:before="48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-1.40</w:t>
            </w:r>
          </w:p>
          <w:p>
            <w:pPr>
              <w:pStyle w:val="TableParagraph"/>
              <w:spacing w:before="47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0.65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1.26</w:t>
            </w:r>
          </w:p>
          <w:p>
            <w:pPr>
              <w:pStyle w:val="TableParagraph"/>
              <w:spacing w:before="48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-1.27</w:t>
            </w:r>
          </w:p>
          <w:p>
            <w:pPr>
              <w:pStyle w:val="TableParagraph"/>
              <w:spacing w:before="48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-1.21</w:t>
            </w:r>
          </w:p>
          <w:p>
            <w:pPr>
              <w:pStyle w:val="TableParagraph"/>
              <w:spacing w:before="48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-3.57</w:t>
            </w:r>
          </w:p>
          <w:p>
            <w:pPr>
              <w:pStyle w:val="TableParagraph"/>
              <w:spacing w:before="47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1.74</w:t>
            </w:r>
          </w:p>
          <w:p>
            <w:pPr>
              <w:pStyle w:val="TableParagraph"/>
              <w:spacing w:before="48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-0.13</w:t>
            </w:r>
          </w:p>
          <w:p>
            <w:pPr>
              <w:pStyle w:val="TableParagraph"/>
              <w:spacing w:before="48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2.48</w:t>
            </w:r>
          </w:p>
          <w:p>
            <w:pPr>
              <w:pStyle w:val="TableParagraph"/>
              <w:spacing w:before="48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-0.89</w:t>
            </w:r>
          </w:p>
          <w:p>
            <w:pPr>
              <w:pStyle w:val="TableParagraph"/>
              <w:spacing w:before="47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3.77</w:t>
            </w:r>
          </w:p>
        </w:tc>
        <w:tc>
          <w:tcPr>
            <w:tcW w:w="78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3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0.750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0.232</w:t>
            </w:r>
          </w:p>
          <w:p>
            <w:pPr>
              <w:pStyle w:val="TableParagraph"/>
              <w:spacing w:before="4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0.016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0.920</w:t>
            </w:r>
          </w:p>
          <w:p>
            <w:pPr>
              <w:pStyle w:val="TableParagraph"/>
              <w:spacing w:before="4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0.331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0.667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0.500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0.568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4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0.012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0.535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0.002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0.056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0.065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0.153</w:t>
            </w:r>
          </w:p>
          <w:p>
            <w:pPr>
              <w:pStyle w:val="TableParagraph"/>
              <w:spacing w:before="4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0.085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0.024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0.037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0.143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0.631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0.162</w:t>
            </w:r>
          </w:p>
          <w:p>
            <w:pPr>
              <w:pStyle w:val="TableParagraph"/>
              <w:spacing w:before="4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0.514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0.208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0.204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0.226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4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0.082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0.900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0.013</w:t>
            </w:r>
          </w:p>
          <w:p>
            <w:pPr>
              <w:pStyle w:val="TableParagraph"/>
              <w:spacing w:before="48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0.371</w:t>
            </w:r>
          </w:p>
          <w:p>
            <w:pPr>
              <w:pStyle w:val="TableParagraph"/>
              <w:spacing w:before="4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</w:tc>
        <w:tc>
          <w:tcPr>
            <w:tcW w:w="12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3"/>
              <w:ind w:right="221"/>
              <w:rPr>
                <w:sz w:val="15"/>
              </w:rPr>
            </w:pPr>
            <w:r>
              <w:rPr>
                <w:sz w:val="15"/>
              </w:rPr>
              <w:t>-.0274608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-.0413963</w:t>
            </w:r>
          </w:p>
          <w:p>
            <w:pPr>
              <w:pStyle w:val="TableParagraph"/>
              <w:spacing w:before="47"/>
              <w:ind w:right="221"/>
              <w:rPr>
                <w:sz w:val="15"/>
              </w:rPr>
            </w:pPr>
            <w:r>
              <w:rPr>
                <w:sz w:val="15"/>
              </w:rPr>
              <w:t>-.6174698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-.8235811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-2.702201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-.7907154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-.0017999</w:t>
            </w:r>
          </w:p>
          <w:p>
            <w:pPr>
              <w:pStyle w:val="TableParagraph"/>
              <w:spacing w:before="47"/>
              <w:ind w:right="221"/>
              <w:rPr>
                <w:sz w:val="15"/>
              </w:rPr>
            </w:pPr>
            <w:r>
              <w:rPr>
                <w:sz w:val="15"/>
              </w:rPr>
              <w:t>-.4555334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-.2598827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-.0249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-.0652305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.1577072</w:t>
            </w:r>
          </w:p>
          <w:p>
            <w:pPr>
              <w:pStyle w:val="TableParagraph"/>
              <w:spacing w:before="47"/>
              <w:ind w:right="221"/>
              <w:rPr>
                <w:sz w:val="15"/>
              </w:rPr>
            </w:pPr>
            <w:r>
              <w:rPr>
                <w:sz w:val="15"/>
              </w:rPr>
              <w:t>-1.135386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-.0174452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-.7145116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-.0058364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-.0139749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-1.288516</w:t>
            </w:r>
          </w:p>
          <w:p>
            <w:pPr>
              <w:pStyle w:val="TableParagraph"/>
              <w:spacing w:before="47"/>
              <w:ind w:right="221"/>
              <w:rPr>
                <w:sz w:val="15"/>
              </w:rPr>
            </w:pPr>
            <w:r>
              <w:rPr>
                <w:sz w:val="15"/>
              </w:rPr>
              <w:t>-.2589439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.0488313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.0193869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-.0391394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-.1323466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-.3647093</w:t>
            </w:r>
          </w:p>
          <w:p>
            <w:pPr>
              <w:pStyle w:val="TableParagraph"/>
              <w:spacing w:before="47"/>
              <w:ind w:right="221"/>
              <w:rPr>
                <w:sz w:val="15"/>
              </w:rPr>
            </w:pPr>
            <w:r>
              <w:rPr>
                <w:sz w:val="15"/>
              </w:rPr>
              <w:t>-.0238573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-.1216548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-.2980466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-1.090511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-.490093</w:t>
            </w:r>
          </w:p>
          <w:p>
            <w:pPr>
              <w:pStyle w:val="TableParagraph"/>
              <w:spacing w:before="47"/>
              <w:ind w:right="221"/>
              <w:rPr>
                <w:sz w:val="15"/>
              </w:rPr>
            </w:pPr>
            <w:r>
              <w:rPr>
                <w:sz w:val="15"/>
              </w:rPr>
              <w:t>-.0728401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-.7963198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.1445071</w:t>
            </w:r>
          </w:p>
          <w:p>
            <w:pPr>
              <w:pStyle w:val="TableParagraph"/>
              <w:spacing w:before="48"/>
              <w:ind w:right="221"/>
              <w:rPr>
                <w:sz w:val="15"/>
              </w:rPr>
            </w:pPr>
            <w:r>
              <w:rPr>
                <w:sz w:val="15"/>
              </w:rPr>
              <w:t>-.4751726</w:t>
            </w:r>
          </w:p>
          <w:p>
            <w:pPr>
              <w:pStyle w:val="TableParagraph"/>
              <w:spacing w:before="47"/>
              <w:ind w:right="221"/>
              <w:rPr>
                <w:sz w:val="15"/>
              </w:rPr>
            </w:pPr>
            <w:r>
              <w:rPr>
                <w:sz w:val="15"/>
              </w:rPr>
              <w:t>1.897892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3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.0381277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.1709075</w:t>
            </w:r>
          </w:p>
          <w:p>
            <w:pPr>
              <w:pStyle w:val="TableParagraph"/>
              <w:spacing w:before="47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-.062827</w:t>
            </w:r>
          </w:p>
          <w:p>
            <w:pPr>
              <w:pStyle w:val="TableParagraph"/>
              <w:spacing w:before="48"/>
              <w:ind w:left="58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-.5339397</w:t>
            </w:r>
          </w:p>
          <w:p>
            <w:pPr>
              <w:pStyle w:val="TableParagraph"/>
              <w:spacing w:before="48"/>
              <w:ind w:left="58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-2.412841</w:t>
            </w:r>
          </w:p>
          <w:p>
            <w:pPr>
              <w:pStyle w:val="TableParagraph"/>
              <w:spacing w:before="48"/>
              <w:ind w:left="58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-.3020715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.0019955</w:t>
            </w:r>
          </w:p>
          <w:p>
            <w:pPr>
              <w:pStyle w:val="TableParagraph"/>
              <w:spacing w:before="47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.1533864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.1662904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.0510529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.1187649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.5294124</w:t>
            </w:r>
          </w:p>
          <w:p>
            <w:pPr>
              <w:pStyle w:val="TableParagraph"/>
              <w:spacing w:before="47"/>
              <w:ind w:left="58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-.1421539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.0336224</w:t>
            </w:r>
          </w:p>
          <w:p>
            <w:pPr>
              <w:pStyle w:val="TableParagraph"/>
              <w:spacing w:before="48"/>
              <w:ind w:left="58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-.1649269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.4664396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.4638109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.2019514</w:t>
            </w:r>
          </w:p>
          <w:p>
            <w:pPr>
              <w:pStyle w:val="TableParagraph"/>
              <w:spacing w:before="47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.0167405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.7004054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.6146176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.2712899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.2182196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.0608779</w:t>
            </w:r>
          </w:p>
          <w:p>
            <w:pPr>
              <w:pStyle w:val="TableParagraph"/>
              <w:spacing w:before="47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.0476609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.5600911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.0637644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.2573142</w:t>
            </w:r>
          </w:p>
          <w:p>
            <w:pPr>
              <w:pStyle w:val="TableParagraph"/>
              <w:spacing w:before="48"/>
              <w:ind w:left="58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-.1424168</w:t>
            </w:r>
          </w:p>
          <w:p>
            <w:pPr>
              <w:pStyle w:val="TableParagraph"/>
              <w:spacing w:before="47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1.220582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.7000948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1.237284</w:t>
            </w:r>
          </w:p>
          <w:p>
            <w:pPr>
              <w:pStyle w:val="TableParagraph"/>
              <w:spacing w:before="48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.1773871</w:t>
            </w:r>
          </w:p>
          <w:p>
            <w:pPr>
              <w:pStyle w:val="TableParagraph"/>
              <w:spacing w:before="47"/>
              <w:ind w:left="150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5.997795</w:t>
            </w:r>
          </w:p>
        </w:tc>
      </w:tr>
      <w:tr>
        <w:trPr>
          <w:trHeight w:val="638" w:hRule="atLeast"/>
        </w:trPr>
        <w:tc>
          <w:tcPr>
            <w:tcW w:w="3266" w:type="dxa"/>
            <w:tcBorders>
              <w:left w:val="nil"/>
              <w:right w:val="dashed" w:sz="6" w:space="0" w:color="000000"/>
            </w:tcBorders>
          </w:tcPr>
          <w:p>
            <w:pPr>
              <w:pStyle w:val="TableParagraph"/>
              <w:spacing w:before="133"/>
              <w:jc w:val="left"/>
              <w:rPr>
                <w:sz w:val="15"/>
              </w:rPr>
            </w:pPr>
            <w:r>
              <w:rPr>
                <w:sz w:val="15"/>
              </w:rPr>
              <w:t>state_gini</w:t>
            </w:r>
          </w:p>
          <w:p>
            <w:pPr>
              <w:pStyle w:val="TableParagraph"/>
              <w:spacing w:before="48"/>
              <w:ind w:left="2305"/>
              <w:jc w:val="left"/>
              <w:rPr>
                <w:sz w:val="15"/>
              </w:rPr>
            </w:pPr>
            <w:r>
              <w:rPr>
                <w:sz w:val="15"/>
              </w:rPr>
              <w:t>var(_cons)</w:t>
            </w:r>
          </w:p>
        </w:tc>
        <w:tc>
          <w:tcPr>
            <w:tcW w:w="1196" w:type="dxa"/>
            <w:tcBorders>
              <w:left w:val="dashed" w:sz="6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131"/>
              <w:rPr>
                <w:sz w:val="15"/>
              </w:rPr>
            </w:pPr>
            <w:r>
              <w:rPr>
                <w:sz w:val="15"/>
              </w:rPr>
              <w:t>1.691699</w:t>
            </w:r>
          </w:p>
        </w:tc>
        <w:tc>
          <w:tcPr>
            <w:tcW w:w="1060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left="41" w:right="69"/>
              <w:jc w:val="center"/>
              <w:rPr>
                <w:sz w:val="15"/>
              </w:rPr>
            </w:pPr>
            <w:r>
              <w:rPr>
                <w:sz w:val="15"/>
              </w:rPr>
              <w:t>.5013291</w:t>
            </w:r>
          </w:p>
        </w:tc>
        <w:tc>
          <w:tcPr>
            <w:tcW w:w="78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left="288"/>
              <w:jc w:val="left"/>
              <w:rPr>
                <w:sz w:val="15"/>
              </w:rPr>
            </w:pPr>
            <w:r>
              <w:rPr>
                <w:sz w:val="15"/>
              </w:rPr>
              <w:t>.9463952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left="150" w:right="-1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3.023944</w:t>
            </w:r>
          </w:p>
        </w:tc>
      </w:tr>
    </w:tbl>
    <w:p>
      <w:pPr>
        <w:tabs>
          <w:tab w:pos="4677" w:val="left" w:leader="none"/>
        </w:tabs>
        <w:spacing w:before="133"/>
        <w:ind w:left="159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LR</w:t>
      </w:r>
      <w:r>
        <w:rPr>
          <w:rFonts w:ascii="Courier New"/>
          <w:spacing w:val="12"/>
          <w:sz w:val="15"/>
        </w:rPr>
        <w:t> </w:t>
      </w:r>
      <w:r>
        <w:rPr>
          <w:rFonts w:ascii="Courier New"/>
          <w:sz w:val="15"/>
        </w:rPr>
        <w:t>test</w:t>
      </w:r>
      <w:r>
        <w:rPr>
          <w:rFonts w:ascii="Courier New"/>
          <w:spacing w:val="13"/>
          <w:sz w:val="15"/>
        </w:rPr>
        <w:t> </w:t>
      </w:r>
      <w:r>
        <w:rPr>
          <w:rFonts w:ascii="Courier New"/>
          <w:sz w:val="15"/>
        </w:rPr>
        <w:t>vs.</w:t>
      </w:r>
      <w:r>
        <w:rPr>
          <w:rFonts w:ascii="Courier New"/>
          <w:spacing w:val="13"/>
          <w:sz w:val="15"/>
        </w:rPr>
        <w:t> </w:t>
      </w:r>
      <w:r>
        <w:rPr>
          <w:rFonts w:ascii="Courier New"/>
          <w:sz w:val="15"/>
        </w:rPr>
        <w:t>logistic</w:t>
      </w:r>
      <w:r>
        <w:rPr>
          <w:rFonts w:ascii="Courier New"/>
          <w:spacing w:val="13"/>
          <w:sz w:val="15"/>
        </w:rPr>
        <w:t> </w:t>
      </w:r>
      <w:r>
        <w:rPr>
          <w:rFonts w:ascii="Courier New"/>
          <w:sz w:val="15"/>
        </w:rPr>
        <w:t>regression:</w:t>
      </w:r>
      <w:r>
        <w:rPr>
          <w:rFonts w:ascii="Courier New"/>
          <w:spacing w:val="13"/>
          <w:sz w:val="15"/>
        </w:rPr>
        <w:t> </w:t>
      </w:r>
      <w:r>
        <w:rPr>
          <w:rFonts w:ascii="Courier New"/>
          <w:sz w:val="15"/>
        </w:rPr>
        <w:t>chibar2(01)</w:t>
      </w:r>
      <w:r>
        <w:rPr>
          <w:rFonts w:ascii="Courier New"/>
          <w:spacing w:val="13"/>
          <w:sz w:val="15"/>
        </w:rPr>
        <w:t> </w:t>
      </w:r>
      <w:r>
        <w:rPr>
          <w:rFonts w:ascii="Courier New"/>
          <w:sz w:val="15"/>
        </w:rPr>
        <w:t>=</w:t>
        <w:tab/>
        <w:t>668.66</w:t>
      </w:r>
      <w:r>
        <w:rPr>
          <w:rFonts w:ascii="Courier New"/>
          <w:spacing w:val="15"/>
          <w:sz w:val="15"/>
        </w:rPr>
        <w:t> </w:t>
      </w:r>
      <w:r>
        <w:rPr>
          <w:rFonts w:ascii="Courier New"/>
          <w:sz w:val="15"/>
        </w:rPr>
        <w:t>Prob&gt;=chibar2</w:t>
      </w:r>
      <w:r>
        <w:rPr>
          <w:rFonts w:ascii="Courier New"/>
          <w:spacing w:val="15"/>
          <w:sz w:val="15"/>
        </w:rPr>
        <w:t> </w:t>
      </w:r>
      <w:r>
        <w:rPr>
          <w:rFonts w:ascii="Courier New"/>
          <w:sz w:val="15"/>
        </w:rPr>
        <w:t>=</w:t>
      </w:r>
      <w:r>
        <w:rPr>
          <w:rFonts w:ascii="Courier New"/>
          <w:spacing w:val="16"/>
          <w:sz w:val="15"/>
        </w:rPr>
        <w:t> </w:t>
      </w:r>
      <w:r>
        <w:rPr>
          <w:rFonts w:ascii="Courier New"/>
          <w:sz w:val="15"/>
        </w:rPr>
        <w:t>0.0000</w:t>
      </w:r>
    </w:p>
    <w:p>
      <w:pPr>
        <w:spacing w:after="0"/>
        <w:jc w:val="left"/>
        <w:rPr>
          <w:rFonts w:ascii="Courier New"/>
          <w:sz w:val="15"/>
        </w:rPr>
        <w:sectPr>
          <w:pgSz w:w="12240" w:h="15840"/>
          <w:pgMar w:header="0" w:footer="935" w:top="1360" w:bottom="1200" w:left="1320" w:right="1000"/>
        </w:sectPr>
      </w:pPr>
    </w:p>
    <w:p>
      <w:pPr>
        <w:spacing w:before="74"/>
        <w:ind w:left="197" w:right="517" w:firstLine="0"/>
        <w:jc w:val="center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H8:</w:t>
      </w:r>
      <w:r>
        <w:rPr>
          <w:spacing w:val="-2"/>
          <w:sz w:val="22"/>
        </w:rPr>
        <w:t> </w:t>
      </w:r>
      <w:r>
        <w:rPr>
          <w:sz w:val="22"/>
        </w:rPr>
        <w:t>AVERAGES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ANNUAL</w:t>
      </w:r>
      <w:r>
        <w:rPr>
          <w:spacing w:val="-3"/>
          <w:sz w:val="22"/>
        </w:rPr>
        <w:t> </w:t>
      </w:r>
      <w:r>
        <w:rPr>
          <w:sz w:val="22"/>
        </w:rPr>
        <w:t>HOUSEHOLDS’</w:t>
      </w:r>
      <w:r>
        <w:rPr>
          <w:spacing w:val="-3"/>
          <w:sz w:val="22"/>
        </w:rPr>
        <w:t> </w:t>
      </w:r>
      <w:r>
        <w:rPr>
          <w:sz w:val="22"/>
        </w:rPr>
        <w:t>INCOMES</w:t>
      </w:r>
      <w:r>
        <w:rPr>
          <w:spacing w:val="-3"/>
          <w:sz w:val="22"/>
        </w:rPr>
        <w:t> </w:t>
      </w:r>
      <w:r>
        <w:rPr>
          <w:sz w:val="22"/>
        </w:rPr>
        <w:t>(NAIRA)</w:t>
      </w: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0"/>
        <w:gridCol w:w="1422"/>
        <w:gridCol w:w="1367"/>
        <w:gridCol w:w="1652"/>
        <w:gridCol w:w="911"/>
        <w:gridCol w:w="1076"/>
      </w:tblGrid>
      <w:tr>
        <w:trPr>
          <w:trHeight w:val="319" w:hRule="atLeast"/>
        </w:trPr>
        <w:tc>
          <w:tcPr>
            <w:tcW w:w="1530" w:type="dxa"/>
            <w:tcBorders>
              <w:bottom w:val="dashSmallGap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right="163"/>
              <w:rPr>
                <w:sz w:val="15"/>
              </w:rPr>
            </w:pPr>
            <w:r>
              <w:rPr>
                <w:w w:val="120"/>
                <w:sz w:val="15"/>
              </w:rPr>
              <w:t>Variable</w:t>
            </w:r>
          </w:p>
        </w:tc>
        <w:tc>
          <w:tcPr>
            <w:tcW w:w="1422" w:type="dxa"/>
            <w:tcBorders>
              <w:left w:val="single" w:sz="8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right="227"/>
              <w:rPr>
                <w:sz w:val="15"/>
              </w:rPr>
            </w:pPr>
            <w:r>
              <w:rPr>
                <w:w w:val="120"/>
                <w:sz w:val="15"/>
              </w:rPr>
              <w:t>Obs</w:t>
            </w:r>
          </w:p>
        </w:tc>
        <w:tc>
          <w:tcPr>
            <w:tcW w:w="1367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right="227"/>
              <w:rPr>
                <w:sz w:val="15"/>
              </w:rPr>
            </w:pPr>
            <w:r>
              <w:rPr>
                <w:w w:val="120"/>
                <w:sz w:val="15"/>
              </w:rPr>
              <w:t>Mean</w:t>
            </w:r>
          </w:p>
        </w:tc>
        <w:tc>
          <w:tcPr>
            <w:tcW w:w="165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left="231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Std.</w:t>
            </w:r>
            <w:r>
              <w:rPr>
                <w:spacing w:val="3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Dev.</w:t>
            </w:r>
          </w:p>
        </w:tc>
        <w:tc>
          <w:tcPr>
            <w:tcW w:w="911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right="168"/>
              <w:rPr>
                <w:sz w:val="15"/>
              </w:rPr>
            </w:pPr>
            <w:r>
              <w:rPr>
                <w:w w:val="120"/>
                <w:sz w:val="15"/>
              </w:rPr>
              <w:t>Min</w:t>
            </w:r>
          </w:p>
        </w:tc>
        <w:tc>
          <w:tcPr>
            <w:tcW w:w="107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right="-15"/>
              <w:rPr>
                <w:sz w:val="15"/>
              </w:rPr>
            </w:pPr>
            <w:r>
              <w:rPr>
                <w:w w:val="120"/>
                <w:sz w:val="15"/>
              </w:rPr>
              <w:t>Max</w:t>
            </w:r>
          </w:p>
        </w:tc>
      </w:tr>
      <w:tr>
        <w:trPr>
          <w:trHeight w:val="341" w:hRule="atLeast"/>
        </w:trPr>
        <w:tc>
          <w:tcPr>
            <w:tcW w:w="1530" w:type="dxa"/>
            <w:tcBorders>
              <w:top w:val="dashSmallGap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4"/>
              <w:ind w:right="163"/>
              <w:rPr>
                <w:sz w:val="15"/>
              </w:rPr>
            </w:pPr>
            <w:r>
              <w:rPr>
                <w:w w:val="120"/>
                <w:sz w:val="15"/>
              </w:rPr>
              <w:t>wavei</w:t>
            </w:r>
          </w:p>
        </w:tc>
        <w:tc>
          <w:tcPr>
            <w:tcW w:w="1422" w:type="dxa"/>
            <w:tcBorders>
              <w:top w:val="dashSmallGap" w:sz="6" w:space="0" w:color="000000"/>
              <w:left w:val="single" w:sz="8" w:space="0" w:color="000000"/>
            </w:tcBorders>
          </w:tcPr>
          <w:p>
            <w:pPr>
              <w:pStyle w:val="TableParagraph"/>
              <w:spacing w:before="144"/>
              <w:ind w:right="227"/>
              <w:rPr>
                <w:sz w:val="15"/>
              </w:rPr>
            </w:pPr>
            <w:r>
              <w:rPr>
                <w:w w:val="120"/>
                <w:sz w:val="15"/>
              </w:rPr>
              <w:t>21612</w:t>
            </w:r>
          </w:p>
        </w:tc>
        <w:tc>
          <w:tcPr>
            <w:tcW w:w="1367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44"/>
              <w:ind w:right="227"/>
              <w:rPr>
                <w:sz w:val="15"/>
              </w:rPr>
            </w:pPr>
            <w:r>
              <w:rPr>
                <w:w w:val="120"/>
                <w:sz w:val="15"/>
              </w:rPr>
              <w:t>20508.64</w:t>
            </w:r>
          </w:p>
        </w:tc>
        <w:tc>
          <w:tcPr>
            <w:tcW w:w="1652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44"/>
              <w:ind w:left="231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884496.8</w:t>
            </w:r>
          </w:p>
        </w:tc>
        <w:tc>
          <w:tcPr>
            <w:tcW w:w="911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44"/>
              <w:ind w:right="168"/>
              <w:rPr>
                <w:sz w:val="15"/>
              </w:rPr>
            </w:pPr>
            <w:r>
              <w:rPr>
                <w:w w:val="121"/>
                <w:sz w:val="15"/>
              </w:rPr>
              <w:t>0</w:t>
            </w:r>
          </w:p>
        </w:tc>
        <w:tc>
          <w:tcPr>
            <w:tcW w:w="1076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44"/>
              <w:ind w:right="-15"/>
              <w:rPr>
                <w:sz w:val="15"/>
              </w:rPr>
            </w:pPr>
            <w:r>
              <w:rPr>
                <w:w w:val="120"/>
                <w:sz w:val="15"/>
              </w:rPr>
              <w:t>1.00e+08</w:t>
            </w:r>
          </w:p>
        </w:tc>
      </w:tr>
      <w:tr>
        <w:trPr>
          <w:trHeight w:val="227" w:hRule="atLeast"/>
        </w:trPr>
        <w:tc>
          <w:tcPr>
            <w:tcW w:w="153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163"/>
              <w:rPr>
                <w:sz w:val="15"/>
              </w:rPr>
            </w:pPr>
            <w:r>
              <w:rPr>
                <w:w w:val="120"/>
                <w:sz w:val="15"/>
              </w:rPr>
              <w:t>waveii</w:t>
            </w:r>
          </w:p>
        </w:tc>
        <w:tc>
          <w:tcPr>
            <w:tcW w:w="14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0"/>
              <w:ind w:right="227"/>
              <w:rPr>
                <w:sz w:val="15"/>
              </w:rPr>
            </w:pPr>
            <w:r>
              <w:rPr>
                <w:w w:val="120"/>
                <w:sz w:val="15"/>
              </w:rPr>
              <w:t>24123</w:t>
            </w:r>
          </w:p>
        </w:tc>
        <w:tc>
          <w:tcPr>
            <w:tcW w:w="1367" w:type="dxa"/>
          </w:tcPr>
          <w:p>
            <w:pPr>
              <w:pStyle w:val="TableParagraph"/>
              <w:spacing w:before="30"/>
              <w:ind w:right="227"/>
              <w:rPr>
                <w:sz w:val="15"/>
              </w:rPr>
            </w:pPr>
            <w:r>
              <w:rPr>
                <w:w w:val="120"/>
                <w:sz w:val="15"/>
              </w:rPr>
              <w:t>28274.62</w:t>
            </w:r>
          </w:p>
        </w:tc>
        <w:tc>
          <w:tcPr>
            <w:tcW w:w="1652" w:type="dxa"/>
          </w:tcPr>
          <w:p>
            <w:pPr>
              <w:pStyle w:val="TableParagraph"/>
              <w:spacing w:before="30"/>
              <w:ind w:left="345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1111615</w:t>
            </w:r>
          </w:p>
        </w:tc>
        <w:tc>
          <w:tcPr>
            <w:tcW w:w="911" w:type="dxa"/>
          </w:tcPr>
          <w:p>
            <w:pPr>
              <w:pStyle w:val="TableParagraph"/>
              <w:spacing w:before="30"/>
              <w:ind w:right="168"/>
              <w:rPr>
                <w:sz w:val="15"/>
              </w:rPr>
            </w:pPr>
            <w:r>
              <w:rPr>
                <w:w w:val="121"/>
                <w:sz w:val="15"/>
              </w:rPr>
              <w:t>0</w:t>
            </w:r>
          </w:p>
        </w:tc>
        <w:tc>
          <w:tcPr>
            <w:tcW w:w="1076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w w:val="120"/>
                <w:sz w:val="15"/>
              </w:rPr>
              <w:t>1.50e+08</w:t>
            </w:r>
          </w:p>
        </w:tc>
      </w:tr>
      <w:tr>
        <w:trPr>
          <w:trHeight w:val="218" w:hRule="atLeast"/>
        </w:trPr>
        <w:tc>
          <w:tcPr>
            <w:tcW w:w="153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68" w:lineRule="exact" w:before="30"/>
              <w:ind w:right="163"/>
              <w:rPr>
                <w:sz w:val="15"/>
              </w:rPr>
            </w:pPr>
            <w:r>
              <w:rPr>
                <w:w w:val="120"/>
                <w:sz w:val="15"/>
              </w:rPr>
              <w:t>waveiii</w:t>
            </w:r>
          </w:p>
        </w:tc>
        <w:tc>
          <w:tcPr>
            <w:tcW w:w="14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8" w:lineRule="exact" w:before="30"/>
              <w:ind w:right="227"/>
              <w:rPr>
                <w:sz w:val="15"/>
              </w:rPr>
            </w:pPr>
            <w:r>
              <w:rPr>
                <w:w w:val="120"/>
                <w:sz w:val="15"/>
              </w:rPr>
              <w:t>24506</w:t>
            </w:r>
          </w:p>
        </w:tc>
        <w:tc>
          <w:tcPr>
            <w:tcW w:w="1367" w:type="dxa"/>
          </w:tcPr>
          <w:p>
            <w:pPr>
              <w:pStyle w:val="TableParagraph"/>
              <w:spacing w:line="168" w:lineRule="exact" w:before="30"/>
              <w:ind w:right="227"/>
              <w:rPr>
                <w:sz w:val="15"/>
              </w:rPr>
            </w:pPr>
            <w:r>
              <w:rPr>
                <w:w w:val="120"/>
                <w:sz w:val="15"/>
              </w:rPr>
              <w:t>49606.62</w:t>
            </w:r>
          </w:p>
        </w:tc>
        <w:tc>
          <w:tcPr>
            <w:tcW w:w="1652" w:type="dxa"/>
          </w:tcPr>
          <w:p>
            <w:pPr>
              <w:pStyle w:val="TableParagraph"/>
              <w:spacing w:line="168" w:lineRule="exact" w:before="30"/>
              <w:ind w:left="345"/>
              <w:jc w:val="left"/>
              <w:rPr>
                <w:sz w:val="15"/>
              </w:rPr>
            </w:pPr>
            <w:r>
              <w:rPr>
                <w:w w:val="120"/>
                <w:sz w:val="15"/>
              </w:rPr>
              <w:t>2006370</w:t>
            </w:r>
          </w:p>
        </w:tc>
        <w:tc>
          <w:tcPr>
            <w:tcW w:w="911" w:type="dxa"/>
          </w:tcPr>
          <w:p>
            <w:pPr>
              <w:pStyle w:val="TableParagraph"/>
              <w:spacing w:line="168" w:lineRule="exact" w:before="30"/>
              <w:ind w:right="168"/>
              <w:rPr>
                <w:sz w:val="15"/>
              </w:rPr>
            </w:pPr>
            <w:r>
              <w:rPr>
                <w:w w:val="121"/>
                <w:sz w:val="15"/>
              </w:rPr>
              <w:t>0</w:t>
            </w:r>
          </w:p>
        </w:tc>
        <w:tc>
          <w:tcPr>
            <w:tcW w:w="1076" w:type="dxa"/>
          </w:tcPr>
          <w:p>
            <w:pPr>
              <w:pStyle w:val="TableParagraph"/>
              <w:spacing w:line="168" w:lineRule="exact" w:before="30"/>
              <w:ind w:right="-15"/>
              <w:rPr>
                <w:sz w:val="15"/>
              </w:rPr>
            </w:pPr>
            <w:r>
              <w:rPr>
                <w:w w:val="120"/>
                <w:sz w:val="15"/>
              </w:rPr>
              <w:t>3.00e+08</w:t>
            </w:r>
          </w:p>
        </w:tc>
      </w:tr>
    </w:tbl>
    <w:p>
      <w:pPr>
        <w:pStyle w:val="BodyText"/>
      </w:pPr>
    </w:p>
    <w:p>
      <w:pPr>
        <w:spacing w:before="215"/>
        <w:ind w:left="197" w:right="517" w:firstLine="0"/>
        <w:jc w:val="center"/>
        <w:rPr>
          <w:sz w:val="22"/>
        </w:rPr>
      </w:pPr>
      <w:r>
        <w:rPr/>
        <w:pict>
          <v:shape style="position:absolute;margin-left:71.538521pt;margin-top:34.302444pt;width:376.65pt;height:17.05pt;mso-position-horizontal-relative:page;mso-position-vertical-relative:paragraph;z-index:15791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19"/>
                    <w:gridCol w:w="2575"/>
                    <w:gridCol w:w="477"/>
                    <w:gridCol w:w="762"/>
                  </w:tblGrid>
                  <w:tr>
                    <w:trPr>
                      <w:trHeight w:val="170" w:hRule="atLeast"/>
                    </w:trPr>
                    <w:tc>
                      <w:tcPr>
                        <w:tcW w:w="3719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Random-effects</w:t>
                        </w:r>
                        <w:r>
                          <w:rPr>
                            <w:spacing w:val="60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w w:val="115"/>
                            <w:sz w:val="13"/>
                          </w:rPr>
                          <w:t>GLS</w:t>
                        </w:r>
                        <w:r>
                          <w:rPr>
                            <w:spacing w:val="60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w w:val="115"/>
                            <w:sz w:val="13"/>
                          </w:rPr>
                          <w:t>regression</w:t>
                        </w:r>
                      </w:p>
                    </w:tc>
                    <w:tc>
                      <w:tcPr>
                        <w:tcW w:w="2575" w:type="dxa"/>
                      </w:tcPr>
                      <w:p>
                        <w:pPr>
                          <w:pStyle w:val="TableParagraph"/>
                          <w:spacing w:before="1"/>
                          <w:ind w:left="908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Number</w:t>
                        </w:r>
                        <w:r>
                          <w:rPr>
                            <w:spacing w:val="26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w w:val="115"/>
                            <w:sz w:val="13"/>
                          </w:rPr>
                          <w:t>of</w:t>
                        </w:r>
                        <w:r>
                          <w:rPr>
                            <w:spacing w:val="28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w w:val="115"/>
                            <w:sz w:val="13"/>
                          </w:rPr>
                          <w:t>obs</w:t>
                        </w:r>
                      </w:p>
                    </w:tc>
                    <w:tc>
                      <w:tcPr>
                        <w:tcW w:w="477" w:type="dxa"/>
                      </w:tcPr>
                      <w:p>
                        <w:pPr>
                          <w:pStyle w:val="TableParagraph"/>
                          <w:spacing w:before="1"/>
                          <w:ind w:left="145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14"/>
                            <w:sz w:val="13"/>
                          </w:rPr>
                          <w:t>=</w:t>
                        </w:r>
                      </w:p>
                    </w:tc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1"/>
                          <w:ind w:right="48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11967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3719" w:type="dxa"/>
                      </w:tcPr>
                      <w:p>
                        <w:pPr>
                          <w:pStyle w:val="TableParagraph"/>
                          <w:spacing w:line="128" w:lineRule="exact" w:before="22"/>
                          <w:ind w:left="5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Group</w:t>
                        </w:r>
                        <w:r>
                          <w:rPr>
                            <w:spacing w:val="44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w w:val="115"/>
                            <w:sz w:val="13"/>
                          </w:rPr>
                          <w:t>variable:</w:t>
                        </w:r>
                        <w:r>
                          <w:rPr>
                            <w:spacing w:val="44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w w:val="115"/>
                            <w:sz w:val="13"/>
                          </w:rPr>
                          <w:t>state</w:t>
                        </w:r>
                      </w:p>
                    </w:tc>
                    <w:tc>
                      <w:tcPr>
                        <w:tcW w:w="2575" w:type="dxa"/>
                      </w:tcPr>
                      <w:p>
                        <w:pPr>
                          <w:pStyle w:val="TableParagraph"/>
                          <w:spacing w:line="128" w:lineRule="exact" w:before="22"/>
                          <w:ind w:left="908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Number</w:t>
                        </w:r>
                        <w:r>
                          <w:rPr>
                            <w:spacing w:val="32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w w:val="115"/>
                            <w:sz w:val="13"/>
                          </w:rPr>
                          <w:t>of</w:t>
                        </w:r>
                        <w:r>
                          <w:rPr>
                            <w:spacing w:val="34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w w:val="115"/>
                            <w:sz w:val="13"/>
                          </w:rPr>
                          <w:t>groups</w:t>
                        </w:r>
                      </w:p>
                    </w:tc>
                    <w:tc>
                      <w:tcPr>
                        <w:tcW w:w="477" w:type="dxa"/>
                      </w:tcPr>
                      <w:p>
                        <w:pPr>
                          <w:pStyle w:val="TableParagraph"/>
                          <w:spacing w:line="128" w:lineRule="exact" w:before="22"/>
                          <w:ind w:left="145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14"/>
                            <w:sz w:val="13"/>
                          </w:rPr>
                          <w:t>=</w:t>
                        </w:r>
                      </w:p>
                    </w:tc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line="128" w:lineRule="exact" w:before="22"/>
                          <w:ind w:right="48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37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H9:</w:t>
      </w:r>
      <w:r>
        <w:rPr>
          <w:spacing w:val="-1"/>
          <w:sz w:val="22"/>
        </w:rPr>
        <w:t> </w:t>
      </w:r>
      <w:r>
        <w:rPr>
          <w:sz w:val="22"/>
        </w:rPr>
        <w:t>ROBUSTNESS</w:t>
      </w:r>
      <w:r>
        <w:rPr>
          <w:spacing w:val="-2"/>
          <w:sz w:val="22"/>
        </w:rPr>
        <w:t> </w:t>
      </w:r>
      <w:r>
        <w:rPr>
          <w:sz w:val="22"/>
        </w:rPr>
        <w:t>CHECK:</w:t>
      </w:r>
      <w:r>
        <w:rPr>
          <w:spacing w:val="-2"/>
          <w:sz w:val="22"/>
        </w:rPr>
        <w:t> </w:t>
      </w:r>
      <w:r>
        <w:rPr>
          <w:sz w:val="22"/>
        </w:rPr>
        <w:t>HOUSEHOLDS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INCOMES</w:t>
      </w:r>
      <w:r>
        <w:rPr>
          <w:spacing w:val="-2"/>
          <w:sz w:val="22"/>
        </w:rPr>
        <w:t> </w:t>
      </w:r>
      <w:r>
        <w:rPr>
          <w:sz w:val="22"/>
        </w:rPr>
        <w:t>&lt;#20,508.64</w:t>
      </w:r>
    </w:p>
    <w:p>
      <w:pPr>
        <w:tabs>
          <w:tab w:pos="4738" w:val="left" w:leader="none"/>
          <w:tab w:pos="7593" w:val="right" w:leader="none"/>
        </w:tabs>
        <w:spacing w:before="794"/>
        <w:ind w:left="160" w:right="0" w:firstLine="0"/>
        <w:jc w:val="left"/>
        <w:rPr>
          <w:rFonts w:ascii="Courier New"/>
          <w:sz w:val="13"/>
        </w:rPr>
      </w:pPr>
      <w:r>
        <w:rPr>
          <w:rFonts w:ascii="Courier New"/>
          <w:w w:val="115"/>
          <w:sz w:val="13"/>
        </w:rPr>
        <w:t>R-sq: </w:t>
      </w:r>
      <w:r>
        <w:rPr>
          <w:rFonts w:ascii="Courier New"/>
          <w:spacing w:val="40"/>
          <w:w w:val="115"/>
          <w:sz w:val="13"/>
        </w:rPr>
        <w:t> </w:t>
      </w:r>
      <w:r>
        <w:rPr>
          <w:rFonts w:ascii="Courier New"/>
          <w:w w:val="115"/>
          <w:sz w:val="13"/>
        </w:rPr>
        <w:t>within </w:t>
      </w:r>
      <w:r>
        <w:rPr>
          <w:rFonts w:ascii="Courier New"/>
          <w:spacing w:val="41"/>
          <w:w w:val="115"/>
          <w:sz w:val="13"/>
        </w:rPr>
        <w:t> </w:t>
      </w:r>
      <w:r>
        <w:rPr>
          <w:rFonts w:ascii="Courier New"/>
          <w:w w:val="115"/>
          <w:sz w:val="13"/>
        </w:rPr>
        <w:t>=</w:t>
      </w:r>
      <w:r>
        <w:rPr>
          <w:rFonts w:ascii="Courier New"/>
          <w:spacing w:val="24"/>
          <w:w w:val="115"/>
          <w:sz w:val="13"/>
        </w:rPr>
        <w:t> </w:t>
      </w:r>
      <w:r>
        <w:rPr>
          <w:rFonts w:ascii="Courier New"/>
          <w:w w:val="115"/>
          <w:sz w:val="13"/>
        </w:rPr>
        <w:t>0.2447</w:t>
        <w:tab/>
        <w:t>Obs</w:t>
      </w:r>
      <w:r>
        <w:rPr>
          <w:rFonts w:ascii="Courier New"/>
          <w:spacing w:val="16"/>
          <w:w w:val="115"/>
          <w:sz w:val="13"/>
        </w:rPr>
        <w:t> </w:t>
      </w:r>
      <w:r>
        <w:rPr>
          <w:rFonts w:ascii="Courier New"/>
          <w:w w:val="115"/>
          <w:sz w:val="13"/>
        </w:rPr>
        <w:t>per</w:t>
      </w:r>
      <w:r>
        <w:rPr>
          <w:rFonts w:ascii="Courier New"/>
          <w:spacing w:val="14"/>
          <w:w w:val="115"/>
          <w:sz w:val="13"/>
        </w:rPr>
        <w:t> </w:t>
      </w:r>
      <w:r>
        <w:rPr>
          <w:rFonts w:ascii="Courier New"/>
          <w:w w:val="115"/>
          <w:sz w:val="13"/>
        </w:rPr>
        <w:t>group:</w:t>
      </w:r>
      <w:r>
        <w:rPr>
          <w:rFonts w:ascii="Courier New"/>
          <w:spacing w:val="16"/>
          <w:w w:val="115"/>
          <w:sz w:val="13"/>
        </w:rPr>
        <w:t> </w:t>
      </w:r>
      <w:r>
        <w:rPr>
          <w:rFonts w:ascii="Courier New"/>
          <w:w w:val="115"/>
          <w:sz w:val="13"/>
        </w:rPr>
        <w:t>min</w:t>
      </w:r>
      <w:r>
        <w:rPr>
          <w:rFonts w:ascii="Courier New"/>
          <w:spacing w:val="15"/>
          <w:w w:val="115"/>
          <w:sz w:val="13"/>
        </w:rPr>
        <w:t> </w:t>
      </w:r>
      <w:r>
        <w:rPr>
          <w:rFonts w:ascii="Courier New"/>
          <w:w w:val="115"/>
          <w:sz w:val="13"/>
        </w:rPr>
        <w:t>=</w:t>
        <w:tab/>
        <w:t>2</w:t>
      </w:r>
    </w:p>
    <w:p>
      <w:pPr>
        <w:tabs>
          <w:tab w:pos="6169" w:val="left" w:leader="none"/>
          <w:tab w:pos="7593" w:val="right" w:leader="none"/>
        </w:tabs>
        <w:spacing w:before="44"/>
        <w:ind w:left="828" w:right="0" w:firstLine="0"/>
        <w:jc w:val="left"/>
        <w:rPr>
          <w:rFonts w:ascii="Courier New"/>
          <w:sz w:val="13"/>
        </w:rPr>
      </w:pPr>
      <w:r>
        <w:rPr>
          <w:rFonts w:ascii="Courier New"/>
          <w:w w:val="115"/>
          <w:sz w:val="13"/>
        </w:rPr>
        <w:t>between</w:t>
      </w:r>
      <w:r>
        <w:rPr>
          <w:rFonts w:ascii="Courier New"/>
          <w:spacing w:val="30"/>
          <w:w w:val="115"/>
          <w:sz w:val="13"/>
        </w:rPr>
        <w:t> </w:t>
      </w:r>
      <w:r>
        <w:rPr>
          <w:rFonts w:ascii="Courier New"/>
          <w:w w:val="115"/>
          <w:sz w:val="13"/>
        </w:rPr>
        <w:t>=</w:t>
      </w:r>
      <w:r>
        <w:rPr>
          <w:rFonts w:ascii="Courier New"/>
          <w:spacing w:val="31"/>
          <w:w w:val="115"/>
          <w:sz w:val="13"/>
        </w:rPr>
        <w:t> </w:t>
      </w:r>
      <w:r>
        <w:rPr>
          <w:rFonts w:ascii="Courier New"/>
          <w:w w:val="115"/>
          <w:sz w:val="13"/>
        </w:rPr>
        <w:t>0.1845</w:t>
        <w:tab/>
        <w:t>avg</w:t>
      </w:r>
      <w:r>
        <w:rPr>
          <w:rFonts w:ascii="Courier New"/>
          <w:spacing w:val="15"/>
          <w:w w:val="115"/>
          <w:sz w:val="13"/>
        </w:rPr>
        <w:t> </w:t>
      </w:r>
      <w:r>
        <w:rPr>
          <w:rFonts w:ascii="Courier New"/>
          <w:w w:val="115"/>
          <w:sz w:val="13"/>
        </w:rPr>
        <w:t>=</w:t>
        <w:tab/>
        <w:t>323.4</w:t>
      </w:r>
    </w:p>
    <w:p>
      <w:pPr>
        <w:tabs>
          <w:tab w:pos="6169" w:val="left" w:leader="none"/>
          <w:tab w:pos="7593" w:val="right" w:leader="none"/>
        </w:tabs>
        <w:spacing w:before="45"/>
        <w:ind w:left="828" w:right="0" w:firstLine="0"/>
        <w:jc w:val="left"/>
        <w:rPr>
          <w:rFonts w:ascii="Courier New"/>
          <w:sz w:val="13"/>
        </w:rPr>
      </w:pPr>
      <w:r>
        <w:rPr>
          <w:rFonts w:ascii="Courier New"/>
          <w:w w:val="115"/>
          <w:sz w:val="13"/>
        </w:rPr>
        <w:t>overall</w:t>
      </w:r>
      <w:r>
        <w:rPr>
          <w:rFonts w:ascii="Courier New"/>
          <w:spacing w:val="30"/>
          <w:w w:val="115"/>
          <w:sz w:val="13"/>
        </w:rPr>
        <w:t> </w:t>
      </w:r>
      <w:r>
        <w:rPr>
          <w:rFonts w:ascii="Courier New"/>
          <w:w w:val="115"/>
          <w:sz w:val="13"/>
        </w:rPr>
        <w:t>=</w:t>
      </w:r>
      <w:r>
        <w:rPr>
          <w:rFonts w:ascii="Courier New"/>
          <w:spacing w:val="31"/>
          <w:w w:val="115"/>
          <w:sz w:val="13"/>
        </w:rPr>
        <w:t> </w:t>
      </w:r>
      <w:r>
        <w:rPr>
          <w:rFonts w:ascii="Courier New"/>
          <w:w w:val="115"/>
          <w:sz w:val="13"/>
        </w:rPr>
        <w:t>0.2466</w:t>
        <w:tab/>
        <w:t>max</w:t>
      </w:r>
      <w:r>
        <w:rPr>
          <w:rFonts w:ascii="Courier New"/>
          <w:spacing w:val="13"/>
          <w:w w:val="115"/>
          <w:sz w:val="13"/>
        </w:rPr>
        <w:t> </w:t>
      </w:r>
      <w:r>
        <w:rPr>
          <w:rFonts w:ascii="Courier New"/>
          <w:w w:val="115"/>
          <w:sz w:val="13"/>
        </w:rPr>
        <w:t>=</w:t>
        <w:tab/>
        <w:t>766</w:t>
      </w:r>
    </w:p>
    <w:p>
      <w:pPr>
        <w:pStyle w:val="BodyText"/>
        <w:spacing w:before="7"/>
        <w:rPr>
          <w:rFonts w:ascii="Courier New"/>
          <w:sz w:val="20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"/>
        <w:gridCol w:w="287"/>
        <w:gridCol w:w="2051"/>
        <w:gridCol w:w="2480"/>
        <w:gridCol w:w="525"/>
        <w:gridCol w:w="858"/>
      </w:tblGrid>
      <w:tr>
        <w:trPr>
          <w:trHeight w:val="170" w:hRule="atLeast"/>
        </w:trPr>
        <w:tc>
          <w:tcPr>
            <w:tcW w:w="3673" w:type="dxa"/>
            <w:gridSpan w:val="3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spacing w:before="1"/>
              <w:ind w:left="95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Wald</w:t>
            </w:r>
            <w:r>
              <w:rPr>
                <w:spacing w:val="4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chi2(34)</w:t>
            </w:r>
          </w:p>
        </w:tc>
        <w:tc>
          <w:tcPr>
            <w:tcW w:w="525" w:type="dxa"/>
          </w:tcPr>
          <w:p>
            <w:pPr>
              <w:pStyle w:val="TableParagraph"/>
              <w:spacing w:before="1"/>
              <w:ind w:right="146"/>
              <w:rPr>
                <w:sz w:val="13"/>
              </w:rPr>
            </w:pPr>
            <w:r>
              <w:rPr>
                <w:w w:val="114"/>
                <w:sz w:val="13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1"/>
              <w:ind w:right="51"/>
              <w:rPr>
                <w:sz w:val="13"/>
              </w:rPr>
            </w:pPr>
            <w:r>
              <w:rPr>
                <w:w w:val="115"/>
                <w:sz w:val="13"/>
              </w:rPr>
              <w:t>3846.94</w:t>
            </w:r>
          </w:p>
        </w:tc>
      </w:tr>
      <w:tr>
        <w:trPr>
          <w:trHeight w:val="170" w:hRule="atLeast"/>
        </w:trPr>
        <w:tc>
          <w:tcPr>
            <w:tcW w:w="1335" w:type="dxa"/>
          </w:tcPr>
          <w:p>
            <w:pPr>
              <w:pStyle w:val="TableParagraph"/>
              <w:spacing w:line="128" w:lineRule="exact" w:before="22"/>
              <w:ind w:left="50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corr(u_i,</w:t>
            </w:r>
            <w:r>
              <w:rPr>
                <w:spacing w:val="4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X)</w:t>
            </w:r>
          </w:p>
        </w:tc>
        <w:tc>
          <w:tcPr>
            <w:tcW w:w="287" w:type="dxa"/>
          </w:tcPr>
          <w:p>
            <w:pPr>
              <w:pStyle w:val="TableParagraph"/>
              <w:spacing w:line="128" w:lineRule="exact" w:before="22"/>
              <w:ind w:left="145"/>
              <w:jc w:val="left"/>
              <w:rPr>
                <w:sz w:val="13"/>
              </w:rPr>
            </w:pPr>
            <w:r>
              <w:rPr>
                <w:w w:val="114"/>
                <w:sz w:val="13"/>
              </w:rPr>
              <w:t>=</w:t>
            </w:r>
          </w:p>
        </w:tc>
        <w:tc>
          <w:tcPr>
            <w:tcW w:w="2051" w:type="dxa"/>
          </w:tcPr>
          <w:p>
            <w:pPr>
              <w:pStyle w:val="TableParagraph"/>
              <w:spacing w:line="128" w:lineRule="exact" w:before="22"/>
              <w:ind w:left="49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0</w:t>
            </w:r>
            <w:r>
              <w:rPr>
                <w:spacing w:val="3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(assumed)</w:t>
            </w:r>
          </w:p>
        </w:tc>
        <w:tc>
          <w:tcPr>
            <w:tcW w:w="2480" w:type="dxa"/>
          </w:tcPr>
          <w:p>
            <w:pPr>
              <w:pStyle w:val="TableParagraph"/>
              <w:spacing w:line="128" w:lineRule="exact" w:before="22"/>
              <w:ind w:left="954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Prob</w:t>
            </w:r>
            <w:r>
              <w:rPr>
                <w:spacing w:val="2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&gt;</w:t>
            </w:r>
            <w:r>
              <w:rPr>
                <w:spacing w:val="2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chi2</w:t>
            </w:r>
          </w:p>
        </w:tc>
        <w:tc>
          <w:tcPr>
            <w:tcW w:w="525" w:type="dxa"/>
          </w:tcPr>
          <w:p>
            <w:pPr>
              <w:pStyle w:val="TableParagraph"/>
              <w:spacing w:line="128" w:lineRule="exact" w:before="22"/>
              <w:ind w:right="146"/>
              <w:rPr>
                <w:sz w:val="13"/>
              </w:rPr>
            </w:pPr>
            <w:r>
              <w:rPr>
                <w:w w:val="114"/>
                <w:sz w:val="13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line="128" w:lineRule="exact" w:before="22"/>
              <w:ind w:right="51"/>
              <w:rPr>
                <w:sz w:val="13"/>
              </w:rPr>
            </w:pPr>
            <w:r>
              <w:rPr>
                <w:w w:val="115"/>
                <w:sz w:val="13"/>
              </w:rPr>
              <w:t>0.0000</w:t>
            </w:r>
          </w:p>
        </w:tc>
      </w:tr>
    </w:tbl>
    <w:p>
      <w:pPr>
        <w:pStyle w:val="BodyText"/>
        <w:spacing w:after="1"/>
        <w:rPr>
          <w:rFonts w:ascii="Courier New"/>
          <w:sz w:val="26"/>
        </w:rPr>
      </w:pPr>
    </w:p>
    <w:tbl>
      <w:tblPr>
        <w:tblW w:w="0" w:type="auto"/>
        <w:jc w:val="left"/>
        <w:tblInd w:w="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8"/>
        <w:gridCol w:w="1237"/>
        <w:gridCol w:w="2575"/>
        <w:gridCol w:w="286"/>
        <w:gridCol w:w="1144"/>
        <w:gridCol w:w="902"/>
      </w:tblGrid>
      <w:tr>
        <w:trPr>
          <w:trHeight w:val="368" w:hRule="atLeast"/>
        </w:trPr>
        <w:tc>
          <w:tcPr>
            <w:tcW w:w="3188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8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illness</w:t>
            </w:r>
          </w:p>
        </w:tc>
        <w:tc>
          <w:tcPr>
            <w:tcW w:w="1237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18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Coef.</w:t>
            </w:r>
          </w:p>
        </w:tc>
        <w:tc>
          <w:tcPr>
            <w:tcW w:w="2575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tabs>
                <w:tab w:pos="1430" w:val="left" w:leader="none"/>
                <w:tab w:pos="1907" w:val="left" w:leader="none"/>
              </w:tabs>
              <w:spacing w:before="118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Std.</w:t>
            </w:r>
            <w:r>
              <w:rPr>
                <w:spacing w:val="2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Err.</w:t>
              <w:tab/>
              <w:t>z</w:t>
              <w:tab/>
              <w:t>P&gt;|z|</w:t>
            </w:r>
          </w:p>
        </w:tc>
        <w:tc>
          <w:tcPr>
            <w:tcW w:w="28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18"/>
              <w:ind w:left="152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[95%</w:t>
            </w:r>
            <w:r>
              <w:rPr>
                <w:spacing w:val="3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Conf.</w:t>
            </w:r>
          </w:p>
        </w:tc>
        <w:tc>
          <w:tcPr>
            <w:tcW w:w="90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18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Interval]</w:t>
            </w:r>
          </w:p>
        </w:tc>
      </w:tr>
      <w:tr>
        <w:trPr>
          <w:trHeight w:val="286" w:hRule="atLeast"/>
        </w:trPr>
        <w:tc>
          <w:tcPr>
            <w:tcW w:w="3188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7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familysize</w:t>
            </w:r>
          </w:p>
        </w:tc>
        <w:tc>
          <w:tcPr>
            <w:tcW w:w="1237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17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.0000127</w:t>
            </w:r>
          </w:p>
        </w:tc>
        <w:tc>
          <w:tcPr>
            <w:tcW w:w="2575" w:type="dxa"/>
            <w:tcBorders>
              <w:top w:val="dashSmallGap" w:sz="6" w:space="0" w:color="000000"/>
            </w:tcBorders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117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.0001026</w:t>
              <w:tab/>
              <w:t>0.12</w:t>
              <w:tab/>
              <w:t>0.902</w:t>
            </w:r>
          </w:p>
        </w:tc>
        <w:tc>
          <w:tcPr>
            <w:tcW w:w="286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17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-.0001884</w:t>
            </w:r>
          </w:p>
        </w:tc>
        <w:tc>
          <w:tcPr>
            <w:tcW w:w="902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17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.0002138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hungerandnofood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-.0044327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.0055589</w:t>
              <w:tab/>
              <w:t>-0.80</w:t>
              <w:tab/>
              <w:t>0.425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-.0153278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.0064625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gari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-.0275644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.0114878</w:t>
              <w:tab/>
              <w:t>-2.40</w:t>
              <w:tab/>
              <w:t>0.016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-.0500801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-.0050487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rice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-.0570888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.0066109</w:t>
              <w:tab/>
              <w:t>-8.64</w:t>
              <w:tab/>
              <w:t>0.000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152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-.070046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-.0441316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yamorcassavaormaizeflour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-.3691514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048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.0076763</w:t>
              <w:tab/>
              <w:t>-48.09</w:t>
              <w:tab/>
              <w:t>0.000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-.3841966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-.3541061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beans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-.0626385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.0127318</w:t>
              <w:tab/>
              <w:t>-4.92</w:t>
              <w:tab/>
              <w:t>0.000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-.0875924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-.0376846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meatorfish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-.0007074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.0018647</w:t>
              <w:tab/>
              <w:t>-0.38</w:t>
              <w:tab/>
              <w:t>0.704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-.0043621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.0029473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mosquitonetpossession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-.0337908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048" w:val="left" w:leader="none"/>
                <w:tab w:pos="1811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.015872</w:t>
              <w:tab/>
              <w:t>-2.13</w:t>
              <w:tab/>
              <w:t>0.033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-.0648993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-.0026823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primaryeducation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-.0074988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.0107434</w:t>
              <w:tab/>
              <w:t>-0.70</w:t>
              <w:tab/>
              <w:t>0.485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-.0285555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.0135579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secondarycertificate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.0015811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.0016493</w:t>
              <w:tab/>
              <w:t>0.96</w:t>
              <w:tab/>
              <w:t>0.338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-.0016515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.0048137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higherdegree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.0028796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.0046368</w:t>
              <w:tab/>
              <w:t>0.62</w:t>
              <w:tab/>
              <w:t>0.535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-.0062084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.0119676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nobasiceducation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.0686093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.0105794</w:t>
              <w:tab/>
              <w:t>6.49</w:t>
              <w:tab/>
              <w:t>0.000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152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.0478742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.0893445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hadelectricity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-.0953245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.0290123</w:t>
              <w:tab/>
              <w:t>-3.29</w:t>
              <w:tab/>
              <w:t>0.001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-.1521875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-.0384614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noelectricity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.0007994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811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.001179</w:t>
              <w:tab/>
              <w:t>0.68</w:t>
              <w:tab/>
              <w:t>0.498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-.0015114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.0031102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pipebornewater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-.0660059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.0154484</w:t>
              <w:tab/>
              <w:t>-4.27</w:t>
              <w:tab/>
              <w:t>0.000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-.0962842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-.0357275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boreholeandwell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.0287603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.0102015</w:t>
              <w:tab/>
              <w:t>2.82</w:t>
              <w:tab/>
              <w:t>0.005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152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.0087658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.0487547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riverandspring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.0336415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811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.013282</w:t>
              <w:tab/>
              <w:t>2.53</w:t>
              <w:tab/>
              <w:t>0.011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152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.0076094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.0596737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noaccesstowater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-.0838694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.0443994</w:t>
              <w:tab/>
              <w:t>-1.89</w:t>
              <w:tab/>
              <w:t>0.059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-.1708907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.0031518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waterormodernlatrine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-.011471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.0063864</w:t>
              <w:tab/>
              <w:t>-1.80</w:t>
              <w:tab/>
              <w:t>0.072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-.0239881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.001046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pitorlatrine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.0630428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.0198269</w:t>
              <w:tab/>
              <w:t>3.18</w:t>
              <w:tab/>
              <w:t>0.001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152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.0241829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.1019028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notoiletfacility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.0450482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.0158367</w:t>
              <w:tab/>
              <w:t>2.84</w:t>
              <w:tab/>
              <w:t>0.004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152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.0140089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.0760875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alcoholicdrinks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.0147318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.0080983</w:t>
              <w:tab/>
              <w:t>1.82</w:t>
              <w:tab/>
              <w:t>0.069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-.0011406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.0306042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selfmedication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.0001113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.0091202</w:t>
              <w:tab/>
              <w:t>0.01</w:t>
              <w:tab/>
              <w:t>0.990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-.0177639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.0179866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seekingmedicalcare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-.0218293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.0101553</w:t>
              <w:tab/>
              <w:t>-2.15</w:t>
              <w:tab/>
              <w:t>0.032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-.0417332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-.0019253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otherhealthcare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.0010877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.0017195</w:t>
              <w:tab/>
              <w:t>0.63</w:t>
              <w:tab/>
              <w:t>0.527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-.0022825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.0044579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wagesandsalaries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.0202354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811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.018876</w:t>
              <w:tab/>
              <w:t>1.07</w:t>
              <w:tab/>
              <w:t>0.284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-.0167608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.0572316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entreprisesandbusiness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-.0155653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.0092575</w:t>
              <w:tab/>
              <w:t>-1.68</w:t>
              <w:tab/>
              <w:t>0.093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-.0337097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.002579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farmingcropandlivestock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-.0518926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.0338458</w:t>
              <w:tab/>
              <w:t>-1.53</w:t>
              <w:tab/>
              <w:t>0.125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-.1182291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.0144439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remittances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-.0271652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.0083566</w:t>
              <w:tab/>
              <w:t>-3.25</w:t>
              <w:tab/>
              <w:t>0.001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-.0435439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-.0107865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monetaryandconditionaltransfers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.0543873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.0349491</w:t>
              <w:tab/>
              <w:t>1.56</w:t>
              <w:tab/>
              <w:t>0.120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-.0141117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.1228863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pensionsandgrants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-.0118083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048" w:val="left" w:leader="none"/>
                <w:tab w:pos="1811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.032497</w:t>
              <w:tab/>
              <w:t>-0.36</w:t>
              <w:tab/>
              <w:t>0.716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-.0755012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.0518846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dividendandinterestfrominvestmen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.058068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.0246773</w:t>
              <w:tab/>
              <w:t>2.35</w:t>
              <w:tab/>
              <w:t>0.019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152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.0097015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.1064346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incomesfromlandandpropertiesowne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-.0117189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.0143634</w:t>
              <w:tab/>
              <w:t>-0.82</w:t>
              <w:tab/>
              <w:t>0.415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-.0398707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.0164329</w:t>
            </w: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giniq1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.0018231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.0008414</w:t>
              <w:tab/>
              <w:t>2.17</w:t>
              <w:tab/>
              <w:t>0.030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2"/>
              <w:ind w:left="152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.0001741</w:t>
            </w:r>
          </w:p>
        </w:tc>
        <w:tc>
          <w:tcPr>
            <w:tcW w:w="902" w:type="dxa"/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.0034722</w:t>
            </w:r>
          </w:p>
        </w:tc>
      </w:tr>
      <w:tr>
        <w:trPr>
          <w:trHeight w:val="272" w:hRule="atLeast"/>
        </w:trPr>
        <w:tc>
          <w:tcPr>
            <w:tcW w:w="3188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_cons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1.036538</w:t>
            </w:r>
          </w:p>
        </w:tc>
        <w:tc>
          <w:tcPr>
            <w:tcW w:w="2575" w:type="dxa"/>
            <w:tcBorders>
              <w:bottom w:val="dashSmallGap" w:sz="6" w:space="0" w:color="000000"/>
            </w:tcBorders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.1057275</w:t>
              <w:tab/>
              <w:t>9.80</w:t>
              <w:tab/>
              <w:t>0.000</w:t>
            </w:r>
          </w:p>
        </w:tc>
        <w:tc>
          <w:tcPr>
            <w:tcW w:w="286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left="152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.8293158</w:t>
            </w:r>
          </w:p>
        </w:tc>
        <w:tc>
          <w:tcPr>
            <w:tcW w:w="90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right="-15"/>
              <w:rPr>
                <w:sz w:val="13"/>
              </w:rPr>
            </w:pPr>
            <w:r>
              <w:rPr>
                <w:w w:val="115"/>
                <w:sz w:val="13"/>
              </w:rPr>
              <w:t>1.24376</w:t>
            </w:r>
          </w:p>
        </w:tc>
      </w:tr>
      <w:tr>
        <w:trPr>
          <w:trHeight w:val="286" w:hRule="atLeast"/>
        </w:trPr>
        <w:tc>
          <w:tcPr>
            <w:tcW w:w="3188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18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sigma_u</w:t>
            </w:r>
          </w:p>
        </w:tc>
        <w:tc>
          <w:tcPr>
            <w:tcW w:w="1237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18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.11230336</w:t>
            </w:r>
          </w:p>
        </w:tc>
        <w:tc>
          <w:tcPr>
            <w:tcW w:w="2575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2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91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sigma_e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.30008189</w:t>
            </w:r>
          </w:p>
        </w:tc>
        <w:tc>
          <w:tcPr>
            <w:tcW w:w="257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72" w:hRule="atLeast"/>
        </w:trPr>
        <w:tc>
          <w:tcPr>
            <w:tcW w:w="3188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2"/>
              <w:ind w:right="133"/>
              <w:rPr>
                <w:sz w:val="13"/>
              </w:rPr>
            </w:pPr>
            <w:r>
              <w:rPr>
                <w:w w:val="115"/>
                <w:sz w:val="13"/>
              </w:rPr>
              <w:t>rho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right="137"/>
              <w:rPr>
                <w:sz w:val="13"/>
              </w:rPr>
            </w:pPr>
            <w:r>
              <w:rPr>
                <w:w w:val="115"/>
                <w:sz w:val="13"/>
              </w:rPr>
              <w:t>.12285115</w:t>
            </w:r>
          </w:p>
        </w:tc>
        <w:tc>
          <w:tcPr>
            <w:tcW w:w="2575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right="42"/>
              <w:rPr>
                <w:sz w:val="13"/>
              </w:rPr>
            </w:pPr>
            <w:r>
              <w:rPr>
                <w:w w:val="115"/>
                <w:sz w:val="13"/>
              </w:rPr>
              <w:t>(fraction</w:t>
            </w:r>
            <w:r>
              <w:rPr>
                <w:spacing w:val="3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of</w:t>
            </w:r>
            <w:r>
              <w:rPr>
                <w:spacing w:val="3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variance</w:t>
            </w:r>
            <w:r>
              <w:rPr>
                <w:spacing w:val="3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due</w:t>
            </w:r>
          </w:p>
        </w:tc>
        <w:tc>
          <w:tcPr>
            <w:tcW w:w="28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to</w:t>
            </w:r>
          </w:p>
        </w:tc>
        <w:tc>
          <w:tcPr>
            <w:tcW w:w="1144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2"/>
              <w:ind w:left="56"/>
              <w:jc w:val="left"/>
              <w:rPr>
                <w:sz w:val="13"/>
              </w:rPr>
            </w:pPr>
            <w:r>
              <w:rPr>
                <w:w w:val="115"/>
                <w:sz w:val="13"/>
              </w:rPr>
              <w:t>u_i)</w:t>
            </w:r>
          </w:p>
        </w:tc>
        <w:tc>
          <w:tcPr>
            <w:tcW w:w="902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4"/>
        </w:rPr>
        <w:sectPr>
          <w:pgSz w:w="12240" w:h="15840"/>
          <w:pgMar w:header="0" w:footer="935" w:top="1360" w:bottom="1200" w:left="1320" w:right="1000"/>
        </w:sectPr>
      </w:pPr>
    </w:p>
    <w:p>
      <w:pPr>
        <w:spacing w:before="74"/>
        <w:ind w:left="854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H10:</w:t>
      </w:r>
      <w:r>
        <w:rPr>
          <w:spacing w:val="-2"/>
          <w:sz w:val="22"/>
        </w:rPr>
        <w:t> </w:t>
      </w:r>
      <w:r>
        <w:rPr>
          <w:sz w:val="22"/>
        </w:rPr>
        <w:t>ROBUSTNESS</w:t>
      </w:r>
      <w:r>
        <w:rPr>
          <w:spacing w:val="-4"/>
          <w:sz w:val="22"/>
        </w:rPr>
        <w:t> </w:t>
      </w:r>
      <w:r>
        <w:rPr>
          <w:sz w:val="22"/>
        </w:rPr>
        <w:t>CHECK:</w:t>
      </w:r>
      <w:r>
        <w:rPr>
          <w:spacing w:val="-1"/>
          <w:sz w:val="22"/>
        </w:rPr>
        <w:t> </w:t>
      </w:r>
      <w:r>
        <w:rPr>
          <w:sz w:val="22"/>
        </w:rPr>
        <w:t>HOUSEHOLDS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INCOMES</w:t>
      </w:r>
      <w:r>
        <w:rPr>
          <w:spacing w:val="-3"/>
          <w:sz w:val="22"/>
        </w:rPr>
        <w:t> </w:t>
      </w:r>
      <w:r>
        <w:rPr>
          <w:sz w:val="22"/>
        </w:rPr>
        <w:t>˃#20,508.64</w:t>
      </w: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1"/>
        <w:gridCol w:w="2322"/>
        <w:gridCol w:w="2507"/>
        <w:gridCol w:w="417"/>
        <w:gridCol w:w="790"/>
      </w:tblGrid>
      <w:tr>
        <w:trPr>
          <w:trHeight w:val="202" w:hRule="atLeast"/>
        </w:trPr>
        <w:tc>
          <w:tcPr>
            <w:tcW w:w="3623" w:type="dxa"/>
            <w:gridSpan w:val="2"/>
          </w:tcPr>
          <w:p>
            <w:pPr>
              <w:pStyle w:val="TableParagraph"/>
              <w:spacing w:before="5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Random-effects</w:t>
            </w:r>
            <w:r>
              <w:rPr>
                <w:spacing w:val="29"/>
                <w:sz w:val="15"/>
              </w:rPr>
              <w:t> </w:t>
            </w:r>
            <w:r>
              <w:rPr>
                <w:sz w:val="15"/>
              </w:rPr>
              <w:t>GLS</w:t>
            </w:r>
            <w:r>
              <w:rPr>
                <w:spacing w:val="29"/>
                <w:sz w:val="15"/>
              </w:rPr>
              <w:t> </w:t>
            </w:r>
            <w:r>
              <w:rPr>
                <w:sz w:val="15"/>
              </w:rPr>
              <w:t>regression</w:t>
            </w:r>
          </w:p>
        </w:tc>
        <w:tc>
          <w:tcPr>
            <w:tcW w:w="2507" w:type="dxa"/>
          </w:tcPr>
          <w:p>
            <w:pPr>
              <w:pStyle w:val="TableParagraph"/>
              <w:spacing w:before="5"/>
              <w:ind w:left="885"/>
              <w:jc w:val="left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obs</w:t>
            </w:r>
          </w:p>
        </w:tc>
        <w:tc>
          <w:tcPr>
            <w:tcW w:w="417" w:type="dxa"/>
          </w:tcPr>
          <w:p>
            <w:pPr>
              <w:pStyle w:val="TableParagraph"/>
              <w:spacing w:before="5"/>
              <w:ind w:left="142"/>
              <w:jc w:val="left"/>
              <w:rPr>
                <w:sz w:val="15"/>
              </w:rPr>
            </w:pPr>
            <w:r>
              <w:rPr>
                <w:w w:val="97"/>
                <w:sz w:val="15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before="5"/>
              <w:ind w:right="45"/>
              <w:rPr>
                <w:sz w:val="15"/>
              </w:rPr>
            </w:pPr>
            <w:r>
              <w:rPr>
                <w:sz w:val="15"/>
              </w:rPr>
              <w:t>737</w:t>
            </w:r>
          </w:p>
        </w:tc>
      </w:tr>
      <w:tr>
        <w:trPr>
          <w:trHeight w:val="202" w:hRule="atLeast"/>
        </w:trPr>
        <w:tc>
          <w:tcPr>
            <w:tcW w:w="3623" w:type="dxa"/>
            <w:gridSpan w:val="2"/>
          </w:tcPr>
          <w:p>
            <w:pPr>
              <w:pStyle w:val="TableParagraph"/>
              <w:spacing w:line="152" w:lineRule="exact" w:before="30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Group</w:t>
            </w:r>
            <w:r>
              <w:rPr>
                <w:spacing w:val="21"/>
                <w:sz w:val="15"/>
              </w:rPr>
              <w:t> </w:t>
            </w:r>
            <w:r>
              <w:rPr>
                <w:sz w:val="15"/>
              </w:rPr>
              <w:t>variable:</w:t>
            </w:r>
            <w:r>
              <w:rPr>
                <w:spacing w:val="21"/>
                <w:sz w:val="15"/>
              </w:rPr>
              <w:t> </w:t>
            </w:r>
            <w:r>
              <w:rPr>
                <w:sz w:val="15"/>
              </w:rPr>
              <w:t>state</w:t>
            </w:r>
          </w:p>
        </w:tc>
        <w:tc>
          <w:tcPr>
            <w:tcW w:w="2507" w:type="dxa"/>
          </w:tcPr>
          <w:p>
            <w:pPr>
              <w:pStyle w:val="TableParagraph"/>
              <w:spacing w:line="152" w:lineRule="exact" w:before="30"/>
              <w:ind w:left="885"/>
              <w:jc w:val="left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groups</w:t>
            </w:r>
          </w:p>
        </w:tc>
        <w:tc>
          <w:tcPr>
            <w:tcW w:w="417" w:type="dxa"/>
          </w:tcPr>
          <w:p>
            <w:pPr>
              <w:pStyle w:val="TableParagraph"/>
              <w:spacing w:line="152" w:lineRule="exact" w:before="30"/>
              <w:ind w:left="142"/>
              <w:jc w:val="left"/>
              <w:rPr>
                <w:sz w:val="15"/>
              </w:rPr>
            </w:pPr>
            <w:r>
              <w:rPr>
                <w:w w:val="97"/>
                <w:sz w:val="15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line="152" w:lineRule="exact" w:before="30"/>
              <w:ind w:right="45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</w:tr>
      <w:tr>
        <w:trPr>
          <w:trHeight w:val="480" w:hRule="atLeast"/>
        </w:trPr>
        <w:tc>
          <w:tcPr>
            <w:tcW w:w="3623" w:type="dxa"/>
            <w:gridSpan w:val="2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R-sq:</w:t>
            </w:r>
            <w:r>
              <w:rPr>
                <w:spacing w:val="110"/>
                <w:sz w:val="15"/>
              </w:rPr>
              <w:t> </w:t>
            </w:r>
            <w:r>
              <w:rPr>
                <w:sz w:val="15"/>
              </w:rPr>
              <w:t>within</w:t>
            </w:r>
            <w:r>
              <w:rPr>
                <w:spacing w:val="109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0.3385</w:t>
            </w:r>
          </w:p>
        </w:tc>
        <w:tc>
          <w:tcPr>
            <w:tcW w:w="2924" w:type="dxa"/>
            <w:gridSpan w:val="2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885"/>
              <w:jc w:val="left"/>
              <w:rPr>
                <w:sz w:val="15"/>
              </w:rPr>
            </w:pPr>
            <w:r>
              <w:rPr>
                <w:sz w:val="15"/>
              </w:rPr>
              <w:t>Obs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per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group: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min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right="45"/>
              <w:rPr>
                <w:sz w:val="15"/>
              </w:rPr>
            </w:pPr>
            <w:r>
              <w:rPr>
                <w:w w:val="97"/>
                <w:sz w:val="15"/>
              </w:rPr>
              <w:t>2</w:t>
            </w:r>
          </w:p>
        </w:tc>
      </w:tr>
      <w:tr>
        <w:trPr>
          <w:trHeight w:val="227" w:hRule="atLeast"/>
        </w:trPr>
        <w:tc>
          <w:tcPr>
            <w:tcW w:w="3623" w:type="dxa"/>
            <w:gridSpan w:val="2"/>
          </w:tcPr>
          <w:p>
            <w:pPr>
              <w:pStyle w:val="TableParagraph"/>
              <w:spacing w:before="30"/>
              <w:ind w:left="700"/>
              <w:jc w:val="left"/>
              <w:rPr>
                <w:sz w:val="15"/>
              </w:rPr>
            </w:pPr>
            <w:r>
              <w:rPr>
                <w:sz w:val="15"/>
              </w:rPr>
              <w:t>between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0.4025</w:t>
            </w:r>
          </w:p>
        </w:tc>
        <w:tc>
          <w:tcPr>
            <w:tcW w:w="2924" w:type="dxa"/>
            <w:gridSpan w:val="2"/>
          </w:tcPr>
          <w:p>
            <w:pPr>
              <w:pStyle w:val="TableParagraph"/>
              <w:spacing w:before="30"/>
              <w:ind w:right="184"/>
              <w:rPr>
                <w:sz w:val="15"/>
              </w:rPr>
            </w:pPr>
            <w:r>
              <w:rPr>
                <w:sz w:val="15"/>
              </w:rPr>
              <w:t>avg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before="30"/>
              <w:ind w:right="45"/>
              <w:rPr>
                <w:sz w:val="15"/>
              </w:rPr>
            </w:pPr>
            <w:r>
              <w:rPr>
                <w:sz w:val="15"/>
              </w:rPr>
              <w:t>21.7</w:t>
            </w:r>
          </w:p>
        </w:tc>
      </w:tr>
      <w:tr>
        <w:trPr>
          <w:trHeight w:val="202" w:hRule="atLeast"/>
        </w:trPr>
        <w:tc>
          <w:tcPr>
            <w:tcW w:w="3623" w:type="dxa"/>
            <w:gridSpan w:val="2"/>
          </w:tcPr>
          <w:p>
            <w:pPr>
              <w:pStyle w:val="TableParagraph"/>
              <w:spacing w:line="152" w:lineRule="exact" w:before="30"/>
              <w:ind w:left="700"/>
              <w:jc w:val="left"/>
              <w:rPr>
                <w:sz w:val="15"/>
              </w:rPr>
            </w:pPr>
            <w:r>
              <w:rPr>
                <w:sz w:val="15"/>
              </w:rPr>
              <w:t>overall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0.3109</w:t>
            </w:r>
          </w:p>
        </w:tc>
        <w:tc>
          <w:tcPr>
            <w:tcW w:w="2924" w:type="dxa"/>
            <w:gridSpan w:val="2"/>
          </w:tcPr>
          <w:p>
            <w:pPr>
              <w:pStyle w:val="TableParagraph"/>
              <w:spacing w:line="152" w:lineRule="exact" w:before="30"/>
              <w:ind w:right="184"/>
              <w:rPr>
                <w:sz w:val="15"/>
              </w:rPr>
            </w:pPr>
            <w:r>
              <w:rPr>
                <w:sz w:val="15"/>
              </w:rPr>
              <w:t>max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line="152" w:lineRule="exact" w:before="30"/>
              <w:ind w:right="45"/>
              <w:rPr>
                <w:sz w:val="15"/>
              </w:rPr>
            </w:pPr>
            <w:r>
              <w:rPr>
                <w:sz w:val="15"/>
              </w:rPr>
              <w:t>548</w:t>
            </w:r>
          </w:p>
        </w:tc>
      </w:tr>
      <w:tr>
        <w:trPr>
          <w:trHeight w:val="480" w:hRule="atLeast"/>
        </w:trPr>
        <w:tc>
          <w:tcPr>
            <w:tcW w:w="130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2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07" w:type="dxa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885"/>
              <w:jc w:val="left"/>
              <w:rPr>
                <w:sz w:val="15"/>
              </w:rPr>
            </w:pPr>
            <w:r>
              <w:rPr>
                <w:sz w:val="15"/>
              </w:rPr>
              <w:t>Wald</w:t>
            </w:r>
            <w:r>
              <w:rPr>
                <w:spacing w:val="21"/>
                <w:sz w:val="15"/>
              </w:rPr>
              <w:t> </w:t>
            </w:r>
            <w:r>
              <w:rPr>
                <w:sz w:val="15"/>
              </w:rPr>
              <w:t>chi2(33)</w:t>
            </w:r>
          </w:p>
        </w:tc>
        <w:tc>
          <w:tcPr>
            <w:tcW w:w="417" w:type="dxa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142"/>
              <w:jc w:val="left"/>
              <w:rPr>
                <w:sz w:val="15"/>
              </w:rPr>
            </w:pPr>
            <w:r>
              <w:rPr>
                <w:w w:val="97"/>
                <w:sz w:val="15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right="45"/>
              <w:rPr>
                <w:sz w:val="15"/>
              </w:rPr>
            </w:pPr>
            <w:r>
              <w:rPr>
                <w:sz w:val="15"/>
              </w:rPr>
              <w:t>360.26</w:t>
            </w:r>
          </w:p>
        </w:tc>
      </w:tr>
      <w:tr>
        <w:trPr>
          <w:trHeight w:val="202" w:hRule="atLeast"/>
        </w:trPr>
        <w:tc>
          <w:tcPr>
            <w:tcW w:w="1301" w:type="dxa"/>
          </w:tcPr>
          <w:p>
            <w:pPr>
              <w:pStyle w:val="TableParagraph"/>
              <w:spacing w:line="152" w:lineRule="exact" w:before="30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corr(u_i,</w:t>
            </w:r>
            <w:r>
              <w:rPr>
                <w:spacing w:val="19"/>
                <w:sz w:val="15"/>
              </w:rPr>
              <w:t> </w:t>
            </w:r>
            <w:r>
              <w:rPr>
                <w:sz w:val="15"/>
              </w:rPr>
              <w:t>X)</w:t>
            </w:r>
          </w:p>
        </w:tc>
        <w:tc>
          <w:tcPr>
            <w:tcW w:w="2322" w:type="dxa"/>
          </w:tcPr>
          <w:p>
            <w:pPr>
              <w:pStyle w:val="TableParagraph"/>
              <w:spacing w:line="152" w:lineRule="exact" w:before="30"/>
              <w:ind w:left="142"/>
              <w:jc w:val="lef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0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(assumed)</w:t>
            </w:r>
          </w:p>
        </w:tc>
        <w:tc>
          <w:tcPr>
            <w:tcW w:w="2507" w:type="dxa"/>
          </w:tcPr>
          <w:p>
            <w:pPr>
              <w:pStyle w:val="TableParagraph"/>
              <w:spacing w:line="152" w:lineRule="exact" w:before="30"/>
              <w:ind w:left="885"/>
              <w:jc w:val="left"/>
              <w:rPr>
                <w:sz w:val="15"/>
              </w:rPr>
            </w:pPr>
            <w:r>
              <w:rPr>
                <w:sz w:val="15"/>
              </w:rPr>
              <w:t>Prob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&gt;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chi2</w:t>
            </w:r>
          </w:p>
        </w:tc>
        <w:tc>
          <w:tcPr>
            <w:tcW w:w="417" w:type="dxa"/>
          </w:tcPr>
          <w:p>
            <w:pPr>
              <w:pStyle w:val="TableParagraph"/>
              <w:spacing w:line="152" w:lineRule="exact" w:before="30"/>
              <w:ind w:left="142"/>
              <w:jc w:val="left"/>
              <w:rPr>
                <w:sz w:val="15"/>
              </w:rPr>
            </w:pPr>
            <w:r>
              <w:rPr>
                <w:w w:val="97"/>
                <w:sz w:val="15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line="152" w:lineRule="exact" w:before="30"/>
              <w:ind w:right="45"/>
              <w:rPr>
                <w:sz w:val="15"/>
              </w:rPr>
            </w:pPr>
            <w:r>
              <w:rPr>
                <w:sz w:val="15"/>
              </w:rPr>
              <w:t>0.0000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5"/>
        <w:gridCol w:w="1205"/>
        <w:gridCol w:w="2508"/>
        <w:gridCol w:w="279"/>
        <w:gridCol w:w="1115"/>
        <w:gridCol w:w="879"/>
      </w:tblGrid>
      <w:tr>
        <w:trPr>
          <w:trHeight w:val="440" w:hRule="atLeast"/>
        </w:trPr>
        <w:tc>
          <w:tcPr>
            <w:tcW w:w="3105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45"/>
              <w:ind w:right="128"/>
              <w:rPr>
                <w:sz w:val="15"/>
              </w:rPr>
            </w:pPr>
            <w:r>
              <w:rPr>
                <w:sz w:val="15"/>
              </w:rPr>
              <w:t>illness</w:t>
            </w:r>
          </w:p>
        </w:tc>
        <w:tc>
          <w:tcPr>
            <w:tcW w:w="1205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45"/>
              <w:ind w:right="133"/>
              <w:rPr>
                <w:sz w:val="15"/>
              </w:rPr>
            </w:pPr>
            <w:r>
              <w:rPr>
                <w:sz w:val="15"/>
              </w:rPr>
              <w:t>Coef.</w:t>
            </w:r>
          </w:p>
        </w:tc>
        <w:tc>
          <w:tcPr>
            <w:tcW w:w="2508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tabs>
                <w:tab w:pos="1393" w:val="left" w:leader="none"/>
                <w:tab w:pos="1857" w:val="left" w:leader="none"/>
              </w:tabs>
              <w:spacing w:before="145"/>
              <w:ind w:right="40"/>
              <w:rPr>
                <w:sz w:val="15"/>
              </w:rPr>
            </w:pPr>
            <w:r>
              <w:rPr>
                <w:sz w:val="15"/>
              </w:rPr>
              <w:t>Std.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Err.</w:t>
              <w:tab/>
              <w:t>z</w:t>
              <w:tab/>
              <w:t>P&gt;|z|</w:t>
            </w:r>
          </w:p>
        </w:tc>
        <w:tc>
          <w:tcPr>
            <w:tcW w:w="279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45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[95%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Conf.</w:t>
            </w:r>
          </w:p>
        </w:tc>
        <w:tc>
          <w:tcPr>
            <w:tcW w:w="879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45"/>
              <w:ind w:right="-15"/>
              <w:rPr>
                <w:sz w:val="15"/>
              </w:rPr>
            </w:pPr>
            <w:r>
              <w:rPr>
                <w:sz w:val="15"/>
              </w:rPr>
              <w:t>Interval]</w:t>
            </w:r>
          </w:p>
        </w:tc>
      </w:tr>
      <w:tr>
        <w:trPr>
          <w:trHeight w:val="342" w:hRule="atLeast"/>
        </w:trPr>
        <w:tc>
          <w:tcPr>
            <w:tcW w:w="3105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46"/>
              <w:ind w:right="128"/>
              <w:rPr>
                <w:sz w:val="15"/>
              </w:rPr>
            </w:pPr>
            <w:r>
              <w:rPr>
                <w:sz w:val="15"/>
              </w:rPr>
              <w:t>familysize</w:t>
            </w:r>
          </w:p>
        </w:tc>
        <w:tc>
          <w:tcPr>
            <w:tcW w:w="1205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46"/>
              <w:ind w:right="133"/>
              <w:rPr>
                <w:sz w:val="15"/>
              </w:rPr>
            </w:pPr>
            <w:r>
              <w:rPr>
                <w:sz w:val="15"/>
              </w:rPr>
              <w:t>.0322915</w:t>
            </w:r>
          </w:p>
        </w:tc>
        <w:tc>
          <w:tcPr>
            <w:tcW w:w="2508" w:type="dxa"/>
            <w:tcBorders>
              <w:top w:val="dashSmallGap" w:sz="6" w:space="0" w:color="000000"/>
            </w:tcBorders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146"/>
              <w:ind w:right="40"/>
              <w:rPr>
                <w:sz w:val="15"/>
              </w:rPr>
            </w:pPr>
            <w:r>
              <w:rPr>
                <w:sz w:val="15"/>
              </w:rPr>
              <w:t>.0157743</w:t>
              <w:tab/>
              <w:t>2.05</w:t>
              <w:tab/>
              <w:t>0.041</w:t>
            </w:r>
          </w:p>
        </w:tc>
        <w:tc>
          <w:tcPr>
            <w:tcW w:w="279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46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.0013745</w:t>
            </w:r>
          </w:p>
        </w:tc>
        <w:tc>
          <w:tcPr>
            <w:tcW w:w="879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46"/>
              <w:ind w:right="-15"/>
              <w:rPr>
                <w:sz w:val="15"/>
              </w:rPr>
            </w:pPr>
            <w:r>
              <w:rPr>
                <w:sz w:val="15"/>
              </w:rPr>
              <w:t>.0632085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hungerandnofood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-.048707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.0575679</w:t>
              <w:tab/>
              <w:t>-0.85</w:t>
              <w:tab/>
              <w:t>0.398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-.1615379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.0641239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gari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.3068223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.2096336</w:t>
              <w:tab/>
              <w:t>1.46</w:t>
              <w:tab/>
              <w:t>0.143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-.1040519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.7176965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rice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-.0499914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.0261156</w:t>
              <w:tab/>
              <w:t>-1.91</w:t>
              <w:tab/>
              <w:t>0.056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-.101177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.0011942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8"/>
              <w:rPr>
                <w:sz w:val="15"/>
              </w:rPr>
            </w:pPr>
            <w:r>
              <w:rPr>
                <w:sz w:val="15"/>
              </w:rPr>
              <w:t>yamorcassavaormaizeflour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3"/>
              <w:rPr>
                <w:sz w:val="15"/>
              </w:rPr>
            </w:pPr>
            <w:r>
              <w:rPr>
                <w:sz w:val="15"/>
              </w:rPr>
              <w:t>-.3641636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021" w:val="left" w:leader="none"/>
                <w:tab w:pos="1857" w:val="left" w:leader="none"/>
              </w:tabs>
              <w:spacing w:before="31"/>
              <w:ind w:right="40"/>
              <w:rPr>
                <w:sz w:val="15"/>
              </w:rPr>
            </w:pPr>
            <w:r>
              <w:rPr>
                <w:sz w:val="15"/>
              </w:rPr>
              <w:t>.0304351</w:t>
              <w:tab/>
              <w:t>-11.97</w:t>
              <w:tab/>
              <w:t>0.000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1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-.4238153</w:t>
            </w:r>
          </w:p>
        </w:tc>
        <w:tc>
          <w:tcPr>
            <w:tcW w:w="879" w:type="dxa"/>
          </w:tcPr>
          <w:p>
            <w:pPr>
              <w:pStyle w:val="TableParagraph"/>
              <w:spacing w:before="31"/>
              <w:ind w:right="-15"/>
              <w:rPr>
                <w:sz w:val="15"/>
              </w:rPr>
            </w:pPr>
            <w:r>
              <w:rPr>
                <w:sz w:val="15"/>
              </w:rPr>
              <w:t>-.3045118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beans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-.0878309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.0605554</w:t>
              <w:tab/>
              <w:t>-1.45</w:t>
              <w:tab/>
              <w:t>0.147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-.2065174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.0308556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meatorfish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-.001356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.0009154</w:t>
              <w:tab/>
              <w:t>-1.48</w:t>
              <w:tab/>
              <w:t>0.139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-.0031502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.0004383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mosquitonetpossession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.0546097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.0972619</w:t>
              <w:tab/>
              <w:t>0.56</w:t>
              <w:tab/>
              <w:t>0.574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-.1360201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.2452395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8"/>
              <w:rPr>
                <w:sz w:val="15"/>
              </w:rPr>
            </w:pPr>
            <w:r>
              <w:rPr>
                <w:sz w:val="15"/>
              </w:rPr>
              <w:t>primaryeducation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3"/>
              <w:rPr>
                <w:sz w:val="15"/>
              </w:rPr>
            </w:pPr>
            <w:r>
              <w:rPr>
                <w:sz w:val="15"/>
              </w:rPr>
              <w:t>-.0021355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1"/>
              <w:ind w:right="40"/>
              <w:rPr>
                <w:sz w:val="15"/>
              </w:rPr>
            </w:pPr>
            <w:r>
              <w:rPr>
                <w:sz w:val="15"/>
              </w:rPr>
              <w:t>.0359767</w:t>
              <w:tab/>
              <w:t>-0.06</w:t>
              <w:tab/>
              <w:t>0.953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1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-.0726485</w:t>
            </w:r>
          </w:p>
        </w:tc>
        <w:tc>
          <w:tcPr>
            <w:tcW w:w="879" w:type="dxa"/>
          </w:tcPr>
          <w:p>
            <w:pPr>
              <w:pStyle w:val="TableParagraph"/>
              <w:spacing w:before="31"/>
              <w:ind w:right="-15"/>
              <w:rPr>
                <w:sz w:val="15"/>
              </w:rPr>
            </w:pPr>
            <w:r>
              <w:rPr>
                <w:sz w:val="15"/>
              </w:rPr>
              <w:t>.0683774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secondarycertificate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.0052951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.0059443</w:t>
              <w:tab/>
              <w:t>0.89</w:t>
              <w:tab/>
              <w:t>0.373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-.0063555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.0169457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higherdegree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-.0587464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.0291108</w:t>
              <w:tab/>
              <w:t>-2.02</w:t>
              <w:tab/>
              <w:t>0.044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-.1158026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-.0016902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nobasiceducation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-.238065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.0699718</w:t>
              <w:tab/>
              <w:t>-3.40</w:t>
              <w:tab/>
              <w:t>0.001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-.3752073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-.1009228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8"/>
              <w:rPr>
                <w:sz w:val="15"/>
              </w:rPr>
            </w:pPr>
            <w:r>
              <w:rPr>
                <w:sz w:val="15"/>
              </w:rPr>
              <w:t>hadelectricity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3"/>
              <w:rPr>
                <w:sz w:val="15"/>
              </w:rPr>
            </w:pPr>
            <w:r>
              <w:rPr>
                <w:sz w:val="15"/>
              </w:rPr>
              <w:t>-.080388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1"/>
              <w:ind w:right="40"/>
              <w:rPr>
                <w:sz w:val="15"/>
              </w:rPr>
            </w:pPr>
            <w:r>
              <w:rPr>
                <w:sz w:val="15"/>
              </w:rPr>
              <w:t>.0840391</w:t>
              <w:tab/>
              <w:t>-0.96</w:t>
              <w:tab/>
              <w:t>0.339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1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-.2451016</w:t>
            </w:r>
          </w:p>
        </w:tc>
        <w:tc>
          <w:tcPr>
            <w:tcW w:w="879" w:type="dxa"/>
          </w:tcPr>
          <w:p>
            <w:pPr>
              <w:pStyle w:val="TableParagraph"/>
              <w:spacing w:before="31"/>
              <w:ind w:right="-15"/>
              <w:rPr>
                <w:sz w:val="15"/>
              </w:rPr>
            </w:pPr>
            <w:r>
              <w:rPr>
                <w:sz w:val="15"/>
              </w:rPr>
              <w:t>.0843255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noelectricity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-.0082947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021" w:val="left" w:leader="none"/>
                <w:tab w:pos="1764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.006174</w:t>
              <w:tab/>
              <w:t>-1.34</w:t>
              <w:tab/>
              <w:t>0.179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-.0203954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.0038061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pipebornewater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-.409349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.0933729</w:t>
              <w:tab/>
              <w:t>-4.38</w:t>
              <w:tab/>
              <w:t>0.000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-.5923565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-.2263415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8"/>
              <w:rPr>
                <w:sz w:val="15"/>
              </w:rPr>
            </w:pPr>
            <w:r>
              <w:rPr>
                <w:sz w:val="15"/>
              </w:rPr>
              <w:t>boreholeandwell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3"/>
              <w:rPr>
                <w:sz w:val="15"/>
              </w:rPr>
            </w:pPr>
            <w:r>
              <w:rPr>
                <w:sz w:val="15"/>
              </w:rPr>
              <w:t>.0565342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1"/>
              <w:ind w:right="40"/>
              <w:rPr>
                <w:sz w:val="15"/>
              </w:rPr>
            </w:pPr>
            <w:r>
              <w:rPr>
                <w:sz w:val="15"/>
              </w:rPr>
              <w:t>.0387937</w:t>
              <w:tab/>
              <w:t>1.46</w:t>
              <w:tab/>
              <w:t>0.145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1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-.0195001</w:t>
            </w:r>
          </w:p>
        </w:tc>
        <w:tc>
          <w:tcPr>
            <w:tcW w:w="879" w:type="dxa"/>
          </w:tcPr>
          <w:p>
            <w:pPr>
              <w:pStyle w:val="TableParagraph"/>
              <w:spacing w:before="31"/>
              <w:ind w:right="-15"/>
              <w:rPr>
                <w:sz w:val="15"/>
              </w:rPr>
            </w:pPr>
            <w:r>
              <w:rPr>
                <w:sz w:val="15"/>
              </w:rPr>
              <w:t>.1325684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riverandspring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.3871706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.0676404</w:t>
              <w:tab/>
              <w:t>5.72</w:t>
              <w:tab/>
              <w:t>0.000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.2545979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.5197434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waterormodernlatrine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.0164452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.0331297</w:t>
              <w:tab/>
              <w:t>0.50</w:t>
              <w:tab/>
              <w:t>0.620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-.0484878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.0813783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pitorlatrine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.3425861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.1246138</w:t>
              <w:tab/>
              <w:t>2.75</w:t>
              <w:tab/>
              <w:t>0.006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.0983476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.5868246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8"/>
              <w:rPr>
                <w:sz w:val="15"/>
              </w:rPr>
            </w:pPr>
            <w:r>
              <w:rPr>
                <w:sz w:val="15"/>
              </w:rPr>
              <w:t>notoiletfacility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3"/>
              <w:rPr>
                <w:sz w:val="15"/>
              </w:rPr>
            </w:pPr>
            <w:r>
              <w:rPr>
                <w:sz w:val="15"/>
              </w:rPr>
              <w:t>.0965068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1"/>
              <w:ind w:right="40"/>
              <w:rPr>
                <w:sz w:val="15"/>
              </w:rPr>
            </w:pPr>
            <w:r>
              <w:rPr>
                <w:sz w:val="15"/>
              </w:rPr>
              <w:t>.0931502</w:t>
              <w:tab/>
              <w:t>1.04</w:t>
              <w:tab/>
              <w:t>0.300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1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-.0860641</w:t>
            </w:r>
          </w:p>
        </w:tc>
        <w:tc>
          <w:tcPr>
            <w:tcW w:w="879" w:type="dxa"/>
          </w:tcPr>
          <w:p>
            <w:pPr>
              <w:pStyle w:val="TableParagraph"/>
              <w:spacing w:before="31"/>
              <w:ind w:right="-15"/>
              <w:rPr>
                <w:sz w:val="15"/>
              </w:rPr>
            </w:pPr>
            <w:r>
              <w:rPr>
                <w:sz w:val="15"/>
              </w:rPr>
              <w:t>.2790778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alcoholicdrinks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.0615368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.0566684</w:t>
              <w:tab/>
              <w:t>1.09</w:t>
              <w:tab/>
              <w:t>0.278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-.0495313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.1726049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selfmedication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.0366789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.0626207</w:t>
              <w:tab/>
              <w:t>0.59</w:t>
              <w:tab/>
              <w:t>0.558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-.0860554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.1594132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seekingmedicalcare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.0464483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.0432777</w:t>
              <w:tab/>
              <w:t>1.07</w:t>
              <w:tab/>
              <w:t>0.283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-.0383744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.131271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8"/>
              <w:rPr>
                <w:sz w:val="15"/>
              </w:rPr>
            </w:pPr>
            <w:r>
              <w:rPr>
                <w:sz w:val="15"/>
              </w:rPr>
              <w:t>otherhealthcare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3"/>
              <w:rPr>
                <w:sz w:val="15"/>
              </w:rPr>
            </w:pPr>
            <w:r>
              <w:rPr>
                <w:sz w:val="15"/>
              </w:rPr>
              <w:t>-.1008039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1"/>
              <w:ind w:right="40"/>
              <w:rPr>
                <w:sz w:val="15"/>
              </w:rPr>
            </w:pPr>
            <w:r>
              <w:rPr>
                <w:sz w:val="15"/>
              </w:rPr>
              <w:t>.1081798</w:t>
              <w:tab/>
              <w:t>-0.93</w:t>
              <w:tab/>
              <w:t>0.351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1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-.3128324</w:t>
            </w:r>
          </w:p>
        </w:tc>
        <w:tc>
          <w:tcPr>
            <w:tcW w:w="879" w:type="dxa"/>
          </w:tcPr>
          <w:p>
            <w:pPr>
              <w:pStyle w:val="TableParagraph"/>
              <w:spacing w:before="31"/>
              <w:ind w:right="-15"/>
              <w:rPr>
                <w:sz w:val="15"/>
              </w:rPr>
            </w:pPr>
            <w:r>
              <w:rPr>
                <w:sz w:val="15"/>
              </w:rPr>
              <w:t>.1112246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wagesandsalaries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.1677345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.1203997</w:t>
              <w:tab/>
              <w:t>1.39</w:t>
              <w:tab/>
              <w:t>0.164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-.0682446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.4037136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entreprisesandbusiness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-.0125291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.0470418</w:t>
              <w:tab/>
              <w:t>-0.27</w:t>
              <w:tab/>
              <w:t>0.790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-.1047292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.0796711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8"/>
              <w:rPr>
                <w:sz w:val="15"/>
              </w:rPr>
            </w:pPr>
            <w:r>
              <w:rPr>
                <w:sz w:val="15"/>
              </w:rPr>
              <w:t>farmingcropandlivestock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3"/>
              <w:rPr>
                <w:sz w:val="15"/>
              </w:rPr>
            </w:pPr>
            <w:r>
              <w:rPr>
                <w:sz w:val="15"/>
              </w:rPr>
              <w:t>-.1452933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1"/>
              <w:ind w:right="40"/>
              <w:rPr>
                <w:sz w:val="15"/>
              </w:rPr>
            </w:pPr>
            <w:r>
              <w:rPr>
                <w:sz w:val="15"/>
              </w:rPr>
              <w:t>.1806954</w:t>
              <w:tab/>
              <w:t>-0.80</w:t>
              <w:tab/>
              <w:t>0.421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1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-.4994499</w:t>
            </w:r>
          </w:p>
        </w:tc>
        <w:tc>
          <w:tcPr>
            <w:tcW w:w="879" w:type="dxa"/>
          </w:tcPr>
          <w:p>
            <w:pPr>
              <w:pStyle w:val="TableParagraph"/>
              <w:spacing w:before="31"/>
              <w:ind w:right="-15"/>
              <w:rPr>
                <w:sz w:val="15"/>
              </w:rPr>
            </w:pPr>
            <w:r>
              <w:rPr>
                <w:sz w:val="15"/>
              </w:rPr>
              <w:t>.2088632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remittances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.0197382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.0487705</w:t>
              <w:tab/>
              <w:t>0.40</w:t>
              <w:tab/>
              <w:t>0.686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-.0758502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.1153267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monetaryandconditionaltransfers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-.1078341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.1401133</w:t>
              <w:tab/>
              <w:t>-0.77</w:t>
              <w:tab/>
              <w:t>0.442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-.3824511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.1667828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pensionsandgrants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.206528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764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.394519</w:t>
              <w:tab/>
              <w:t>0.52</w:t>
              <w:tab/>
              <w:t>0.601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-.566715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.9797709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8"/>
              <w:rPr>
                <w:sz w:val="15"/>
              </w:rPr>
            </w:pPr>
            <w:r>
              <w:rPr>
                <w:w w:val="95"/>
                <w:sz w:val="15"/>
              </w:rPr>
              <w:t>dividendandinterestfrominvestmen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3"/>
              <w:rPr>
                <w:sz w:val="15"/>
              </w:rPr>
            </w:pPr>
            <w:r>
              <w:rPr>
                <w:sz w:val="15"/>
              </w:rPr>
              <w:t>-.6497388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  <w:tab w:pos="1857" w:val="left" w:leader="none"/>
              </w:tabs>
              <w:spacing w:before="31"/>
              <w:ind w:right="40"/>
              <w:rPr>
                <w:sz w:val="15"/>
              </w:rPr>
            </w:pPr>
            <w:r>
              <w:rPr>
                <w:sz w:val="15"/>
              </w:rPr>
              <w:t>.3945093</w:t>
              <w:tab/>
              <w:t>-1.65</w:t>
              <w:tab/>
              <w:t>0.100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1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-1.422963</w:t>
            </w:r>
          </w:p>
        </w:tc>
        <w:tc>
          <w:tcPr>
            <w:tcW w:w="879" w:type="dxa"/>
          </w:tcPr>
          <w:p>
            <w:pPr>
              <w:pStyle w:val="TableParagraph"/>
              <w:spacing w:before="31"/>
              <w:ind w:right="-15"/>
              <w:rPr>
                <w:sz w:val="15"/>
              </w:rPr>
            </w:pPr>
            <w:r>
              <w:rPr>
                <w:sz w:val="15"/>
              </w:rPr>
              <w:t>.1234853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w w:val="95"/>
                <w:sz w:val="15"/>
              </w:rPr>
              <w:t>incomesfromlandandpropertiesowne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.1235836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.0581548</w:t>
              <w:tab/>
              <w:t>2.13</w:t>
              <w:tab/>
              <w:t>0.034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.0096022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.237565</w:t>
            </w: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giniq3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.0036023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.0042607</w:t>
              <w:tab/>
              <w:t>0.85</w:t>
              <w:tab/>
              <w:t>0.398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-.0047484</w:t>
            </w:r>
          </w:p>
        </w:tc>
        <w:tc>
          <w:tcPr>
            <w:tcW w:w="879" w:type="dxa"/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.0119531</w:t>
            </w:r>
          </w:p>
        </w:tc>
      </w:tr>
      <w:tr>
        <w:trPr>
          <w:trHeight w:val="326" w:hRule="atLeast"/>
        </w:trPr>
        <w:tc>
          <w:tcPr>
            <w:tcW w:w="3105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_cons</w:t>
            </w:r>
          </w:p>
        </w:tc>
        <w:tc>
          <w:tcPr>
            <w:tcW w:w="1205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.7884888</w:t>
            </w:r>
          </w:p>
        </w:tc>
        <w:tc>
          <w:tcPr>
            <w:tcW w:w="2508" w:type="dxa"/>
            <w:tcBorders>
              <w:bottom w:val="dashSmallGap" w:sz="6" w:space="0" w:color="000000"/>
            </w:tcBorders>
          </w:tcPr>
          <w:p>
            <w:pPr>
              <w:pStyle w:val="TableParagraph"/>
              <w:tabs>
                <w:tab w:pos="1207" w:val="left" w:leader="none"/>
                <w:tab w:pos="1857" w:val="left" w:leader="none"/>
              </w:tabs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.5913446</w:t>
              <w:tab/>
              <w:t>1.33</w:t>
              <w:tab/>
              <w:t>0.182</w:t>
            </w:r>
          </w:p>
        </w:tc>
        <w:tc>
          <w:tcPr>
            <w:tcW w:w="279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-.3705253</w:t>
            </w:r>
          </w:p>
        </w:tc>
        <w:tc>
          <w:tcPr>
            <w:tcW w:w="879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30"/>
              <w:ind w:right="-15"/>
              <w:rPr>
                <w:sz w:val="15"/>
              </w:rPr>
            </w:pPr>
            <w:r>
              <w:rPr>
                <w:sz w:val="15"/>
              </w:rPr>
              <w:t>1.947503</w:t>
            </w:r>
          </w:p>
        </w:tc>
      </w:tr>
      <w:tr>
        <w:trPr>
          <w:trHeight w:val="342" w:hRule="atLeast"/>
        </w:trPr>
        <w:tc>
          <w:tcPr>
            <w:tcW w:w="3105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45"/>
              <w:ind w:right="128"/>
              <w:rPr>
                <w:sz w:val="15"/>
              </w:rPr>
            </w:pPr>
            <w:r>
              <w:rPr>
                <w:sz w:val="15"/>
              </w:rPr>
              <w:t>sigma_u</w:t>
            </w:r>
          </w:p>
        </w:tc>
        <w:tc>
          <w:tcPr>
            <w:tcW w:w="1205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45"/>
              <w:ind w:right="133"/>
              <w:rPr>
                <w:sz w:val="15"/>
              </w:rPr>
            </w:pPr>
            <w:r>
              <w:rPr>
                <w:sz w:val="15"/>
              </w:rPr>
              <w:t>.22674144</w:t>
            </w:r>
          </w:p>
        </w:tc>
        <w:tc>
          <w:tcPr>
            <w:tcW w:w="2508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9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7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sigma_e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.28903099</w:t>
            </w:r>
          </w:p>
        </w:tc>
        <w:tc>
          <w:tcPr>
            <w:tcW w:w="25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26" w:hRule="atLeast"/>
        </w:trPr>
        <w:tc>
          <w:tcPr>
            <w:tcW w:w="3105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8"/>
              <w:rPr>
                <w:sz w:val="15"/>
              </w:rPr>
            </w:pPr>
            <w:r>
              <w:rPr>
                <w:sz w:val="15"/>
              </w:rPr>
              <w:t>rho</w:t>
            </w:r>
          </w:p>
        </w:tc>
        <w:tc>
          <w:tcPr>
            <w:tcW w:w="1205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30"/>
              <w:ind w:right="133"/>
              <w:rPr>
                <w:sz w:val="15"/>
              </w:rPr>
            </w:pPr>
            <w:r>
              <w:rPr>
                <w:sz w:val="15"/>
              </w:rPr>
              <w:t>.38096668</w:t>
            </w:r>
          </w:p>
        </w:tc>
        <w:tc>
          <w:tcPr>
            <w:tcW w:w="2508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30"/>
              <w:ind w:right="40"/>
              <w:rPr>
                <w:sz w:val="15"/>
              </w:rPr>
            </w:pPr>
            <w:r>
              <w:rPr>
                <w:sz w:val="15"/>
              </w:rPr>
              <w:t>(fraction</w:t>
            </w:r>
            <w:r>
              <w:rPr>
                <w:spacing w:val="18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17"/>
                <w:sz w:val="15"/>
              </w:rPr>
              <w:t> </w:t>
            </w:r>
            <w:r>
              <w:rPr>
                <w:sz w:val="15"/>
              </w:rPr>
              <w:t>variance</w:t>
            </w:r>
            <w:r>
              <w:rPr>
                <w:spacing w:val="17"/>
                <w:sz w:val="15"/>
              </w:rPr>
              <w:t> </w:t>
            </w:r>
            <w:r>
              <w:rPr>
                <w:sz w:val="15"/>
              </w:rPr>
              <w:t>due</w:t>
            </w:r>
          </w:p>
        </w:tc>
        <w:tc>
          <w:tcPr>
            <w:tcW w:w="279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to</w:t>
            </w:r>
          </w:p>
        </w:tc>
        <w:tc>
          <w:tcPr>
            <w:tcW w:w="1115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30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u_i)</w:t>
            </w:r>
          </w:p>
        </w:tc>
        <w:tc>
          <w:tcPr>
            <w:tcW w:w="879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4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Heading5"/>
        <w:spacing w:line="274" w:lineRule="exact" w:before="77"/>
        <w:ind w:left="196" w:right="518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I:</w:t>
      </w:r>
      <w:r>
        <w:rPr>
          <w:spacing w:val="-1"/>
        </w:rPr>
        <w:t> </w:t>
      </w:r>
      <w:r>
        <w:rPr/>
        <w:t>ESTIMATION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WAVE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spacing w:line="274" w:lineRule="exact" w:after="8"/>
        <w:ind w:left="197" w:right="518"/>
        <w:jc w:val="center"/>
      </w:pPr>
      <w:r>
        <w:rPr/>
        <w:t>TABLE</w:t>
      </w:r>
      <w:r>
        <w:rPr>
          <w:spacing w:val="-1"/>
        </w:rPr>
        <w:t> </w:t>
      </w:r>
      <w:r>
        <w:rPr/>
        <w:t>I1:</w:t>
      </w:r>
      <w:r>
        <w:rPr>
          <w:spacing w:val="-2"/>
        </w:rPr>
        <w:t> </w:t>
      </w:r>
      <w:r>
        <w:rPr/>
        <w:t>RELIABILITY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WAVE</w:t>
      </w:r>
      <w:r>
        <w:rPr>
          <w:spacing w:val="-1"/>
        </w:rPr>
        <w:t> </w:t>
      </w:r>
      <w:r>
        <w:rPr/>
        <w:t>II</w:t>
      </w:r>
      <w:r>
        <w:rPr>
          <w:spacing w:val="-4"/>
        </w:rPr>
        <w:t> </w:t>
      </w:r>
      <w:r>
        <w:rPr/>
        <w:t>DATA</w:t>
      </w:r>
    </w:p>
    <w:tbl>
      <w:tblPr>
        <w:tblW w:w="0" w:type="auto"/>
        <w:jc w:val="left"/>
        <w:tblInd w:w="2054" w:type="dxa"/>
        <w:tblBorders>
          <w:top w:val="single" w:sz="8" w:space="0" w:color="D3D3D3"/>
          <w:left w:val="single" w:sz="8" w:space="0" w:color="D3D3D3"/>
          <w:bottom w:val="single" w:sz="8" w:space="0" w:color="D3D3D3"/>
          <w:right w:val="single" w:sz="8" w:space="0" w:color="D3D3D3"/>
          <w:insideH w:val="single" w:sz="8" w:space="0" w:color="D3D3D3"/>
          <w:insideV w:val="single" w:sz="8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1635"/>
      </w:tblGrid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Item</w:t>
            </w:r>
          </w:p>
        </w:tc>
        <w:tc>
          <w:tcPr>
            <w:tcW w:w="163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6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alpha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top w:val="single" w:sz="8" w:space="0" w:color="000000"/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illness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0.7165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familysize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0.8116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hungerandfood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0.8237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gari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0.8132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rice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0.8413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yamorcassavaormaizeflour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0.8107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beans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0.8299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meatorfish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0.7991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mosquitonetpossession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0.8269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primaryeducation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0.8512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secondarycertificate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0.7975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higherdegree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0.8067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nobasiceducation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0.8851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hadelectricity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0.8659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noelectricity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0.8734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pipebornewater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0.8632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boreholeandwell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0.8271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riverandspring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0.8302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noaccesstowater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0.8727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waterormodernlatrine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0.8308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pitorlatrine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0.8775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notoiletfacility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0.8287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alcoholicdrinks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0.8267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selfmedication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0.8513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seekingmedicalcare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0.8165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otherhealthcare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0.8542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wagesandsalaries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0.8211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entreprisesandbusiness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0.8294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farmingcropandlivestock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0.8974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remittances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0.8438</w:t>
            </w:r>
          </w:p>
        </w:tc>
      </w:tr>
      <w:tr>
        <w:trPr>
          <w:trHeight w:val="282" w:hRule="atLeast"/>
        </w:trPr>
        <w:tc>
          <w:tcPr>
            <w:tcW w:w="3870" w:type="dxa"/>
            <w:tcBorders>
              <w:left w:val="single" w:sz="6" w:space="0" w:color="D3D3D3"/>
              <w:bottom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monetaryandconditionaltransfers</w:t>
            </w:r>
          </w:p>
        </w:tc>
        <w:tc>
          <w:tcPr>
            <w:tcW w:w="1635" w:type="dxa"/>
            <w:tcBorders>
              <w:left w:val="single" w:sz="8" w:space="0" w:color="000000"/>
              <w:bottom w:val="single" w:sz="6" w:space="0" w:color="D3D3D3"/>
            </w:tcBorders>
          </w:tcPr>
          <w:p>
            <w:pPr>
              <w:pStyle w:val="TableParagraph"/>
              <w:spacing w:line="249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0.8215</w:t>
            </w:r>
          </w:p>
        </w:tc>
      </w:tr>
      <w:tr>
        <w:trPr>
          <w:trHeight w:val="285" w:hRule="atLeast"/>
        </w:trPr>
        <w:tc>
          <w:tcPr>
            <w:tcW w:w="38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pensionsandgrants</w:t>
            </w:r>
          </w:p>
        </w:tc>
        <w:tc>
          <w:tcPr>
            <w:tcW w:w="1635" w:type="dxa"/>
            <w:tcBorders>
              <w:top w:val="single" w:sz="6" w:space="0" w:color="D3D3D3"/>
              <w:left w:val="single" w:sz="8" w:space="0" w:color="000000"/>
              <w:bottom w:val="single" w:sz="6" w:space="0" w:color="D3D3D3"/>
            </w:tcBorders>
          </w:tcPr>
          <w:p>
            <w:pPr>
              <w:pStyle w:val="TableParagraph"/>
              <w:spacing w:line="249" w:lineRule="exact" w:before="15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0.8624</w:t>
            </w:r>
          </w:p>
        </w:tc>
      </w:tr>
      <w:tr>
        <w:trPr>
          <w:trHeight w:val="285" w:hRule="atLeast"/>
        </w:trPr>
        <w:tc>
          <w:tcPr>
            <w:tcW w:w="38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dividendandinterestfrominvestment</w:t>
            </w:r>
          </w:p>
        </w:tc>
        <w:tc>
          <w:tcPr>
            <w:tcW w:w="1635" w:type="dxa"/>
            <w:tcBorders>
              <w:top w:val="single" w:sz="6" w:space="0" w:color="D3D3D3"/>
              <w:left w:val="single" w:sz="8" w:space="0" w:color="000000"/>
              <w:bottom w:val="single" w:sz="6" w:space="0" w:color="D3D3D3"/>
            </w:tcBorders>
          </w:tcPr>
          <w:p>
            <w:pPr>
              <w:pStyle w:val="TableParagraph"/>
              <w:spacing w:line="249" w:lineRule="exact" w:before="15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0.8813</w:t>
            </w:r>
          </w:p>
        </w:tc>
      </w:tr>
      <w:tr>
        <w:trPr>
          <w:trHeight w:val="285" w:hRule="atLeast"/>
        </w:trPr>
        <w:tc>
          <w:tcPr>
            <w:tcW w:w="38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incomesfromlandandpropertiesowned</w:t>
            </w:r>
          </w:p>
        </w:tc>
        <w:tc>
          <w:tcPr>
            <w:tcW w:w="1635" w:type="dxa"/>
            <w:tcBorders>
              <w:top w:val="single" w:sz="6" w:space="0" w:color="D3D3D3"/>
              <w:left w:val="single" w:sz="8" w:space="0" w:color="000000"/>
              <w:bottom w:val="single" w:sz="6" w:space="0" w:color="D3D3D3"/>
            </w:tcBorders>
          </w:tcPr>
          <w:p>
            <w:pPr>
              <w:pStyle w:val="TableParagraph"/>
              <w:spacing w:line="249" w:lineRule="exact" w:before="15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0.7894</w:t>
            </w:r>
          </w:p>
        </w:tc>
      </w:tr>
      <w:tr>
        <w:trPr>
          <w:trHeight w:val="285" w:hRule="atLeast"/>
        </w:trPr>
        <w:tc>
          <w:tcPr>
            <w:tcW w:w="3870" w:type="dxa"/>
            <w:tcBorders>
              <w:top w:val="single" w:sz="6" w:space="0" w:color="D3D3D3"/>
              <w:left w:val="single" w:sz="6" w:space="0" w:color="D3D3D3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ginicoefficient</w:t>
            </w:r>
          </w:p>
        </w:tc>
        <w:tc>
          <w:tcPr>
            <w:tcW w:w="1635" w:type="dxa"/>
            <w:tcBorders>
              <w:top w:val="single" w:sz="6" w:space="0" w:color="D3D3D3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 w:before="15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0.8126</w:t>
            </w:r>
          </w:p>
        </w:tc>
      </w:tr>
      <w:tr>
        <w:trPr>
          <w:trHeight w:val="284" w:hRule="atLeast"/>
        </w:trPr>
        <w:tc>
          <w:tcPr>
            <w:tcW w:w="3870" w:type="dxa"/>
            <w:tcBorders>
              <w:top w:val="single" w:sz="6" w:space="0" w:color="000000"/>
              <w:left w:val="single" w:sz="6" w:space="0" w:color="D3D3D3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Test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scale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exact" w:before="15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0.8341</w:t>
            </w:r>
          </w:p>
        </w:tc>
      </w:tr>
    </w:tbl>
    <w:p>
      <w:pPr>
        <w:spacing w:after="0" w:line="249" w:lineRule="exact"/>
        <w:jc w:val="left"/>
        <w:rPr>
          <w:rFonts w:ascii="Calibri"/>
          <w:sz w:val="22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 w:after="40"/>
        <w:ind w:left="197" w:right="512"/>
        <w:jc w:val="center"/>
      </w:pPr>
      <w:r>
        <w:rPr/>
        <w:t>TABLE</w:t>
      </w:r>
      <w:r>
        <w:rPr>
          <w:spacing w:val="-1"/>
        </w:rPr>
        <w:t> </w:t>
      </w:r>
      <w:r>
        <w:rPr/>
        <w:t>I2:</w:t>
      </w:r>
      <w:r>
        <w:rPr>
          <w:spacing w:val="-1"/>
        </w:rPr>
        <w:t> </w:t>
      </w:r>
      <w:r>
        <w:rPr/>
        <w:t>POLS</w:t>
      </w:r>
      <w:r>
        <w:rPr>
          <w:spacing w:val="-1"/>
        </w:rPr>
        <w:t> </w:t>
      </w:r>
      <w:r>
        <w:rPr/>
        <w:t>REGRESSION</w:t>
      </w:r>
      <w:r>
        <w:rPr>
          <w:spacing w:val="-2"/>
        </w:rPr>
        <w:t> </w:t>
      </w:r>
      <w:r>
        <w:rPr/>
        <w:t>MODEL –</w:t>
      </w:r>
      <w:r>
        <w:rPr>
          <w:spacing w:val="-1"/>
        </w:rPr>
        <w:t> </w:t>
      </w:r>
      <w:r>
        <w:rPr/>
        <w:t>WAVE</w:t>
      </w:r>
      <w:r>
        <w:rPr>
          <w:spacing w:val="-1"/>
        </w:rPr>
        <w:t> </w:t>
      </w:r>
      <w:r>
        <w:rPr/>
        <w:t>II</w:t>
      </w: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3"/>
        <w:gridCol w:w="2320"/>
        <w:gridCol w:w="402"/>
        <w:gridCol w:w="851"/>
      </w:tblGrid>
      <w:tr>
        <w:trPr>
          <w:trHeight w:val="240" w:hRule="atLeast"/>
        </w:trPr>
        <w:tc>
          <w:tcPr>
            <w:tcW w:w="3483" w:type="dxa"/>
          </w:tcPr>
          <w:p>
            <w:pPr>
              <w:pStyle w:val="TableParagraph"/>
              <w:spacing w:before="5"/>
              <w:ind w:left="50"/>
              <w:jc w:val="left"/>
              <w:rPr>
                <w:sz w:val="18"/>
              </w:rPr>
            </w:pPr>
            <w:r>
              <w:rPr>
                <w:w w:val="75"/>
                <w:sz w:val="18"/>
              </w:rPr>
              <w:t>Logistic</w:t>
            </w:r>
            <w:r>
              <w:rPr>
                <w:spacing w:val="68"/>
                <w:sz w:val="18"/>
              </w:rPr>
              <w:t> </w:t>
            </w:r>
            <w:r>
              <w:rPr>
                <w:w w:val="75"/>
                <w:sz w:val="18"/>
              </w:rPr>
              <w:t>regression</w:t>
            </w:r>
          </w:p>
        </w:tc>
        <w:tc>
          <w:tcPr>
            <w:tcW w:w="2320" w:type="dxa"/>
          </w:tcPr>
          <w:p>
            <w:pPr>
              <w:pStyle w:val="TableParagraph"/>
              <w:spacing w:before="5"/>
              <w:ind w:left="102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Number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of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obs</w:t>
            </w:r>
          </w:p>
        </w:tc>
        <w:tc>
          <w:tcPr>
            <w:tcW w:w="402" w:type="dxa"/>
          </w:tcPr>
          <w:p>
            <w:pPr>
              <w:pStyle w:val="TableParagraph"/>
              <w:spacing w:before="5"/>
              <w:ind w:right="44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=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right="49"/>
              <w:rPr>
                <w:sz w:val="18"/>
              </w:rPr>
            </w:pPr>
            <w:r>
              <w:rPr>
                <w:w w:val="90"/>
                <w:sz w:val="18"/>
              </w:rPr>
              <w:t>27363</w:t>
            </w:r>
          </w:p>
        </w:tc>
      </w:tr>
      <w:tr>
        <w:trPr>
          <w:trHeight w:val="270" w:hRule="atLeast"/>
        </w:trPr>
        <w:tc>
          <w:tcPr>
            <w:tcW w:w="348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spacing w:before="35"/>
              <w:ind w:left="102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LR</w:t>
            </w:r>
            <w:r>
              <w:rPr>
                <w:spacing w:val="14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chi2(34)</w:t>
            </w:r>
          </w:p>
        </w:tc>
        <w:tc>
          <w:tcPr>
            <w:tcW w:w="402" w:type="dxa"/>
          </w:tcPr>
          <w:p>
            <w:pPr>
              <w:pStyle w:val="TableParagraph"/>
              <w:spacing w:before="35"/>
              <w:ind w:right="44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=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9"/>
              <w:rPr>
                <w:sz w:val="18"/>
              </w:rPr>
            </w:pPr>
            <w:r>
              <w:rPr>
                <w:w w:val="90"/>
                <w:sz w:val="18"/>
              </w:rPr>
              <w:t>1764.20</w:t>
            </w:r>
          </w:p>
        </w:tc>
      </w:tr>
      <w:tr>
        <w:trPr>
          <w:trHeight w:val="270" w:hRule="atLeast"/>
        </w:trPr>
        <w:tc>
          <w:tcPr>
            <w:tcW w:w="348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spacing w:before="35"/>
              <w:ind w:left="102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Prob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&gt;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chi2</w:t>
            </w:r>
          </w:p>
        </w:tc>
        <w:tc>
          <w:tcPr>
            <w:tcW w:w="402" w:type="dxa"/>
          </w:tcPr>
          <w:p>
            <w:pPr>
              <w:pStyle w:val="TableParagraph"/>
              <w:spacing w:before="35"/>
              <w:ind w:right="44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=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9"/>
              <w:rPr>
                <w:sz w:val="18"/>
              </w:rPr>
            </w:pPr>
            <w:r>
              <w:rPr>
                <w:w w:val="90"/>
                <w:sz w:val="18"/>
              </w:rPr>
              <w:t>0.0000</w:t>
            </w:r>
          </w:p>
        </w:tc>
      </w:tr>
      <w:tr>
        <w:trPr>
          <w:trHeight w:val="240" w:hRule="atLeast"/>
        </w:trPr>
        <w:tc>
          <w:tcPr>
            <w:tcW w:w="3483" w:type="dxa"/>
          </w:tcPr>
          <w:p>
            <w:pPr>
              <w:pStyle w:val="TableParagraph"/>
              <w:spacing w:line="186" w:lineRule="exact" w:before="35"/>
              <w:ind w:left="50"/>
              <w:jc w:val="left"/>
              <w:rPr>
                <w:sz w:val="18"/>
              </w:rPr>
            </w:pPr>
            <w:r>
              <w:rPr>
                <w:w w:val="75"/>
                <w:sz w:val="18"/>
              </w:rPr>
              <w:t>Log</w:t>
            </w:r>
            <w:r>
              <w:rPr>
                <w:spacing w:val="60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likelihood</w:t>
            </w:r>
            <w:r>
              <w:rPr>
                <w:spacing w:val="60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=</w:t>
            </w:r>
            <w:r>
              <w:rPr>
                <w:spacing w:val="60"/>
                <w:w w:val="75"/>
                <w:sz w:val="18"/>
              </w:rPr>
              <w:t> </w:t>
            </w:r>
            <w:r>
              <w:rPr>
                <w:w w:val="75"/>
                <w:sz w:val="18"/>
              </w:rPr>
              <w:t>-9669.3095</w:t>
            </w:r>
          </w:p>
        </w:tc>
        <w:tc>
          <w:tcPr>
            <w:tcW w:w="2320" w:type="dxa"/>
          </w:tcPr>
          <w:p>
            <w:pPr>
              <w:pStyle w:val="TableParagraph"/>
              <w:spacing w:line="186" w:lineRule="exact" w:before="35"/>
              <w:ind w:left="102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Pseudo</w:t>
            </w:r>
            <w:r>
              <w:rPr>
                <w:spacing w:val="12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R2</w:t>
            </w:r>
          </w:p>
        </w:tc>
        <w:tc>
          <w:tcPr>
            <w:tcW w:w="402" w:type="dxa"/>
          </w:tcPr>
          <w:p>
            <w:pPr>
              <w:pStyle w:val="TableParagraph"/>
              <w:spacing w:line="186" w:lineRule="exact" w:before="35"/>
              <w:ind w:right="44"/>
              <w:jc w:val="center"/>
              <w:rPr>
                <w:sz w:val="18"/>
              </w:rPr>
            </w:pPr>
            <w:r>
              <w:rPr>
                <w:w w:val="77"/>
                <w:sz w:val="18"/>
              </w:rPr>
              <w:t>=</w:t>
            </w:r>
          </w:p>
        </w:tc>
        <w:tc>
          <w:tcPr>
            <w:tcW w:w="851" w:type="dxa"/>
          </w:tcPr>
          <w:p>
            <w:pPr>
              <w:pStyle w:val="TableParagraph"/>
              <w:spacing w:line="186" w:lineRule="exact" w:before="35"/>
              <w:ind w:right="49"/>
              <w:rPr>
                <w:sz w:val="18"/>
              </w:rPr>
            </w:pPr>
            <w:r>
              <w:rPr>
                <w:w w:val="90"/>
                <w:sz w:val="18"/>
              </w:rPr>
              <w:t>0.0836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3"/>
        <w:gridCol w:w="1158"/>
        <w:gridCol w:w="1071"/>
        <w:gridCol w:w="714"/>
        <w:gridCol w:w="758"/>
        <w:gridCol w:w="1205"/>
        <w:gridCol w:w="844"/>
      </w:tblGrid>
      <w:tr>
        <w:trPr>
          <w:trHeight w:val="521" w:hRule="atLeast"/>
        </w:trPr>
        <w:tc>
          <w:tcPr>
            <w:tcW w:w="2983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0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illness</w:t>
            </w:r>
          </w:p>
        </w:tc>
        <w:tc>
          <w:tcPr>
            <w:tcW w:w="1158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0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Coef.</w:t>
            </w:r>
          </w:p>
        </w:tc>
        <w:tc>
          <w:tcPr>
            <w:tcW w:w="1071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0"/>
              <w:ind w:left="144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Std.</w:t>
            </w:r>
            <w:r>
              <w:rPr>
                <w:spacing w:val="12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Err.</w:t>
            </w:r>
          </w:p>
        </w:tc>
        <w:tc>
          <w:tcPr>
            <w:tcW w:w="714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0"/>
              <w:ind w:left="411"/>
              <w:jc w:val="left"/>
              <w:rPr>
                <w:sz w:val="18"/>
              </w:rPr>
            </w:pPr>
            <w:r>
              <w:rPr>
                <w:w w:val="77"/>
                <w:sz w:val="18"/>
              </w:rPr>
              <w:t>z</w:t>
            </w:r>
          </w:p>
        </w:tc>
        <w:tc>
          <w:tcPr>
            <w:tcW w:w="758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0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P&gt;|z|</w:t>
            </w:r>
          </w:p>
        </w:tc>
        <w:tc>
          <w:tcPr>
            <w:tcW w:w="1205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0"/>
              <w:ind w:left="27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[95%</w:t>
            </w:r>
            <w:r>
              <w:rPr>
                <w:spacing w:val="13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Conf.</w:t>
            </w:r>
          </w:p>
        </w:tc>
        <w:tc>
          <w:tcPr>
            <w:tcW w:w="844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0"/>
              <w:ind w:right="-15"/>
              <w:rPr>
                <w:sz w:val="18"/>
              </w:rPr>
            </w:pPr>
            <w:r>
              <w:rPr>
                <w:w w:val="80"/>
                <w:sz w:val="18"/>
              </w:rPr>
              <w:t>Interval]</w:t>
            </w:r>
          </w:p>
        </w:tc>
      </w:tr>
      <w:tr>
        <w:trPr>
          <w:trHeight w:val="406" w:hRule="atLeast"/>
        </w:trPr>
        <w:tc>
          <w:tcPr>
            <w:tcW w:w="2983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0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familysize</w:t>
            </w:r>
          </w:p>
        </w:tc>
        <w:tc>
          <w:tcPr>
            <w:tcW w:w="1158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70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.619775</w:t>
            </w:r>
          </w:p>
        </w:tc>
        <w:tc>
          <w:tcPr>
            <w:tcW w:w="1071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0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.0955443</w:t>
            </w:r>
          </w:p>
        </w:tc>
        <w:tc>
          <w:tcPr>
            <w:tcW w:w="714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0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6.49</w:t>
            </w:r>
          </w:p>
        </w:tc>
        <w:tc>
          <w:tcPr>
            <w:tcW w:w="758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0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0.000</w:t>
            </w:r>
          </w:p>
        </w:tc>
        <w:tc>
          <w:tcPr>
            <w:tcW w:w="1205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0"/>
              <w:ind w:left="27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.4325115</w:t>
            </w:r>
          </w:p>
        </w:tc>
        <w:tc>
          <w:tcPr>
            <w:tcW w:w="844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0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.8070384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hungerornofood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2.287971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.0903016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25.34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0.000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27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2.110983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2.464959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gari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-.0235407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.0780791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-0.30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0.763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-.1765729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.1294914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rice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-.0893447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.1271833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-0.70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0.482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-.3386194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.15993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yamorcassavaormaizeflour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-.3206161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233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.052085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-6.16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0.000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-.4227009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80"/>
                <w:sz w:val="18"/>
              </w:rPr>
              <w:t>-.2185313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beans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-.1595687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.0688224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-2.32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0.020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-.2944581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80"/>
                <w:sz w:val="18"/>
              </w:rPr>
              <w:t>-.0246793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meatorfish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-.0675738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.1124455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-0.60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0.548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27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-.287963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.1528153</w:t>
            </w:r>
          </w:p>
        </w:tc>
      </w:tr>
      <w:tr>
        <w:trPr>
          <w:trHeight w:val="271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mosquitonetpossession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-.6085696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.1121732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-5.43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0.000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27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-.828425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80"/>
                <w:sz w:val="18"/>
              </w:rPr>
              <w:t>-.3887142</w:t>
            </w:r>
          </w:p>
        </w:tc>
      </w:tr>
      <w:tr>
        <w:trPr>
          <w:trHeight w:val="271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primaryeducation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-.9010369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.1336745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-6.74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0.000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-1.163034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80"/>
                <w:sz w:val="18"/>
              </w:rPr>
              <w:t>-.6390397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secondaryeducation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.005712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.0321933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0.18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0.859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-.0573857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.0688096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highercertificate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-.2688609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.0963931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-2.79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0.005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-.4577879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80"/>
                <w:sz w:val="18"/>
              </w:rPr>
              <w:t>-.0799339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nobasiceducation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.00644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.0665013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0.10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0.923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-.1239002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.1367802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hadelectricity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.0277029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.0910199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0.30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0.761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-.1506929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.2060987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noelectricity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-.0397116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233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.083644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-0.47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0.635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-.2036507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.1242276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pipebornewater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-.1200988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.0122086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-9.84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0.000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-.1440272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80"/>
                <w:sz w:val="18"/>
              </w:rPr>
              <w:t>-.0961704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boreholeandwell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-.0061811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.0131541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-0.47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0.638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-.0319627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.0196004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riverandspring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.3581721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.0509201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7.03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0.000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27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.2583705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.4579736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noaccesstowater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.0090922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.1060451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0.09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0.932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-.1987523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.2169367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waterormoderntoilet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.2131714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.2166138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0.98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0.325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27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-.211384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.6377267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pitorlatrinetoilet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.0007565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.0015812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0.48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0.632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-.0023426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.0038556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notoiletfacility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-.0294056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.0464826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-0.63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0.527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-.1205098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.0616986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alcoholic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.0476865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233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.040755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1.17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0.242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-.0321919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.1275649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selfmedication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-.3122838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233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.246798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-1.27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0.206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-.7959989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.1714313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seekingorthodoxyhealthcare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-.1290052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.0441668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-2.92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0.003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-.2155706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80"/>
                <w:sz w:val="18"/>
              </w:rPr>
              <w:t>-.0424398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otherhealthcareservices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.0905103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.0643034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1.41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0.159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27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-.035522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.2165426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wagesandsalaries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-.0250216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233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.022084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-1.13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0.257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-.0683054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.0182622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entreprisesandbusiness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.0029568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.0104243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0.28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0.777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-.0174744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.0233881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cropandlivestockincomes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-.0498366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.0233072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-2.14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0.032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-.0955179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80"/>
                <w:sz w:val="18"/>
              </w:rPr>
              <w:t>-.0041554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remittances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-.3152639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.1148147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-2.75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0.006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-.5402965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80"/>
                <w:sz w:val="18"/>
              </w:rPr>
              <w:t>-.0902313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80"/>
                <w:sz w:val="18"/>
              </w:rPr>
              <w:t>monetaryandconditionaltransfers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-.4958021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233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.088242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-5.62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0.000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-.6687532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-.322851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pensionsandgrants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-.0650273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.1202589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-0.54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0.589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-.3007304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.1706758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75"/>
                <w:sz w:val="18"/>
              </w:rPr>
              <w:t>dividendandinterestfrominvestmen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.0903262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.1791288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0.50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0.614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-.2607597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.4414122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75"/>
                <w:sz w:val="18"/>
              </w:rPr>
              <w:t>incomesfromlandandhouseownership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.0147427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.0410423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0.36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0.719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-.0656988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.0951842</w:t>
            </w:r>
          </w:p>
        </w:tc>
      </w:tr>
      <w:tr>
        <w:trPr>
          <w:trHeight w:val="270" w:hRule="atLeast"/>
        </w:trPr>
        <w:tc>
          <w:tcPr>
            <w:tcW w:w="298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ginicoefficient</w:t>
            </w:r>
          </w:p>
        </w:tc>
        <w:tc>
          <w:tcPr>
            <w:tcW w:w="115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.0294655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.0159784</w:t>
            </w:r>
          </w:p>
        </w:tc>
        <w:tc>
          <w:tcPr>
            <w:tcW w:w="714" w:type="dxa"/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1.84</w:t>
            </w:r>
          </w:p>
        </w:tc>
        <w:tc>
          <w:tcPr>
            <w:tcW w:w="758" w:type="dxa"/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0.065</w:t>
            </w:r>
          </w:p>
        </w:tc>
        <w:tc>
          <w:tcPr>
            <w:tcW w:w="1205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-.0018516</w:t>
            </w:r>
          </w:p>
        </w:tc>
        <w:tc>
          <w:tcPr>
            <w:tcW w:w="844" w:type="dxa"/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.0607825</w:t>
            </w:r>
          </w:p>
        </w:tc>
      </w:tr>
      <w:tr>
        <w:trPr>
          <w:trHeight w:val="386" w:hRule="atLeast"/>
        </w:trPr>
        <w:tc>
          <w:tcPr>
            <w:tcW w:w="2983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1"/>
              <w:rPr>
                <w:sz w:val="18"/>
              </w:rPr>
            </w:pPr>
            <w:r>
              <w:rPr>
                <w:w w:val="90"/>
                <w:sz w:val="18"/>
              </w:rPr>
              <w:t>_cons</w:t>
            </w:r>
          </w:p>
        </w:tc>
        <w:tc>
          <w:tcPr>
            <w:tcW w:w="1158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-.1523866</w:t>
            </w:r>
          </w:p>
        </w:tc>
        <w:tc>
          <w:tcPr>
            <w:tcW w:w="1071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.4245557</w:t>
            </w:r>
          </w:p>
        </w:tc>
        <w:tc>
          <w:tcPr>
            <w:tcW w:w="714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8"/>
              </w:rPr>
            </w:pPr>
            <w:r>
              <w:rPr>
                <w:w w:val="90"/>
                <w:sz w:val="18"/>
              </w:rPr>
              <w:t>-0.36</w:t>
            </w:r>
          </w:p>
        </w:tc>
        <w:tc>
          <w:tcPr>
            <w:tcW w:w="758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5"/>
              <w:ind w:left="1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0.720</w:t>
            </w:r>
          </w:p>
        </w:tc>
        <w:tc>
          <w:tcPr>
            <w:tcW w:w="1205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5"/>
              <w:ind w:left="1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-.9845004</w:t>
            </w:r>
          </w:p>
        </w:tc>
        <w:tc>
          <w:tcPr>
            <w:tcW w:w="844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5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.6797272</w:t>
            </w:r>
          </w:p>
        </w:tc>
      </w:tr>
    </w:tbl>
    <w:p>
      <w:pPr>
        <w:pStyle w:val="BodyText"/>
        <w:spacing w:before="4"/>
        <w:rPr>
          <w:sz w:val="29"/>
        </w:rPr>
      </w:pPr>
    </w:p>
    <w:p>
      <w:pPr>
        <w:spacing w:before="105"/>
        <w:ind w:left="158" w:right="0" w:firstLine="0"/>
        <w:jc w:val="left"/>
        <w:rPr>
          <w:rFonts w:ascii="Courier New"/>
          <w:sz w:val="18"/>
        </w:rPr>
      </w:pPr>
      <w:r>
        <w:rPr>
          <w:rFonts w:ascii="Courier New"/>
          <w:w w:val="77"/>
          <w:sz w:val="18"/>
        </w:rPr>
        <w:t>.</w:t>
      </w:r>
    </w:p>
    <w:p>
      <w:pPr>
        <w:spacing w:after="0"/>
        <w:jc w:val="left"/>
        <w:rPr>
          <w:rFonts w:ascii="Courier New"/>
          <w:sz w:val="18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2"/>
        <w:jc w:val="center"/>
      </w:pPr>
      <w:r>
        <w:rPr/>
        <w:t>TABLE</w:t>
      </w:r>
      <w:r>
        <w:rPr>
          <w:spacing w:val="-1"/>
        </w:rPr>
        <w:t> </w:t>
      </w:r>
      <w:r>
        <w:rPr/>
        <w:t>I3: FIXED</w:t>
      </w:r>
      <w:r>
        <w:rPr>
          <w:spacing w:val="-3"/>
        </w:rPr>
        <w:t> </w:t>
      </w:r>
      <w:r>
        <w:rPr/>
        <w:t>EFFECT</w:t>
      </w:r>
      <w:r>
        <w:rPr>
          <w:spacing w:val="-1"/>
        </w:rPr>
        <w:t> </w:t>
      </w:r>
      <w:r>
        <w:rPr/>
        <w:t>REGRESSION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WAVE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1"/>
        <w:gridCol w:w="2373"/>
        <w:gridCol w:w="2238"/>
        <w:gridCol w:w="402"/>
        <w:gridCol w:w="763"/>
      </w:tblGrid>
      <w:tr>
        <w:trPr>
          <w:trHeight w:val="189" w:hRule="atLeast"/>
        </w:trPr>
        <w:tc>
          <w:tcPr>
            <w:tcW w:w="3674" w:type="dxa"/>
            <w:gridSpan w:val="2"/>
          </w:tcPr>
          <w:p>
            <w:pPr>
              <w:pStyle w:val="TableParagraph"/>
              <w:spacing w:before="5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Fixed-effects</w:t>
            </w:r>
            <w:r>
              <w:rPr>
                <w:spacing w:val="71"/>
                <w:sz w:val="14"/>
              </w:rPr>
              <w:t> </w:t>
            </w:r>
            <w:r>
              <w:rPr>
                <w:sz w:val="14"/>
              </w:rPr>
              <w:t>(within)</w:t>
            </w:r>
            <w:r>
              <w:rPr>
                <w:spacing w:val="71"/>
                <w:sz w:val="14"/>
              </w:rPr>
              <w:t> </w:t>
            </w:r>
            <w:r>
              <w:rPr>
                <w:sz w:val="14"/>
              </w:rPr>
              <w:t>regression</w:t>
            </w:r>
          </w:p>
        </w:tc>
        <w:tc>
          <w:tcPr>
            <w:tcW w:w="2238" w:type="dxa"/>
          </w:tcPr>
          <w:p>
            <w:pPr>
              <w:pStyle w:val="TableParagraph"/>
              <w:spacing w:before="5"/>
              <w:ind w:left="675"/>
              <w:jc w:val="left"/>
              <w:rPr>
                <w:sz w:val="14"/>
              </w:rPr>
            </w:pPr>
            <w:r>
              <w:rPr>
                <w:sz w:val="14"/>
              </w:rPr>
              <w:t>Number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28"/>
                <w:sz w:val="14"/>
              </w:rPr>
              <w:t> </w:t>
            </w:r>
            <w:r>
              <w:rPr>
                <w:sz w:val="14"/>
              </w:rPr>
              <w:t>obs</w:t>
            </w:r>
          </w:p>
        </w:tc>
        <w:tc>
          <w:tcPr>
            <w:tcW w:w="402" w:type="dxa"/>
          </w:tcPr>
          <w:p>
            <w:pPr>
              <w:pStyle w:val="TableParagraph"/>
              <w:spacing w:before="5"/>
              <w:ind w:left="138"/>
              <w:jc w:val="left"/>
              <w:rPr>
                <w:sz w:val="14"/>
              </w:rPr>
            </w:pPr>
            <w:r>
              <w:rPr>
                <w:w w:val="100"/>
                <w:sz w:val="14"/>
              </w:rPr>
              <w:t>=</w:t>
            </w:r>
          </w:p>
        </w:tc>
        <w:tc>
          <w:tcPr>
            <w:tcW w:w="763" w:type="dxa"/>
          </w:tcPr>
          <w:p>
            <w:pPr>
              <w:pStyle w:val="TableParagraph"/>
              <w:spacing w:before="5"/>
              <w:ind w:right="44"/>
              <w:rPr>
                <w:sz w:val="14"/>
              </w:rPr>
            </w:pPr>
            <w:r>
              <w:rPr>
                <w:sz w:val="14"/>
              </w:rPr>
              <w:t>27363</w:t>
            </w:r>
          </w:p>
        </w:tc>
      </w:tr>
      <w:tr>
        <w:trPr>
          <w:trHeight w:val="189" w:hRule="atLeast"/>
        </w:trPr>
        <w:tc>
          <w:tcPr>
            <w:tcW w:w="3674" w:type="dxa"/>
            <w:gridSpan w:val="2"/>
          </w:tcPr>
          <w:p>
            <w:pPr>
              <w:pStyle w:val="TableParagraph"/>
              <w:spacing w:line="140" w:lineRule="exact" w:before="2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Group</w:t>
            </w:r>
            <w:r>
              <w:rPr>
                <w:spacing w:val="45"/>
                <w:sz w:val="14"/>
              </w:rPr>
              <w:t> </w:t>
            </w:r>
            <w:r>
              <w:rPr>
                <w:sz w:val="14"/>
              </w:rPr>
              <w:t>variable:</w:t>
            </w:r>
            <w:r>
              <w:rPr>
                <w:spacing w:val="45"/>
                <w:sz w:val="14"/>
              </w:rPr>
              <w:t> </w:t>
            </w:r>
            <w:r>
              <w:rPr>
                <w:sz w:val="14"/>
              </w:rPr>
              <w:t>state</w:t>
            </w:r>
          </w:p>
        </w:tc>
        <w:tc>
          <w:tcPr>
            <w:tcW w:w="2238" w:type="dxa"/>
          </w:tcPr>
          <w:p>
            <w:pPr>
              <w:pStyle w:val="TableParagraph"/>
              <w:spacing w:line="140" w:lineRule="exact" w:before="28"/>
              <w:ind w:left="675"/>
              <w:jc w:val="left"/>
              <w:rPr>
                <w:sz w:val="14"/>
              </w:rPr>
            </w:pPr>
            <w:r>
              <w:rPr>
                <w:sz w:val="14"/>
              </w:rPr>
              <w:t>Number</w:t>
            </w:r>
            <w:r>
              <w:rPr>
                <w:spacing w:val="3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34"/>
                <w:sz w:val="14"/>
              </w:rPr>
              <w:t> </w:t>
            </w:r>
            <w:r>
              <w:rPr>
                <w:sz w:val="14"/>
              </w:rPr>
              <w:t>groups</w:t>
            </w:r>
          </w:p>
        </w:tc>
        <w:tc>
          <w:tcPr>
            <w:tcW w:w="402" w:type="dxa"/>
          </w:tcPr>
          <w:p>
            <w:pPr>
              <w:pStyle w:val="TableParagraph"/>
              <w:spacing w:line="140" w:lineRule="exact" w:before="28"/>
              <w:ind w:left="138"/>
              <w:jc w:val="left"/>
              <w:rPr>
                <w:sz w:val="14"/>
              </w:rPr>
            </w:pPr>
            <w:r>
              <w:rPr>
                <w:w w:val="100"/>
                <w:sz w:val="14"/>
              </w:rPr>
              <w:t>=</w:t>
            </w:r>
          </w:p>
        </w:tc>
        <w:tc>
          <w:tcPr>
            <w:tcW w:w="763" w:type="dxa"/>
          </w:tcPr>
          <w:p>
            <w:pPr>
              <w:pStyle w:val="TableParagraph"/>
              <w:spacing w:line="140" w:lineRule="exact" w:before="28"/>
              <w:ind w:right="44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</w:tr>
      <w:tr>
        <w:trPr>
          <w:trHeight w:val="448" w:hRule="atLeast"/>
        </w:trPr>
        <w:tc>
          <w:tcPr>
            <w:tcW w:w="3674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R-sq:</w:t>
            </w:r>
            <w:r>
              <w:rPr>
                <w:spacing w:val="127"/>
                <w:sz w:val="14"/>
              </w:rPr>
              <w:t> </w:t>
            </w:r>
            <w:r>
              <w:rPr>
                <w:sz w:val="14"/>
              </w:rPr>
              <w:t>within</w:t>
            </w:r>
            <w:r>
              <w:rPr>
                <w:spacing w:val="128"/>
                <w:sz w:val="14"/>
              </w:rPr>
              <w:t> </w:t>
            </w:r>
            <w:r>
              <w:rPr>
                <w:sz w:val="14"/>
              </w:rPr>
              <w:t>=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0.0873</w:t>
            </w:r>
          </w:p>
        </w:tc>
        <w:tc>
          <w:tcPr>
            <w:tcW w:w="2640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675"/>
              <w:jc w:val="left"/>
              <w:rPr>
                <w:sz w:val="14"/>
              </w:rPr>
            </w:pPr>
            <w:r>
              <w:rPr>
                <w:sz w:val="14"/>
              </w:rPr>
              <w:t>Obs</w:t>
            </w:r>
            <w:r>
              <w:rPr>
                <w:spacing w:val="23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24"/>
                <w:sz w:val="14"/>
              </w:rPr>
              <w:t> </w:t>
            </w:r>
            <w:r>
              <w:rPr>
                <w:sz w:val="14"/>
              </w:rPr>
              <w:t>group:</w:t>
            </w:r>
            <w:r>
              <w:rPr>
                <w:spacing w:val="24"/>
                <w:sz w:val="14"/>
              </w:rPr>
              <w:t> </w:t>
            </w:r>
            <w:r>
              <w:rPr>
                <w:sz w:val="14"/>
              </w:rPr>
              <w:t>min</w:t>
            </w:r>
            <w:r>
              <w:rPr>
                <w:spacing w:val="23"/>
                <w:sz w:val="14"/>
              </w:rPr>
              <w:t> </w:t>
            </w:r>
            <w:r>
              <w:rPr>
                <w:sz w:val="14"/>
              </w:rPr>
              <w:t>=</w:t>
            </w: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44"/>
              <w:rPr>
                <w:sz w:val="14"/>
              </w:rPr>
            </w:pPr>
            <w:r>
              <w:rPr>
                <w:w w:val="100"/>
                <w:sz w:val="14"/>
              </w:rPr>
              <w:t>6</w:t>
            </w:r>
          </w:p>
        </w:tc>
      </w:tr>
      <w:tr>
        <w:trPr>
          <w:trHeight w:val="212" w:hRule="atLeast"/>
        </w:trPr>
        <w:tc>
          <w:tcPr>
            <w:tcW w:w="3674" w:type="dxa"/>
            <w:gridSpan w:val="2"/>
          </w:tcPr>
          <w:p>
            <w:pPr>
              <w:pStyle w:val="TableParagraph"/>
              <w:spacing w:before="28"/>
              <w:ind w:left="677"/>
              <w:jc w:val="left"/>
              <w:rPr>
                <w:sz w:val="14"/>
              </w:rPr>
            </w:pPr>
            <w:r>
              <w:rPr>
                <w:sz w:val="14"/>
              </w:rPr>
              <w:t>between</w:t>
            </w:r>
            <w:r>
              <w:rPr>
                <w:spacing w:val="34"/>
                <w:sz w:val="14"/>
              </w:rPr>
              <w:t> </w:t>
            </w:r>
            <w:r>
              <w:rPr>
                <w:sz w:val="14"/>
              </w:rPr>
              <w:t>=</w:t>
            </w:r>
            <w:r>
              <w:rPr>
                <w:spacing w:val="34"/>
                <w:sz w:val="14"/>
              </w:rPr>
              <w:t> </w:t>
            </w:r>
            <w:r>
              <w:rPr>
                <w:sz w:val="14"/>
              </w:rPr>
              <w:t>0.0102</w:t>
            </w:r>
          </w:p>
        </w:tc>
        <w:tc>
          <w:tcPr>
            <w:tcW w:w="2640" w:type="dxa"/>
            <w:gridSpan w:val="2"/>
          </w:tcPr>
          <w:p>
            <w:pPr>
              <w:pStyle w:val="TableParagraph"/>
              <w:spacing w:before="28"/>
              <w:ind w:right="176"/>
              <w:rPr>
                <w:sz w:val="14"/>
              </w:rPr>
            </w:pPr>
            <w:r>
              <w:rPr>
                <w:sz w:val="14"/>
              </w:rPr>
              <w:t>avg</w:t>
            </w:r>
            <w:r>
              <w:rPr>
                <w:spacing w:val="17"/>
                <w:sz w:val="14"/>
              </w:rPr>
              <w:t> </w:t>
            </w:r>
            <w:r>
              <w:rPr>
                <w:sz w:val="14"/>
              </w:rPr>
              <w:t>=</w:t>
            </w:r>
          </w:p>
        </w:tc>
        <w:tc>
          <w:tcPr>
            <w:tcW w:w="763" w:type="dxa"/>
          </w:tcPr>
          <w:p>
            <w:pPr>
              <w:pStyle w:val="TableParagraph"/>
              <w:spacing w:before="28"/>
              <w:ind w:right="44"/>
              <w:rPr>
                <w:sz w:val="14"/>
              </w:rPr>
            </w:pPr>
            <w:r>
              <w:rPr>
                <w:sz w:val="14"/>
              </w:rPr>
              <w:t>739.5</w:t>
            </w:r>
          </w:p>
        </w:tc>
      </w:tr>
      <w:tr>
        <w:trPr>
          <w:trHeight w:val="189" w:hRule="atLeast"/>
        </w:trPr>
        <w:tc>
          <w:tcPr>
            <w:tcW w:w="3674" w:type="dxa"/>
            <w:gridSpan w:val="2"/>
          </w:tcPr>
          <w:p>
            <w:pPr>
              <w:pStyle w:val="TableParagraph"/>
              <w:spacing w:line="140" w:lineRule="exact" w:before="29"/>
              <w:ind w:left="677"/>
              <w:jc w:val="left"/>
              <w:rPr>
                <w:sz w:val="14"/>
              </w:rPr>
            </w:pPr>
            <w:r>
              <w:rPr>
                <w:sz w:val="14"/>
              </w:rPr>
              <w:t>overall</w:t>
            </w:r>
            <w:r>
              <w:rPr>
                <w:spacing w:val="34"/>
                <w:sz w:val="14"/>
              </w:rPr>
              <w:t> </w:t>
            </w:r>
            <w:r>
              <w:rPr>
                <w:sz w:val="14"/>
              </w:rPr>
              <w:t>=</w:t>
            </w:r>
            <w:r>
              <w:rPr>
                <w:spacing w:val="34"/>
                <w:sz w:val="14"/>
              </w:rPr>
              <w:t> </w:t>
            </w:r>
            <w:r>
              <w:rPr>
                <w:sz w:val="14"/>
              </w:rPr>
              <w:t>0.0852</w:t>
            </w:r>
          </w:p>
        </w:tc>
        <w:tc>
          <w:tcPr>
            <w:tcW w:w="2640" w:type="dxa"/>
            <w:gridSpan w:val="2"/>
          </w:tcPr>
          <w:p>
            <w:pPr>
              <w:pStyle w:val="TableParagraph"/>
              <w:spacing w:line="140" w:lineRule="exact" w:before="29"/>
              <w:ind w:right="176"/>
              <w:rPr>
                <w:sz w:val="14"/>
              </w:rPr>
            </w:pPr>
            <w:r>
              <w:rPr>
                <w:sz w:val="14"/>
              </w:rPr>
              <w:t>max</w:t>
            </w:r>
            <w:r>
              <w:rPr>
                <w:spacing w:val="17"/>
                <w:sz w:val="14"/>
              </w:rPr>
              <w:t> </w:t>
            </w:r>
            <w:r>
              <w:rPr>
                <w:sz w:val="14"/>
              </w:rPr>
              <w:t>=</w:t>
            </w:r>
          </w:p>
        </w:tc>
        <w:tc>
          <w:tcPr>
            <w:tcW w:w="763" w:type="dxa"/>
          </w:tcPr>
          <w:p>
            <w:pPr>
              <w:pStyle w:val="TableParagraph"/>
              <w:spacing w:line="140" w:lineRule="exact" w:before="29"/>
              <w:ind w:right="44"/>
              <w:rPr>
                <w:sz w:val="14"/>
              </w:rPr>
            </w:pPr>
            <w:r>
              <w:rPr>
                <w:sz w:val="14"/>
              </w:rPr>
              <w:t>1370</w:t>
            </w:r>
          </w:p>
        </w:tc>
      </w:tr>
      <w:tr>
        <w:trPr>
          <w:trHeight w:val="448" w:hRule="atLeast"/>
        </w:trPr>
        <w:tc>
          <w:tcPr>
            <w:tcW w:w="130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38" w:type="dxa"/>
          </w:tcPr>
          <w:p>
            <w:pPr>
              <w:pStyle w:val="TableParagraph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675"/>
              <w:jc w:val="left"/>
              <w:rPr>
                <w:sz w:val="14"/>
              </w:rPr>
            </w:pPr>
            <w:r>
              <w:rPr>
                <w:sz w:val="14"/>
              </w:rPr>
              <w:t>F(34,27292)</w:t>
            </w:r>
          </w:p>
        </w:tc>
        <w:tc>
          <w:tcPr>
            <w:tcW w:w="402" w:type="dxa"/>
          </w:tcPr>
          <w:p>
            <w:pPr>
              <w:pStyle w:val="TableParagraph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38"/>
              <w:jc w:val="left"/>
              <w:rPr>
                <w:sz w:val="14"/>
              </w:rPr>
            </w:pPr>
            <w:r>
              <w:rPr>
                <w:w w:val="100"/>
                <w:sz w:val="14"/>
              </w:rPr>
              <w:t>=</w:t>
            </w: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44"/>
              <w:rPr>
                <w:sz w:val="14"/>
              </w:rPr>
            </w:pPr>
            <w:r>
              <w:rPr>
                <w:sz w:val="14"/>
              </w:rPr>
              <w:t>76.82</w:t>
            </w:r>
          </w:p>
        </w:tc>
      </w:tr>
      <w:tr>
        <w:trPr>
          <w:trHeight w:val="189" w:hRule="atLeast"/>
        </w:trPr>
        <w:tc>
          <w:tcPr>
            <w:tcW w:w="1301" w:type="dxa"/>
          </w:tcPr>
          <w:p>
            <w:pPr>
              <w:pStyle w:val="TableParagraph"/>
              <w:spacing w:line="140" w:lineRule="exact" w:before="2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corr(u_i,</w:t>
            </w:r>
            <w:r>
              <w:rPr>
                <w:spacing w:val="46"/>
                <w:sz w:val="14"/>
              </w:rPr>
              <w:t> </w:t>
            </w:r>
            <w:r>
              <w:rPr>
                <w:sz w:val="14"/>
              </w:rPr>
              <w:t>Xb)</w:t>
            </w:r>
          </w:p>
        </w:tc>
        <w:tc>
          <w:tcPr>
            <w:tcW w:w="2373" w:type="dxa"/>
          </w:tcPr>
          <w:p>
            <w:pPr>
              <w:pStyle w:val="TableParagraph"/>
              <w:spacing w:line="140" w:lineRule="exact" w:before="28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=</w:t>
            </w:r>
            <w:r>
              <w:rPr>
                <w:spacing w:val="32"/>
                <w:sz w:val="14"/>
              </w:rPr>
              <w:t> </w:t>
            </w:r>
            <w:r>
              <w:rPr>
                <w:sz w:val="14"/>
              </w:rPr>
              <w:t>-0.0168</w:t>
            </w:r>
          </w:p>
        </w:tc>
        <w:tc>
          <w:tcPr>
            <w:tcW w:w="2238" w:type="dxa"/>
          </w:tcPr>
          <w:p>
            <w:pPr>
              <w:pStyle w:val="TableParagraph"/>
              <w:spacing w:line="140" w:lineRule="exact" w:before="28"/>
              <w:ind w:left="675"/>
              <w:jc w:val="left"/>
              <w:rPr>
                <w:sz w:val="14"/>
              </w:rPr>
            </w:pPr>
            <w:r>
              <w:rPr>
                <w:sz w:val="14"/>
              </w:rPr>
              <w:t>Prob</w:t>
            </w:r>
            <w:r>
              <w:rPr>
                <w:spacing w:val="16"/>
                <w:sz w:val="14"/>
              </w:rPr>
              <w:t> </w:t>
            </w:r>
            <w:r>
              <w:rPr>
                <w:sz w:val="14"/>
              </w:rPr>
              <w:t>&gt;</w:t>
            </w:r>
            <w:r>
              <w:rPr>
                <w:spacing w:val="17"/>
                <w:sz w:val="14"/>
              </w:rPr>
              <w:t> </w:t>
            </w:r>
            <w:r>
              <w:rPr>
                <w:sz w:val="14"/>
              </w:rPr>
              <w:t>F</w:t>
            </w:r>
          </w:p>
        </w:tc>
        <w:tc>
          <w:tcPr>
            <w:tcW w:w="402" w:type="dxa"/>
          </w:tcPr>
          <w:p>
            <w:pPr>
              <w:pStyle w:val="TableParagraph"/>
              <w:spacing w:line="140" w:lineRule="exact" w:before="28"/>
              <w:ind w:left="138"/>
              <w:jc w:val="left"/>
              <w:rPr>
                <w:sz w:val="14"/>
              </w:rPr>
            </w:pPr>
            <w:r>
              <w:rPr>
                <w:w w:val="100"/>
                <w:sz w:val="14"/>
              </w:rPr>
              <w:t>=</w:t>
            </w:r>
          </w:p>
        </w:tc>
        <w:tc>
          <w:tcPr>
            <w:tcW w:w="763" w:type="dxa"/>
          </w:tcPr>
          <w:p>
            <w:pPr>
              <w:pStyle w:val="TableParagraph"/>
              <w:spacing w:line="140" w:lineRule="exact" w:before="28"/>
              <w:ind w:right="44"/>
              <w:rPr>
                <w:sz w:val="14"/>
              </w:rPr>
            </w:pPr>
            <w:r>
              <w:rPr>
                <w:sz w:val="14"/>
              </w:rPr>
              <w:t>0.0000</w:t>
            </w:r>
          </w:p>
        </w:tc>
      </w:tr>
    </w:tbl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4"/>
        <w:gridCol w:w="1162"/>
        <w:gridCol w:w="2418"/>
        <w:gridCol w:w="269"/>
        <w:gridCol w:w="1075"/>
        <w:gridCol w:w="847"/>
      </w:tblGrid>
      <w:tr>
        <w:trPr>
          <w:trHeight w:val="409" w:hRule="atLeast"/>
        </w:trPr>
        <w:tc>
          <w:tcPr>
            <w:tcW w:w="2994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5"/>
              <w:ind w:right="123"/>
              <w:rPr>
                <w:sz w:val="14"/>
              </w:rPr>
            </w:pPr>
            <w:r>
              <w:rPr>
                <w:sz w:val="14"/>
              </w:rPr>
              <w:t>illness</w:t>
            </w:r>
          </w:p>
        </w:tc>
        <w:tc>
          <w:tcPr>
            <w:tcW w:w="1162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5"/>
              <w:ind w:right="128"/>
              <w:rPr>
                <w:sz w:val="14"/>
              </w:rPr>
            </w:pPr>
            <w:r>
              <w:rPr>
                <w:sz w:val="14"/>
              </w:rPr>
              <w:t>Coef.</w:t>
            </w:r>
          </w:p>
        </w:tc>
        <w:tc>
          <w:tcPr>
            <w:tcW w:w="2418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tabs>
                <w:tab w:pos="1343" w:val="left" w:leader="none"/>
                <w:tab w:pos="1791" w:val="left" w:leader="none"/>
              </w:tabs>
              <w:spacing w:before="135"/>
              <w:ind w:right="38"/>
              <w:rPr>
                <w:sz w:val="14"/>
              </w:rPr>
            </w:pPr>
            <w:r>
              <w:rPr>
                <w:sz w:val="14"/>
              </w:rPr>
              <w:t>Std.</w:t>
            </w:r>
            <w:r>
              <w:rPr>
                <w:spacing w:val="28"/>
                <w:sz w:val="14"/>
              </w:rPr>
              <w:t> </w:t>
            </w:r>
            <w:r>
              <w:rPr>
                <w:sz w:val="14"/>
              </w:rPr>
              <w:t>Err.</w:t>
              <w:tab/>
              <w:t>t</w:t>
              <w:tab/>
              <w:t>P&gt;|t|</w:t>
            </w:r>
          </w:p>
        </w:tc>
        <w:tc>
          <w:tcPr>
            <w:tcW w:w="269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5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[95%</w:t>
            </w:r>
            <w:r>
              <w:rPr>
                <w:spacing w:val="36"/>
                <w:sz w:val="14"/>
              </w:rPr>
              <w:t> </w:t>
            </w:r>
            <w:r>
              <w:rPr>
                <w:sz w:val="14"/>
              </w:rPr>
              <w:t>Conf.</w:t>
            </w:r>
          </w:p>
        </w:tc>
        <w:tc>
          <w:tcPr>
            <w:tcW w:w="847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5"/>
              <w:ind w:left="53" w:right="-15"/>
              <w:jc w:val="center"/>
              <w:rPr>
                <w:sz w:val="14"/>
              </w:rPr>
            </w:pPr>
            <w:r>
              <w:rPr>
                <w:sz w:val="14"/>
              </w:rPr>
              <w:t>Interval]</w:t>
            </w:r>
          </w:p>
        </w:tc>
      </w:tr>
      <w:tr>
        <w:trPr>
          <w:trHeight w:val="319" w:hRule="atLeast"/>
        </w:trPr>
        <w:tc>
          <w:tcPr>
            <w:tcW w:w="2994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5"/>
              <w:ind w:right="123"/>
              <w:rPr>
                <w:sz w:val="14"/>
              </w:rPr>
            </w:pPr>
            <w:r>
              <w:rPr>
                <w:sz w:val="14"/>
              </w:rPr>
              <w:t>familysize</w:t>
            </w:r>
          </w:p>
        </w:tc>
        <w:tc>
          <w:tcPr>
            <w:tcW w:w="1162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35"/>
              <w:ind w:right="128"/>
              <w:rPr>
                <w:sz w:val="14"/>
              </w:rPr>
            </w:pPr>
            <w:r>
              <w:rPr>
                <w:sz w:val="14"/>
              </w:rPr>
              <w:t>.0779411</w:t>
            </w:r>
          </w:p>
        </w:tc>
        <w:tc>
          <w:tcPr>
            <w:tcW w:w="2418" w:type="dxa"/>
            <w:tcBorders>
              <w:top w:val="dashSmallGap" w:sz="6" w:space="0" w:color="000000"/>
            </w:tcBorders>
          </w:tcPr>
          <w:p>
            <w:pPr>
              <w:pStyle w:val="TableParagraph"/>
              <w:tabs>
                <w:tab w:pos="1074" w:val="left" w:leader="none"/>
                <w:tab w:pos="1701" w:val="left" w:leader="none"/>
              </w:tabs>
              <w:spacing w:before="135"/>
              <w:ind w:right="38"/>
              <w:rPr>
                <w:sz w:val="14"/>
              </w:rPr>
            </w:pPr>
            <w:r>
              <w:rPr>
                <w:sz w:val="14"/>
              </w:rPr>
              <w:t>.009217</w:t>
              <w:tab/>
              <w:t>8.46</w:t>
              <w:tab/>
              <w:t>0.000</w:t>
            </w:r>
          </w:p>
        </w:tc>
        <w:tc>
          <w:tcPr>
            <w:tcW w:w="269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5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.0598753</w:t>
            </w:r>
          </w:p>
        </w:tc>
        <w:tc>
          <w:tcPr>
            <w:tcW w:w="847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5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.0960069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hungerornofood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.4251357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.0135667</w:t>
              <w:tab/>
              <w:t>31.34</w:t>
              <w:tab/>
              <w:t>0.000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.3985442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.4517272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gari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-.0044115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.0084907</w:t>
              <w:tab/>
              <w:t>-0.52</w:t>
              <w:tab/>
              <w:t>0.603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-.0210536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.0122306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rice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-.0017646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.0035752</w:t>
              <w:tab/>
              <w:t>-0.49</w:t>
              <w:tab/>
              <w:t>0.622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-.0087721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.0052429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3"/>
              <w:rPr>
                <w:sz w:val="14"/>
              </w:rPr>
            </w:pPr>
            <w:r>
              <w:rPr>
                <w:sz w:val="14"/>
              </w:rPr>
              <w:t>yamorcassavaormaizeflour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28"/>
              <w:rPr>
                <w:sz w:val="14"/>
              </w:rPr>
            </w:pPr>
            <w:r>
              <w:rPr>
                <w:sz w:val="14"/>
              </w:rPr>
              <w:t>-.0311819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9"/>
              <w:ind w:right="38"/>
              <w:rPr>
                <w:sz w:val="14"/>
              </w:rPr>
            </w:pPr>
            <w:r>
              <w:rPr>
                <w:sz w:val="14"/>
              </w:rPr>
              <w:t>.0053937</w:t>
              <w:tab/>
              <w:t>-5.78</w:t>
              <w:tab/>
              <w:t>0.000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9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-.0417538</w:t>
            </w:r>
          </w:p>
        </w:tc>
        <w:tc>
          <w:tcPr>
            <w:tcW w:w="847" w:type="dxa"/>
          </w:tcPr>
          <w:p>
            <w:pPr>
              <w:pStyle w:val="TableParagraph"/>
              <w:spacing w:before="29"/>
              <w:ind w:left="53" w:right="-15"/>
              <w:jc w:val="center"/>
              <w:rPr>
                <w:sz w:val="14"/>
              </w:rPr>
            </w:pPr>
            <w:r>
              <w:rPr>
                <w:sz w:val="14"/>
              </w:rPr>
              <w:t>-.0206099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beans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-.0149239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.0070302</w:t>
              <w:tab/>
              <w:t>-2.12</w:t>
              <w:tab/>
              <w:t>0.034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-.0287034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53" w:right="-15"/>
              <w:jc w:val="center"/>
              <w:rPr>
                <w:sz w:val="14"/>
              </w:rPr>
            </w:pPr>
            <w:r>
              <w:rPr>
                <w:sz w:val="14"/>
              </w:rPr>
              <w:t>-.0011444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meatorfish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-.0287152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.0141766</w:t>
              <w:tab/>
              <w:t>-2.03</w:t>
              <w:tab/>
              <w:t>0.043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-.0565021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53" w:right="-15"/>
              <w:jc w:val="center"/>
              <w:rPr>
                <w:sz w:val="14"/>
              </w:rPr>
            </w:pPr>
            <w:r>
              <w:rPr>
                <w:sz w:val="14"/>
              </w:rPr>
              <w:t>-.0009284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mosquitonetpossession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-.1058306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984" w:val="left" w:leader="none"/>
                <w:tab w:pos="170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.013599</w:t>
              <w:tab/>
              <w:t>-7.78</w:t>
              <w:tab/>
              <w:t>0.000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-.1324855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53" w:right="-15"/>
              <w:jc w:val="center"/>
              <w:rPr>
                <w:sz w:val="14"/>
              </w:rPr>
            </w:pPr>
            <w:r>
              <w:rPr>
                <w:sz w:val="14"/>
              </w:rPr>
              <w:t>-.0791758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primaryeducation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-.1221308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.0140411</w:t>
              <w:tab/>
              <w:t>-8.70</w:t>
              <w:tab/>
              <w:t>0.000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-.149652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53" w:right="-15"/>
              <w:jc w:val="center"/>
              <w:rPr>
                <w:sz w:val="14"/>
              </w:rPr>
            </w:pPr>
            <w:r>
              <w:rPr>
                <w:sz w:val="14"/>
              </w:rPr>
              <w:t>-.0946096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secondaryeducation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-.0038891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.0044626</w:t>
              <w:tab/>
              <w:t>-0.87</w:t>
              <w:tab/>
              <w:t>0.384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-.0126361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.0048579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highercertificate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-.0525123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.0106908</w:t>
              <w:tab/>
              <w:t>-4.91</w:t>
              <w:tab/>
              <w:t>0.000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-.0734668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53" w:right="-15"/>
              <w:jc w:val="center"/>
              <w:rPr>
                <w:sz w:val="14"/>
              </w:rPr>
            </w:pPr>
            <w:r>
              <w:rPr>
                <w:sz w:val="14"/>
              </w:rPr>
              <w:t>-.0315579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3"/>
              <w:rPr>
                <w:sz w:val="14"/>
              </w:rPr>
            </w:pPr>
            <w:r>
              <w:rPr>
                <w:sz w:val="14"/>
              </w:rPr>
              <w:t>nobasiceducation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28"/>
              <w:rPr>
                <w:sz w:val="14"/>
              </w:rPr>
            </w:pPr>
            <w:r>
              <w:rPr>
                <w:sz w:val="14"/>
              </w:rPr>
              <w:t>-.0050361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9"/>
              <w:ind w:right="38"/>
              <w:rPr>
                <w:sz w:val="14"/>
              </w:rPr>
            </w:pPr>
            <w:r>
              <w:rPr>
                <w:sz w:val="14"/>
              </w:rPr>
              <w:t>.0084725</w:t>
              <w:tab/>
              <w:t>-0.59</w:t>
              <w:tab/>
              <w:t>0.552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9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-.0216426</w:t>
            </w:r>
          </w:p>
        </w:tc>
        <w:tc>
          <w:tcPr>
            <w:tcW w:w="847" w:type="dxa"/>
          </w:tcPr>
          <w:p>
            <w:pPr>
              <w:pStyle w:val="TableParagraph"/>
              <w:spacing w:before="29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.0115704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electricity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-.0094393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984" w:val="left" w:leader="none"/>
                <w:tab w:pos="170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.010852</w:t>
              <w:tab/>
              <w:t>-0.87</w:t>
              <w:tab/>
              <w:t>0.384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-.0307099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.0118312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noelectricity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.004559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163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.0113994</w:t>
              <w:tab/>
              <w:t>0.40</w:t>
              <w:tab/>
              <w:t>0.689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-.0177844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.0269025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pipebornewater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-.0158162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985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.0013936</w:t>
              <w:tab/>
              <w:t>-11.35</w:t>
              <w:tab/>
              <w:t>0.000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-.0185478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53" w:right="-15"/>
              <w:jc w:val="center"/>
              <w:rPr>
                <w:sz w:val="14"/>
              </w:rPr>
            </w:pPr>
            <w:r>
              <w:rPr>
                <w:sz w:val="14"/>
              </w:rPr>
              <w:t>-.0130847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boreholeandwell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-.0001431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.0014276</w:t>
              <w:tab/>
              <w:t>-0.10</w:t>
              <w:tab/>
              <w:t>0.920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-.0029413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.0026552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riverandspring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.0372168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163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.0053177</w:t>
              <w:tab/>
              <w:t>7.00</w:t>
              <w:tab/>
              <w:t>0.000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.0267937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.0476398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3"/>
              <w:rPr>
                <w:sz w:val="14"/>
              </w:rPr>
            </w:pPr>
            <w:r>
              <w:rPr>
                <w:sz w:val="14"/>
              </w:rPr>
              <w:t>noaccesstowater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28"/>
              <w:rPr>
                <w:sz w:val="14"/>
              </w:rPr>
            </w:pPr>
            <w:r>
              <w:rPr>
                <w:sz w:val="14"/>
              </w:rPr>
              <w:t>-.001264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9"/>
              <w:ind w:right="38"/>
              <w:rPr>
                <w:sz w:val="14"/>
              </w:rPr>
            </w:pPr>
            <w:r>
              <w:rPr>
                <w:sz w:val="14"/>
              </w:rPr>
              <w:t>.0128936</w:t>
              <w:tab/>
              <w:t>-0.10</w:t>
              <w:tab/>
              <w:t>0.922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9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-.0265362</w:t>
            </w:r>
          </w:p>
        </w:tc>
        <w:tc>
          <w:tcPr>
            <w:tcW w:w="847" w:type="dxa"/>
          </w:tcPr>
          <w:p>
            <w:pPr>
              <w:pStyle w:val="TableParagraph"/>
              <w:spacing w:before="29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.0240082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waterormoderntoilet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-.0165043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.0107127</w:t>
              <w:tab/>
              <w:t>-1.54</w:t>
              <w:tab/>
              <w:t>0.123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-.0375018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.0044932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pitorlatrinetoilet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.0000234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163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.0001838</w:t>
              <w:tab/>
              <w:t>0.13</w:t>
              <w:tab/>
              <w:t>0.899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-.0003368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.0003836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notoilet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.0219483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163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.0183961</w:t>
              <w:tab/>
              <w:t>1.19</w:t>
              <w:tab/>
              <w:t>0.233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-.0141091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.0580056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alcoholic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.003801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163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.0047282</w:t>
              <w:tab/>
              <w:t>0.80</w:t>
              <w:tab/>
              <w:t>0.421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-.0054664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.0130684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selfmedication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-.005503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.0173314</w:t>
              <w:tab/>
              <w:t>-0.32</w:t>
              <w:tab/>
              <w:t>0.751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-.0394736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.0284675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3"/>
              <w:rPr>
                <w:sz w:val="14"/>
              </w:rPr>
            </w:pPr>
            <w:r>
              <w:rPr>
                <w:sz w:val="14"/>
              </w:rPr>
              <w:t>seekingorthodoxyhealthcare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28"/>
              <w:rPr>
                <w:sz w:val="14"/>
              </w:rPr>
            </w:pPr>
            <w:r>
              <w:rPr>
                <w:sz w:val="14"/>
              </w:rPr>
              <w:t>-.0077435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9"/>
              <w:ind w:right="38"/>
              <w:rPr>
                <w:sz w:val="14"/>
              </w:rPr>
            </w:pPr>
            <w:r>
              <w:rPr>
                <w:sz w:val="14"/>
              </w:rPr>
              <w:t>.0047526</w:t>
              <w:tab/>
              <w:t>-1.63</w:t>
              <w:tab/>
              <w:t>0.103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9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-.0170589</w:t>
            </w:r>
          </w:p>
        </w:tc>
        <w:tc>
          <w:tcPr>
            <w:tcW w:w="847" w:type="dxa"/>
          </w:tcPr>
          <w:p>
            <w:pPr>
              <w:pStyle w:val="TableParagraph"/>
              <w:spacing w:before="29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.0015719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otherhealthcareservices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.0162751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163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.0066362</w:t>
              <w:tab/>
              <w:t>2.45</w:t>
              <w:tab/>
              <w:t>0.014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.0032677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.0292825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wagesandsalaries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-.0012045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.0022636</w:t>
              <w:tab/>
              <w:t>-0.53</w:t>
              <w:tab/>
              <w:t>0.595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-.0056412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.0032323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businesstradeandentreprises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-.0283125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.0108479</w:t>
              <w:tab/>
              <w:t>-2.61</w:t>
              <w:tab/>
              <w:t>0.009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-.0495749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53" w:right="-15"/>
              <w:jc w:val="center"/>
              <w:rPr>
                <w:sz w:val="14"/>
              </w:rPr>
            </w:pPr>
            <w:r>
              <w:rPr>
                <w:sz w:val="14"/>
              </w:rPr>
              <w:t>-.0070502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cropandlivestockincomes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-.006366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074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.0026186</w:t>
              <w:tab/>
              <w:t>-2.43</w:t>
              <w:tab/>
              <w:t>0.015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-.0114986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53" w:right="-15"/>
              <w:jc w:val="center"/>
              <w:rPr>
                <w:sz w:val="14"/>
              </w:rPr>
            </w:pPr>
            <w:r>
              <w:rPr>
                <w:sz w:val="14"/>
              </w:rPr>
              <w:t>-.0012334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remittance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.0002828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163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.0011395</w:t>
              <w:tab/>
              <w:t>0.25</w:t>
              <w:tab/>
              <w:t>0.804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-.0019507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.0025164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monetaryandconditionaltransfers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-.0242477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895" w:val="left" w:leader="none"/>
                <w:tab w:pos="1612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.01359</w:t>
              <w:tab/>
              <w:t>-1.78</w:t>
              <w:tab/>
              <w:t>0.074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-.0508847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.0023893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23"/>
              <w:rPr>
                <w:sz w:val="14"/>
              </w:rPr>
            </w:pPr>
            <w:r>
              <w:rPr>
                <w:sz w:val="14"/>
              </w:rPr>
              <w:t>pensionsandgrants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28"/>
              <w:rPr>
                <w:sz w:val="14"/>
              </w:rPr>
            </w:pPr>
            <w:r>
              <w:rPr>
                <w:sz w:val="14"/>
              </w:rPr>
              <w:t>.0085416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163" w:val="left" w:leader="none"/>
                <w:tab w:pos="1791" w:val="left" w:leader="none"/>
              </w:tabs>
              <w:spacing w:before="29"/>
              <w:ind w:right="38"/>
              <w:rPr>
                <w:sz w:val="14"/>
              </w:rPr>
            </w:pPr>
            <w:r>
              <w:rPr>
                <w:sz w:val="14"/>
              </w:rPr>
              <w:t>.0138356</w:t>
              <w:tab/>
              <w:t>0.62</w:t>
              <w:tab/>
              <w:t>0.537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9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-.0185769</w:t>
            </w:r>
          </w:p>
        </w:tc>
        <w:tc>
          <w:tcPr>
            <w:tcW w:w="847" w:type="dxa"/>
          </w:tcPr>
          <w:p>
            <w:pPr>
              <w:pStyle w:val="TableParagraph"/>
              <w:spacing w:before="29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.0356602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dividendandincomefrominvestment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.0041049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163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.0048629</w:t>
              <w:tab/>
              <w:t>0.84</w:t>
              <w:tab/>
              <w:t>0.399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-.0054266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.0136364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incomesfromlandandhouseownership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.0062631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163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.0042027</w:t>
              <w:tab/>
              <w:t>1.49</w:t>
              <w:tab/>
              <w:t>0.136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-.0019745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.0145006</w:t>
            </w: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ginicoefficient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.0029556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163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.0017084</w:t>
              <w:tab/>
              <w:t>1.73</w:t>
              <w:tab/>
              <w:t>0.084</w:t>
            </w: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28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-.000393</w:t>
            </w:r>
          </w:p>
        </w:tc>
        <w:tc>
          <w:tcPr>
            <w:tcW w:w="847" w:type="dxa"/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.0063042</w:t>
            </w:r>
          </w:p>
        </w:tc>
      </w:tr>
      <w:tr>
        <w:trPr>
          <w:trHeight w:val="303" w:hRule="atLeast"/>
        </w:trPr>
        <w:tc>
          <w:tcPr>
            <w:tcW w:w="2994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_cons</w:t>
            </w:r>
          </w:p>
        </w:tc>
        <w:tc>
          <w:tcPr>
            <w:tcW w:w="1162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.3703805</w:t>
            </w:r>
          </w:p>
        </w:tc>
        <w:tc>
          <w:tcPr>
            <w:tcW w:w="2418" w:type="dxa"/>
            <w:tcBorders>
              <w:bottom w:val="dashSmallGap" w:sz="6" w:space="0" w:color="000000"/>
            </w:tcBorders>
          </w:tcPr>
          <w:p>
            <w:pPr>
              <w:pStyle w:val="TableParagraph"/>
              <w:tabs>
                <w:tab w:pos="1163" w:val="left" w:leader="none"/>
                <w:tab w:pos="1791" w:val="left" w:leader="none"/>
              </w:tabs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.0448351</w:t>
              <w:tab/>
              <w:t>8.26</w:t>
              <w:tab/>
              <w:t>0.000</w:t>
            </w:r>
          </w:p>
        </w:tc>
        <w:tc>
          <w:tcPr>
            <w:tcW w:w="269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8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.2825015</w:t>
            </w:r>
          </w:p>
        </w:tc>
        <w:tc>
          <w:tcPr>
            <w:tcW w:w="847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8"/>
              <w:ind w:left="143" w:right="-15"/>
              <w:jc w:val="center"/>
              <w:rPr>
                <w:sz w:val="14"/>
              </w:rPr>
            </w:pPr>
            <w:r>
              <w:rPr>
                <w:sz w:val="14"/>
              </w:rPr>
              <w:t>.4582595</w:t>
            </w:r>
          </w:p>
        </w:tc>
      </w:tr>
      <w:tr>
        <w:trPr>
          <w:trHeight w:val="319" w:hRule="atLeast"/>
        </w:trPr>
        <w:tc>
          <w:tcPr>
            <w:tcW w:w="2994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5"/>
              <w:ind w:right="123"/>
              <w:rPr>
                <w:sz w:val="14"/>
              </w:rPr>
            </w:pPr>
            <w:r>
              <w:rPr>
                <w:sz w:val="14"/>
              </w:rPr>
              <w:t>sigma_u</w:t>
            </w:r>
          </w:p>
        </w:tc>
        <w:tc>
          <w:tcPr>
            <w:tcW w:w="1162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35"/>
              <w:ind w:right="128"/>
              <w:rPr>
                <w:sz w:val="14"/>
              </w:rPr>
            </w:pPr>
            <w:r>
              <w:rPr>
                <w:sz w:val="14"/>
              </w:rPr>
              <w:t>.05259775</w:t>
            </w:r>
          </w:p>
        </w:tc>
        <w:tc>
          <w:tcPr>
            <w:tcW w:w="2418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9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7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2" w:hRule="atLeast"/>
        </w:trPr>
        <w:tc>
          <w:tcPr>
            <w:tcW w:w="299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sigma_e</w:t>
            </w:r>
          </w:p>
        </w:tc>
        <w:tc>
          <w:tcPr>
            <w:tcW w:w="116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.31797358</w:t>
            </w:r>
          </w:p>
        </w:tc>
        <w:tc>
          <w:tcPr>
            <w:tcW w:w="241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03" w:hRule="atLeast"/>
        </w:trPr>
        <w:tc>
          <w:tcPr>
            <w:tcW w:w="2994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23"/>
              <w:rPr>
                <w:sz w:val="14"/>
              </w:rPr>
            </w:pPr>
            <w:r>
              <w:rPr>
                <w:sz w:val="14"/>
              </w:rPr>
              <w:t>rho</w:t>
            </w:r>
          </w:p>
        </w:tc>
        <w:tc>
          <w:tcPr>
            <w:tcW w:w="1162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8"/>
              <w:ind w:right="128"/>
              <w:rPr>
                <w:sz w:val="14"/>
              </w:rPr>
            </w:pPr>
            <w:r>
              <w:rPr>
                <w:sz w:val="14"/>
              </w:rPr>
              <w:t>.02663352</w:t>
            </w:r>
          </w:p>
        </w:tc>
        <w:tc>
          <w:tcPr>
            <w:tcW w:w="2418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8"/>
              <w:ind w:right="38"/>
              <w:rPr>
                <w:sz w:val="14"/>
              </w:rPr>
            </w:pPr>
            <w:r>
              <w:rPr>
                <w:sz w:val="14"/>
              </w:rPr>
              <w:t>(fraction</w:t>
            </w:r>
            <w:r>
              <w:rPr>
                <w:spacing w:val="38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38"/>
                <w:sz w:val="14"/>
              </w:rPr>
              <w:t> </w:t>
            </w:r>
            <w:r>
              <w:rPr>
                <w:sz w:val="14"/>
              </w:rPr>
              <w:t>variance</w:t>
            </w:r>
            <w:r>
              <w:rPr>
                <w:spacing w:val="38"/>
                <w:sz w:val="14"/>
              </w:rPr>
              <w:t> </w:t>
            </w:r>
            <w:r>
              <w:rPr>
                <w:sz w:val="14"/>
              </w:rPr>
              <w:t>due</w:t>
            </w:r>
          </w:p>
        </w:tc>
        <w:tc>
          <w:tcPr>
            <w:tcW w:w="269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8"/>
              <w:ind w:left="54"/>
              <w:jc w:val="left"/>
              <w:rPr>
                <w:sz w:val="14"/>
              </w:rPr>
            </w:pPr>
            <w:r>
              <w:rPr>
                <w:sz w:val="14"/>
              </w:rPr>
              <w:t>to</w:t>
            </w:r>
          </w:p>
        </w:tc>
        <w:tc>
          <w:tcPr>
            <w:tcW w:w="1075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8"/>
              <w:ind w:left="53"/>
              <w:jc w:val="left"/>
              <w:rPr>
                <w:sz w:val="14"/>
              </w:rPr>
            </w:pPr>
            <w:r>
              <w:rPr>
                <w:sz w:val="14"/>
              </w:rPr>
              <w:t>u_i)</w:t>
            </w:r>
          </w:p>
        </w:tc>
        <w:tc>
          <w:tcPr>
            <w:tcW w:w="847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2576" w:val="left" w:leader="none"/>
          <w:tab w:pos="4188" w:val="left" w:leader="none"/>
          <w:tab w:pos="5621" w:val="left" w:leader="none"/>
        </w:tabs>
        <w:spacing w:before="136"/>
        <w:ind w:left="158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</w:t>
      </w:r>
      <w:r>
        <w:rPr>
          <w:rFonts w:ascii="Courier New"/>
          <w:spacing w:val="24"/>
          <w:sz w:val="14"/>
        </w:rPr>
        <w:t> </w:t>
      </w:r>
      <w:r>
        <w:rPr>
          <w:rFonts w:ascii="Courier New"/>
          <w:sz w:val="14"/>
        </w:rPr>
        <w:t>test</w:t>
      </w:r>
      <w:r>
        <w:rPr>
          <w:rFonts w:ascii="Courier New"/>
          <w:spacing w:val="25"/>
          <w:sz w:val="14"/>
        </w:rPr>
        <w:t> </w:t>
      </w:r>
      <w:r>
        <w:rPr>
          <w:rFonts w:ascii="Courier New"/>
          <w:sz w:val="14"/>
        </w:rPr>
        <w:t>that</w:t>
      </w:r>
      <w:r>
        <w:rPr>
          <w:rFonts w:ascii="Courier New"/>
          <w:spacing w:val="25"/>
          <w:sz w:val="14"/>
        </w:rPr>
        <w:t> </w:t>
      </w:r>
      <w:r>
        <w:rPr>
          <w:rFonts w:ascii="Courier New"/>
          <w:sz w:val="14"/>
        </w:rPr>
        <w:t>all</w:t>
      </w:r>
      <w:r>
        <w:rPr>
          <w:rFonts w:ascii="Courier New"/>
          <w:spacing w:val="25"/>
          <w:sz w:val="14"/>
        </w:rPr>
        <w:t> </w:t>
      </w:r>
      <w:r>
        <w:rPr>
          <w:rFonts w:ascii="Courier New"/>
          <w:sz w:val="14"/>
        </w:rPr>
        <w:t>u_i=0:</w:t>
        <w:tab/>
        <w:t>F(36,</w:t>
      </w:r>
      <w:r>
        <w:rPr>
          <w:rFonts w:ascii="Courier New"/>
          <w:spacing w:val="28"/>
          <w:sz w:val="14"/>
        </w:rPr>
        <w:t> </w:t>
      </w:r>
      <w:r>
        <w:rPr>
          <w:rFonts w:ascii="Courier New"/>
          <w:sz w:val="14"/>
        </w:rPr>
        <w:t>27292)</w:t>
      </w:r>
      <w:r>
        <w:rPr>
          <w:rFonts w:ascii="Courier New"/>
          <w:spacing w:val="27"/>
          <w:sz w:val="14"/>
        </w:rPr>
        <w:t> </w:t>
      </w:r>
      <w:r>
        <w:rPr>
          <w:rFonts w:ascii="Courier New"/>
          <w:sz w:val="14"/>
        </w:rPr>
        <w:t>=</w:t>
        <w:tab/>
        <w:t>15.29</w:t>
        <w:tab/>
        <w:t>Prob</w:t>
      </w:r>
      <w:r>
        <w:rPr>
          <w:rFonts w:ascii="Courier New"/>
          <w:spacing w:val="20"/>
          <w:sz w:val="14"/>
        </w:rPr>
        <w:t> </w:t>
      </w:r>
      <w:r>
        <w:rPr>
          <w:rFonts w:ascii="Courier New"/>
          <w:sz w:val="14"/>
        </w:rPr>
        <w:t>&gt;</w:t>
      </w:r>
      <w:r>
        <w:rPr>
          <w:rFonts w:ascii="Courier New"/>
          <w:spacing w:val="21"/>
          <w:sz w:val="14"/>
        </w:rPr>
        <w:t> </w:t>
      </w:r>
      <w:r>
        <w:rPr>
          <w:rFonts w:ascii="Courier New"/>
          <w:sz w:val="14"/>
        </w:rPr>
        <w:t>F</w:t>
      </w:r>
      <w:r>
        <w:rPr>
          <w:rFonts w:ascii="Courier New"/>
          <w:spacing w:val="20"/>
          <w:sz w:val="14"/>
        </w:rPr>
        <w:t> </w:t>
      </w:r>
      <w:r>
        <w:rPr>
          <w:rFonts w:ascii="Courier New"/>
          <w:sz w:val="14"/>
        </w:rPr>
        <w:t>=</w:t>
      </w:r>
      <w:r>
        <w:rPr>
          <w:rFonts w:ascii="Courier New"/>
          <w:spacing w:val="20"/>
          <w:sz w:val="14"/>
        </w:rPr>
        <w:t> </w:t>
      </w:r>
      <w:r>
        <w:rPr>
          <w:rFonts w:ascii="Courier New"/>
          <w:sz w:val="14"/>
        </w:rPr>
        <w:t>0.0000</w:t>
      </w:r>
    </w:p>
    <w:p>
      <w:pPr>
        <w:spacing w:after="0"/>
        <w:jc w:val="left"/>
        <w:rPr>
          <w:rFonts w:ascii="Courier New"/>
          <w:sz w:val="14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2"/>
        <w:jc w:val="center"/>
      </w:pPr>
      <w:r>
        <w:rPr/>
        <w:t>TABLE</w:t>
      </w:r>
      <w:r>
        <w:rPr>
          <w:spacing w:val="-1"/>
        </w:rPr>
        <w:t> </w:t>
      </w:r>
      <w:r>
        <w:rPr/>
        <w:t>I4:</w:t>
      </w:r>
      <w:r>
        <w:rPr>
          <w:spacing w:val="-1"/>
        </w:rPr>
        <w:t> </w:t>
      </w:r>
      <w:r>
        <w:rPr/>
        <w:t>RANDOM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REGRESSION MODEL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WAVE II</w:t>
      </w:r>
    </w:p>
    <w:p>
      <w:pPr>
        <w:tabs>
          <w:tab w:pos="1576" w:val="left" w:leader="none"/>
        </w:tabs>
        <w:spacing w:before="34"/>
        <w:ind w:left="160" w:right="0" w:firstLine="0"/>
        <w:jc w:val="left"/>
        <w:rPr>
          <w:rFonts w:ascii="Courier New"/>
          <w:sz w:val="14"/>
        </w:rPr>
      </w:pPr>
      <w:r>
        <w:rPr>
          <w:rFonts w:ascii="Courier New"/>
          <w:w w:val="105"/>
          <w:sz w:val="14"/>
        </w:rPr>
        <w:t>Iteration</w:t>
      </w:r>
      <w:r>
        <w:rPr>
          <w:rFonts w:ascii="Courier New"/>
          <w:spacing w:val="40"/>
          <w:w w:val="105"/>
          <w:sz w:val="14"/>
        </w:rPr>
        <w:t> </w:t>
      </w:r>
      <w:r>
        <w:rPr>
          <w:rFonts w:ascii="Courier New"/>
          <w:w w:val="105"/>
          <w:sz w:val="14"/>
        </w:rPr>
        <w:t>3:</w:t>
        <w:tab/>
        <w:t>log</w:t>
      </w:r>
      <w:r>
        <w:rPr>
          <w:rFonts w:ascii="Courier New"/>
          <w:spacing w:val="45"/>
          <w:w w:val="105"/>
          <w:sz w:val="14"/>
        </w:rPr>
        <w:t> </w:t>
      </w:r>
      <w:r>
        <w:rPr>
          <w:rFonts w:ascii="Courier New"/>
          <w:w w:val="105"/>
          <w:sz w:val="14"/>
        </w:rPr>
        <w:t>likelihood</w:t>
      </w:r>
      <w:r>
        <w:rPr>
          <w:rFonts w:ascii="Courier New"/>
          <w:spacing w:val="45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</w:r>
      <w:r>
        <w:rPr>
          <w:rFonts w:ascii="Courier New"/>
          <w:spacing w:val="46"/>
          <w:w w:val="105"/>
          <w:sz w:val="14"/>
        </w:rPr>
        <w:t> </w:t>
      </w:r>
      <w:r>
        <w:rPr>
          <w:rFonts w:ascii="Courier New"/>
          <w:w w:val="105"/>
          <w:sz w:val="14"/>
        </w:rPr>
        <w:t>-9495.2088</w:t>
      </w:r>
    </w:p>
    <w:p>
      <w:pPr>
        <w:pStyle w:val="BodyText"/>
        <w:spacing w:before="4"/>
        <w:rPr>
          <w:rFonts w:ascii="Courier New"/>
          <w:sz w:val="2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8"/>
        <w:gridCol w:w="2407"/>
        <w:gridCol w:w="283"/>
        <w:gridCol w:w="849"/>
      </w:tblGrid>
      <w:tr>
        <w:trPr>
          <w:trHeight w:val="184" w:hRule="atLeast"/>
        </w:trPr>
        <w:tc>
          <w:tcPr>
            <w:tcW w:w="3918" w:type="dxa"/>
          </w:tcPr>
          <w:p>
            <w:pPr>
              <w:pStyle w:val="TableParagraph"/>
              <w:spacing w:before="2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Random-effects</w:t>
            </w:r>
            <w:r>
              <w:rPr>
                <w:spacing w:val="7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logistic</w:t>
            </w:r>
            <w:r>
              <w:rPr>
                <w:spacing w:val="7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regression</w:t>
            </w:r>
          </w:p>
        </w:tc>
        <w:tc>
          <w:tcPr>
            <w:tcW w:w="2407" w:type="dxa"/>
          </w:tcPr>
          <w:p>
            <w:pPr>
              <w:pStyle w:val="TableParagraph"/>
              <w:spacing w:before="2"/>
              <w:ind w:left="66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Number</w:t>
            </w:r>
            <w:r>
              <w:rPr>
                <w:spacing w:val="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of</w:t>
            </w:r>
            <w:r>
              <w:rPr>
                <w:spacing w:val="3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obs</w:t>
            </w:r>
          </w:p>
        </w:tc>
        <w:tc>
          <w:tcPr>
            <w:tcW w:w="283" w:type="dxa"/>
          </w:tcPr>
          <w:p>
            <w:pPr>
              <w:pStyle w:val="TableParagraph"/>
              <w:spacing w:before="2"/>
              <w:ind w:right="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before="2"/>
              <w:ind w:right="46"/>
              <w:rPr>
                <w:sz w:val="14"/>
              </w:rPr>
            </w:pPr>
            <w:r>
              <w:rPr>
                <w:w w:val="105"/>
                <w:sz w:val="14"/>
              </w:rPr>
              <w:t>27363</w:t>
            </w:r>
          </w:p>
        </w:tc>
      </w:tr>
      <w:tr>
        <w:trPr>
          <w:trHeight w:val="311" w:hRule="atLeast"/>
        </w:trPr>
        <w:tc>
          <w:tcPr>
            <w:tcW w:w="3918" w:type="dxa"/>
          </w:tcPr>
          <w:p>
            <w:pPr>
              <w:pStyle w:val="TableParagraph"/>
              <w:spacing w:before="25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Group</w:t>
            </w:r>
            <w:r>
              <w:rPr>
                <w:spacing w:val="4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variable:</w:t>
            </w:r>
            <w:r>
              <w:rPr>
                <w:spacing w:val="4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state</w:t>
            </w:r>
          </w:p>
        </w:tc>
        <w:tc>
          <w:tcPr>
            <w:tcW w:w="2407" w:type="dxa"/>
          </w:tcPr>
          <w:p>
            <w:pPr>
              <w:pStyle w:val="TableParagraph"/>
              <w:spacing w:before="25"/>
              <w:ind w:left="66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Number</w:t>
            </w:r>
            <w:r>
              <w:rPr>
                <w:spacing w:val="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of</w:t>
            </w:r>
            <w:r>
              <w:rPr>
                <w:spacing w:val="3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groups</w:t>
            </w:r>
          </w:p>
        </w:tc>
        <w:tc>
          <w:tcPr>
            <w:tcW w:w="283" w:type="dxa"/>
          </w:tcPr>
          <w:p>
            <w:pPr>
              <w:pStyle w:val="TableParagraph"/>
              <w:spacing w:before="25"/>
              <w:ind w:right="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before="25"/>
              <w:ind w:right="46"/>
              <w:rPr>
                <w:sz w:val="14"/>
              </w:rPr>
            </w:pPr>
            <w:r>
              <w:rPr>
                <w:w w:val="105"/>
                <w:sz w:val="14"/>
              </w:rPr>
              <w:t>37</w:t>
            </w:r>
          </w:p>
        </w:tc>
      </w:tr>
      <w:tr>
        <w:trPr>
          <w:trHeight w:val="311" w:hRule="atLeast"/>
        </w:trPr>
        <w:tc>
          <w:tcPr>
            <w:tcW w:w="3918" w:type="dxa"/>
          </w:tcPr>
          <w:p>
            <w:pPr>
              <w:pStyle w:val="TableParagraph"/>
              <w:spacing w:before="128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Random</w:t>
            </w:r>
            <w:r>
              <w:rPr>
                <w:spacing w:val="3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effects</w:t>
            </w:r>
            <w:r>
              <w:rPr>
                <w:spacing w:val="3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u_i</w:t>
            </w:r>
            <w:r>
              <w:rPr>
                <w:spacing w:val="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~</w:t>
            </w:r>
            <w:r>
              <w:rPr>
                <w:spacing w:val="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Gaussian</w:t>
            </w:r>
          </w:p>
        </w:tc>
        <w:tc>
          <w:tcPr>
            <w:tcW w:w="2407" w:type="dxa"/>
          </w:tcPr>
          <w:p>
            <w:pPr>
              <w:pStyle w:val="TableParagraph"/>
              <w:spacing w:before="128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Obs</w:t>
            </w:r>
            <w:r>
              <w:rPr>
                <w:spacing w:val="3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2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group:</w:t>
            </w:r>
            <w:r>
              <w:rPr>
                <w:spacing w:val="3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min</w:t>
            </w:r>
          </w:p>
        </w:tc>
        <w:tc>
          <w:tcPr>
            <w:tcW w:w="283" w:type="dxa"/>
          </w:tcPr>
          <w:p>
            <w:pPr>
              <w:pStyle w:val="TableParagraph"/>
              <w:spacing w:before="128"/>
              <w:ind w:right="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before="128"/>
              <w:ind w:right="46"/>
              <w:rPr>
                <w:sz w:val="14"/>
              </w:rPr>
            </w:pPr>
            <w:r>
              <w:rPr>
                <w:w w:val="105"/>
                <w:sz w:val="14"/>
              </w:rPr>
              <w:t>6</w:t>
            </w:r>
          </w:p>
        </w:tc>
      </w:tr>
      <w:tr>
        <w:trPr>
          <w:trHeight w:val="207" w:hRule="atLeast"/>
        </w:trPr>
        <w:tc>
          <w:tcPr>
            <w:tcW w:w="391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07" w:type="dxa"/>
          </w:tcPr>
          <w:p>
            <w:pPr>
              <w:pStyle w:val="TableParagraph"/>
              <w:spacing w:before="25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avg</w:t>
            </w:r>
          </w:p>
        </w:tc>
        <w:tc>
          <w:tcPr>
            <w:tcW w:w="283" w:type="dxa"/>
          </w:tcPr>
          <w:p>
            <w:pPr>
              <w:pStyle w:val="TableParagraph"/>
              <w:spacing w:before="25"/>
              <w:ind w:right="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before="25"/>
              <w:ind w:right="46"/>
              <w:rPr>
                <w:sz w:val="14"/>
              </w:rPr>
            </w:pPr>
            <w:r>
              <w:rPr>
                <w:w w:val="105"/>
                <w:sz w:val="14"/>
              </w:rPr>
              <w:t>739.5</w:t>
            </w:r>
          </w:p>
        </w:tc>
      </w:tr>
      <w:tr>
        <w:trPr>
          <w:trHeight w:val="311" w:hRule="atLeast"/>
        </w:trPr>
        <w:tc>
          <w:tcPr>
            <w:tcW w:w="391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07" w:type="dxa"/>
          </w:tcPr>
          <w:p>
            <w:pPr>
              <w:pStyle w:val="TableParagraph"/>
              <w:spacing w:before="25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max</w:t>
            </w:r>
          </w:p>
        </w:tc>
        <w:tc>
          <w:tcPr>
            <w:tcW w:w="283" w:type="dxa"/>
          </w:tcPr>
          <w:p>
            <w:pPr>
              <w:pStyle w:val="TableParagraph"/>
              <w:spacing w:before="25"/>
              <w:ind w:right="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before="25"/>
              <w:ind w:right="46"/>
              <w:rPr>
                <w:sz w:val="14"/>
              </w:rPr>
            </w:pPr>
            <w:r>
              <w:rPr>
                <w:w w:val="105"/>
                <w:sz w:val="14"/>
              </w:rPr>
              <w:t>1370</w:t>
            </w:r>
          </w:p>
        </w:tc>
      </w:tr>
      <w:tr>
        <w:trPr>
          <w:trHeight w:val="414" w:hRule="atLeast"/>
        </w:trPr>
        <w:tc>
          <w:tcPr>
            <w:tcW w:w="3918" w:type="dxa"/>
          </w:tcPr>
          <w:p>
            <w:pPr>
              <w:pStyle w:val="TableParagraph"/>
              <w:spacing w:before="128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Integration</w:t>
            </w:r>
            <w:r>
              <w:rPr>
                <w:spacing w:val="7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method:</w:t>
            </w:r>
            <w:r>
              <w:rPr>
                <w:spacing w:val="7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mvaghermite</w:t>
            </w:r>
          </w:p>
        </w:tc>
        <w:tc>
          <w:tcPr>
            <w:tcW w:w="2407" w:type="dxa"/>
          </w:tcPr>
          <w:p>
            <w:pPr>
              <w:pStyle w:val="TableParagraph"/>
              <w:spacing w:before="128"/>
              <w:ind w:right="47"/>
              <w:rPr>
                <w:sz w:val="14"/>
              </w:rPr>
            </w:pPr>
            <w:r>
              <w:rPr>
                <w:w w:val="105"/>
                <w:sz w:val="14"/>
              </w:rPr>
              <w:t>Integration</w:t>
            </w:r>
            <w:r>
              <w:rPr>
                <w:spacing w:val="7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points</w:t>
            </w:r>
          </w:p>
        </w:tc>
        <w:tc>
          <w:tcPr>
            <w:tcW w:w="283" w:type="dxa"/>
          </w:tcPr>
          <w:p>
            <w:pPr>
              <w:pStyle w:val="TableParagraph"/>
              <w:spacing w:before="128"/>
              <w:ind w:right="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before="128"/>
              <w:ind w:right="46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</w:tr>
      <w:tr>
        <w:trPr>
          <w:trHeight w:val="311" w:hRule="atLeast"/>
        </w:trPr>
        <w:tc>
          <w:tcPr>
            <w:tcW w:w="391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07" w:type="dxa"/>
          </w:tcPr>
          <w:p>
            <w:pPr>
              <w:pStyle w:val="TableParagraph"/>
              <w:spacing w:before="129"/>
              <w:ind w:left="66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Wald</w:t>
            </w:r>
            <w:r>
              <w:rPr>
                <w:spacing w:val="5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chi2(34)</w:t>
            </w:r>
          </w:p>
        </w:tc>
        <w:tc>
          <w:tcPr>
            <w:tcW w:w="283" w:type="dxa"/>
          </w:tcPr>
          <w:p>
            <w:pPr>
              <w:pStyle w:val="TableParagraph"/>
              <w:spacing w:before="129"/>
              <w:ind w:right="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before="129"/>
              <w:ind w:right="46"/>
              <w:rPr>
                <w:sz w:val="14"/>
              </w:rPr>
            </w:pPr>
            <w:r>
              <w:rPr>
                <w:w w:val="105"/>
                <w:sz w:val="14"/>
              </w:rPr>
              <w:t>1677.77</w:t>
            </w:r>
          </w:p>
        </w:tc>
      </w:tr>
      <w:tr>
        <w:trPr>
          <w:trHeight w:val="184" w:hRule="atLeast"/>
        </w:trPr>
        <w:tc>
          <w:tcPr>
            <w:tcW w:w="3918" w:type="dxa"/>
          </w:tcPr>
          <w:p>
            <w:pPr>
              <w:pStyle w:val="TableParagraph"/>
              <w:spacing w:line="139" w:lineRule="exact" w:before="25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Log</w:t>
            </w:r>
            <w:r>
              <w:rPr>
                <w:spacing w:val="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likelihood </w:t>
            </w:r>
            <w:r>
              <w:rPr>
                <w:spacing w:val="6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3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-9495.2088</w:t>
            </w:r>
          </w:p>
        </w:tc>
        <w:tc>
          <w:tcPr>
            <w:tcW w:w="2407" w:type="dxa"/>
          </w:tcPr>
          <w:p>
            <w:pPr>
              <w:pStyle w:val="TableParagraph"/>
              <w:spacing w:line="139" w:lineRule="exact" w:before="25"/>
              <w:ind w:left="66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Prob</w:t>
            </w:r>
            <w:r>
              <w:rPr>
                <w:spacing w:val="2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&gt;</w:t>
            </w:r>
            <w:r>
              <w:rPr>
                <w:spacing w:val="2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chi2</w:t>
            </w:r>
          </w:p>
        </w:tc>
        <w:tc>
          <w:tcPr>
            <w:tcW w:w="283" w:type="dxa"/>
          </w:tcPr>
          <w:p>
            <w:pPr>
              <w:pStyle w:val="TableParagraph"/>
              <w:spacing w:line="139" w:lineRule="exact" w:before="25"/>
              <w:ind w:right="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=</w:t>
            </w:r>
          </w:p>
        </w:tc>
        <w:tc>
          <w:tcPr>
            <w:tcW w:w="849" w:type="dxa"/>
          </w:tcPr>
          <w:p>
            <w:pPr>
              <w:pStyle w:val="TableParagraph"/>
              <w:spacing w:line="139" w:lineRule="exact" w:before="25"/>
              <w:ind w:right="46"/>
              <w:rPr>
                <w:sz w:val="14"/>
              </w:rPr>
            </w:pPr>
            <w:r>
              <w:rPr>
                <w:w w:val="105"/>
                <w:sz w:val="14"/>
              </w:rPr>
              <w:t>0.0000</w:t>
            </w:r>
          </w:p>
        </w:tc>
      </w:tr>
    </w:tbl>
    <w:p>
      <w:pPr>
        <w:pStyle w:val="BodyText"/>
        <w:spacing w:before="3"/>
        <w:rPr>
          <w:rFonts w:ascii="Courier New"/>
          <w:sz w:val="28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6"/>
        <w:gridCol w:w="1225"/>
        <w:gridCol w:w="1086"/>
        <w:gridCol w:w="803"/>
        <w:gridCol w:w="802"/>
        <w:gridCol w:w="1274"/>
        <w:gridCol w:w="892"/>
      </w:tblGrid>
      <w:tr>
        <w:trPr>
          <w:trHeight w:val="399" w:hRule="atLeast"/>
        </w:trPr>
        <w:tc>
          <w:tcPr>
            <w:tcW w:w="3156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8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illness</w:t>
            </w:r>
          </w:p>
        </w:tc>
        <w:tc>
          <w:tcPr>
            <w:tcW w:w="1225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8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Coef.</w:t>
            </w:r>
          </w:p>
        </w:tc>
        <w:tc>
          <w:tcPr>
            <w:tcW w:w="108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8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Std.</w:t>
            </w:r>
            <w:r>
              <w:rPr>
                <w:spacing w:val="3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Err.</w:t>
            </w:r>
          </w:p>
        </w:tc>
        <w:tc>
          <w:tcPr>
            <w:tcW w:w="803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8"/>
              <w:ind w:left="48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z</w:t>
            </w:r>
          </w:p>
        </w:tc>
        <w:tc>
          <w:tcPr>
            <w:tcW w:w="80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8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P&gt;|z|</w:t>
            </w:r>
          </w:p>
        </w:tc>
        <w:tc>
          <w:tcPr>
            <w:tcW w:w="1274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8"/>
              <w:ind w:left="29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[95%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Conf.</w:t>
            </w:r>
          </w:p>
        </w:tc>
        <w:tc>
          <w:tcPr>
            <w:tcW w:w="89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8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Interval]</w:t>
            </w:r>
          </w:p>
        </w:tc>
      </w:tr>
      <w:tr>
        <w:trPr>
          <w:trHeight w:val="311" w:hRule="atLeast"/>
        </w:trPr>
        <w:tc>
          <w:tcPr>
            <w:tcW w:w="3156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9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familysize</w:t>
            </w:r>
          </w:p>
        </w:tc>
        <w:tc>
          <w:tcPr>
            <w:tcW w:w="1225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29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.6039352</w:t>
            </w:r>
          </w:p>
        </w:tc>
        <w:tc>
          <w:tcPr>
            <w:tcW w:w="1086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9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.0783534</w:t>
            </w:r>
          </w:p>
        </w:tc>
        <w:tc>
          <w:tcPr>
            <w:tcW w:w="803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9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7.71</w:t>
            </w:r>
          </w:p>
        </w:tc>
        <w:tc>
          <w:tcPr>
            <w:tcW w:w="802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9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4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9"/>
              <w:ind w:left="29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.4503653</w:t>
            </w:r>
          </w:p>
        </w:tc>
        <w:tc>
          <w:tcPr>
            <w:tcW w:w="892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9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.7575051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hungerornofood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2.310057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.0924279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24.99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29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2.128902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2.491213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gari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-.0358288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.0807019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-0.44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0.657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-.1940016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.122344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rice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-.0151191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.0363387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-0.42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0.677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-.0863417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.0561034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yamorcassavaormaizeflour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-.3128209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.0536313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-5.83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-.4179363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-.2077055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beans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-.1322897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.0678427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-1.95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0.051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-.2652589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.0006794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meatorfish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-.0369679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.1108864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-0.33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0.739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-.2543012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.1803653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mosquitonetpossession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-.6448451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.1093391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-5.90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-.8591459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-.4305443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primaryeducation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-.8448809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.1330972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-6.35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-1.105747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-.5840151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secondaryeducation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-.0406464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.0438987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-0.93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0.354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-.1266862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.0453934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highercertificate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-.2692456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2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.092859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-2.90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0.004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-.4512459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-.0872452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nobasiceducation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.0081322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.0671728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0.12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0.904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-.1235242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.1397885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electricity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-.0592497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.0841659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-0.70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0.481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-.2242118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.1057124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noelectricity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.0237182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.0919793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0.26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0.797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-.1565579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.2039944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pipebornewater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-.137673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.0131038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-10.51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-.1633559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-.11199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boreholeandwell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-.0025349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.0135436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-0.19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0.852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-.0290798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.0240101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riverandspring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.3646186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.0521176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7.00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29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.2624701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.4667672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noaccesstowater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.0295741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.1153259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0.26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0.798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-.1964606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.2556087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waterormoderntoilet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-.1592609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.1061965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-1.50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0.134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-.3674022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.0488804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pitorlatrinetoilet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.0006468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.0016996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0.38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0.704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-.0026843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.003978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notoilet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.1656665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.1825838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0.91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0.364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-.1921912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.5235241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alcoholic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.0331703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.0488415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0.68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0.497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-.0625573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.128898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selfmedication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-.0713197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.1708219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-0.42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0.676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-.4061244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.2634851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seekingorthodoxyhealthcare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-.0799769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.0458167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-1.75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0.081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-.1697759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.0098222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otherhealthcareservices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.1526685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.0664393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2.30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0.022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29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.0224498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.2828873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wagesandsalaries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-.0103958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.0226414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-0.46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0.646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-.0547721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.0339806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businesstradeandentreprises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-.3204331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.1188153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-2.70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0.007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-.5533068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-.0875594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cropandlivestockincomes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-.0500635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.0246344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-2.03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0.042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29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-.098346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-.001781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remittance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.0028216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.0107787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0.26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0.793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-.0183043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.0239474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monetaryandconditionaltransfers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-.3165717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2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.120695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-2.62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0.009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-.5531297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-.0800138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pensionsandgrants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.0597226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24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.135409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0.44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0.659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-.2056741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.3251193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dividendandincomefrominvestment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.0396863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.0478934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0.83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0.407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29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-.054183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.1335556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incomesfromlandandhouseownership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.0560974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.0416256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1.35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0.178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-.0254874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.1376821</w:t>
            </w:r>
          </w:p>
        </w:tc>
      </w:tr>
      <w:tr>
        <w:trPr>
          <w:trHeight w:val="207" w:hRule="atLeast"/>
        </w:trPr>
        <w:tc>
          <w:tcPr>
            <w:tcW w:w="3156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ginicoefficient</w:t>
            </w:r>
          </w:p>
        </w:tc>
        <w:tc>
          <w:tcPr>
            <w:tcW w:w="122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.0292473</w:t>
            </w:r>
          </w:p>
        </w:tc>
        <w:tc>
          <w:tcPr>
            <w:tcW w:w="1086" w:type="dxa"/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.0166762</w:t>
            </w:r>
          </w:p>
        </w:tc>
        <w:tc>
          <w:tcPr>
            <w:tcW w:w="803" w:type="dxa"/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1.75</w:t>
            </w:r>
          </w:p>
        </w:tc>
        <w:tc>
          <w:tcPr>
            <w:tcW w:w="802" w:type="dxa"/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0.079</w:t>
            </w:r>
          </w:p>
        </w:tc>
        <w:tc>
          <w:tcPr>
            <w:tcW w:w="1274" w:type="dxa"/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-.0034374</w:t>
            </w:r>
          </w:p>
        </w:tc>
        <w:tc>
          <w:tcPr>
            <w:tcW w:w="892" w:type="dxa"/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.061932</w:t>
            </w:r>
          </w:p>
        </w:tc>
      </w:tr>
      <w:tr>
        <w:trPr>
          <w:trHeight w:val="295" w:hRule="atLeast"/>
        </w:trPr>
        <w:tc>
          <w:tcPr>
            <w:tcW w:w="3156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_cons</w:t>
            </w:r>
          </w:p>
        </w:tc>
        <w:tc>
          <w:tcPr>
            <w:tcW w:w="1225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-.6586243</w:t>
            </w:r>
          </w:p>
        </w:tc>
        <w:tc>
          <w:tcPr>
            <w:tcW w:w="108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.4256756</w:t>
            </w:r>
          </w:p>
        </w:tc>
        <w:tc>
          <w:tcPr>
            <w:tcW w:w="803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-1.55</w:t>
            </w:r>
          </w:p>
        </w:tc>
        <w:tc>
          <w:tcPr>
            <w:tcW w:w="80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left="98" w:right="13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0.122</w:t>
            </w:r>
          </w:p>
        </w:tc>
        <w:tc>
          <w:tcPr>
            <w:tcW w:w="1274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-1.492933</w:t>
            </w:r>
          </w:p>
        </w:tc>
        <w:tc>
          <w:tcPr>
            <w:tcW w:w="89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.1756846</w:t>
            </w:r>
          </w:p>
        </w:tc>
      </w:tr>
      <w:tr>
        <w:trPr>
          <w:trHeight w:val="400" w:hRule="atLeast"/>
        </w:trPr>
        <w:tc>
          <w:tcPr>
            <w:tcW w:w="3156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9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/lnsig2u</w:t>
            </w:r>
          </w:p>
        </w:tc>
        <w:tc>
          <w:tcPr>
            <w:tcW w:w="1225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9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-1.834544</w:t>
            </w:r>
          </w:p>
        </w:tc>
        <w:tc>
          <w:tcPr>
            <w:tcW w:w="108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9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.2586732</w:t>
            </w:r>
          </w:p>
        </w:tc>
        <w:tc>
          <w:tcPr>
            <w:tcW w:w="803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4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9"/>
              <w:ind w:left="1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-2.341534</w:t>
            </w:r>
          </w:p>
        </w:tc>
        <w:tc>
          <w:tcPr>
            <w:tcW w:w="89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9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-1.327554</w:t>
            </w:r>
          </w:p>
        </w:tc>
      </w:tr>
      <w:tr>
        <w:trPr>
          <w:trHeight w:val="310" w:hRule="atLeast"/>
        </w:trPr>
        <w:tc>
          <w:tcPr>
            <w:tcW w:w="3156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8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sigma_u</w:t>
            </w:r>
          </w:p>
        </w:tc>
        <w:tc>
          <w:tcPr>
            <w:tcW w:w="1225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28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.3996077</w:t>
            </w:r>
          </w:p>
        </w:tc>
        <w:tc>
          <w:tcPr>
            <w:tcW w:w="1086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8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.0516839</w:t>
            </w:r>
          </w:p>
        </w:tc>
        <w:tc>
          <w:tcPr>
            <w:tcW w:w="803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4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8"/>
              <w:ind w:left="29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.3101289</w:t>
            </w:r>
          </w:p>
        </w:tc>
        <w:tc>
          <w:tcPr>
            <w:tcW w:w="892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8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.5149029</w:t>
            </w:r>
          </w:p>
        </w:tc>
      </w:tr>
      <w:tr>
        <w:trPr>
          <w:trHeight w:val="296" w:hRule="atLeast"/>
        </w:trPr>
        <w:tc>
          <w:tcPr>
            <w:tcW w:w="3156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0"/>
              <w:rPr>
                <w:sz w:val="14"/>
              </w:rPr>
            </w:pPr>
            <w:r>
              <w:rPr>
                <w:w w:val="105"/>
                <w:sz w:val="14"/>
              </w:rPr>
              <w:t>rho</w:t>
            </w:r>
          </w:p>
        </w:tc>
        <w:tc>
          <w:tcPr>
            <w:tcW w:w="1225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right="135"/>
              <w:rPr>
                <w:sz w:val="14"/>
              </w:rPr>
            </w:pPr>
            <w:r>
              <w:rPr>
                <w:w w:val="105"/>
                <w:sz w:val="14"/>
              </w:rPr>
              <w:t>.0462919</w:t>
            </w:r>
          </w:p>
        </w:tc>
        <w:tc>
          <w:tcPr>
            <w:tcW w:w="108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left="1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.0114201</w:t>
            </w:r>
          </w:p>
        </w:tc>
        <w:tc>
          <w:tcPr>
            <w:tcW w:w="803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4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left="29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.0284048</w:t>
            </w:r>
          </w:p>
        </w:tc>
        <w:tc>
          <w:tcPr>
            <w:tcW w:w="89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5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.0745782</w:t>
            </w:r>
          </w:p>
        </w:tc>
      </w:tr>
    </w:tbl>
    <w:p>
      <w:pPr>
        <w:tabs>
          <w:tab w:pos="4692" w:val="left" w:leader="none"/>
        </w:tabs>
        <w:spacing w:before="129"/>
        <w:ind w:left="160" w:right="0" w:firstLine="0"/>
        <w:jc w:val="left"/>
        <w:rPr>
          <w:rFonts w:ascii="Courier New"/>
          <w:sz w:val="14"/>
        </w:rPr>
      </w:pPr>
      <w:r>
        <w:rPr>
          <w:rFonts w:ascii="Courier New"/>
          <w:w w:val="105"/>
          <w:sz w:val="14"/>
        </w:rPr>
        <w:t>Likelihood-ratio</w:t>
      </w:r>
      <w:r>
        <w:rPr>
          <w:rFonts w:ascii="Courier New"/>
          <w:spacing w:val="46"/>
          <w:w w:val="105"/>
          <w:sz w:val="14"/>
        </w:rPr>
        <w:t> </w:t>
      </w:r>
      <w:r>
        <w:rPr>
          <w:rFonts w:ascii="Courier New"/>
          <w:w w:val="105"/>
          <w:sz w:val="14"/>
        </w:rPr>
        <w:t>test</w:t>
      </w:r>
      <w:r>
        <w:rPr>
          <w:rFonts w:ascii="Courier New"/>
          <w:spacing w:val="47"/>
          <w:w w:val="105"/>
          <w:sz w:val="14"/>
        </w:rPr>
        <w:t> </w:t>
      </w:r>
      <w:r>
        <w:rPr>
          <w:rFonts w:ascii="Courier New"/>
          <w:w w:val="105"/>
          <w:sz w:val="14"/>
        </w:rPr>
        <w:t>of</w:t>
      </w:r>
      <w:r>
        <w:rPr>
          <w:rFonts w:ascii="Courier New"/>
          <w:spacing w:val="45"/>
          <w:w w:val="105"/>
          <w:sz w:val="14"/>
        </w:rPr>
        <w:t> </w:t>
      </w:r>
      <w:r>
        <w:rPr>
          <w:rFonts w:ascii="Courier New"/>
          <w:w w:val="105"/>
          <w:sz w:val="14"/>
        </w:rPr>
        <w:t>rho=0:</w:t>
      </w:r>
      <w:r>
        <w:rPr>
          <w:rFonts w:ascii="Courier New"/>
          <w:spacing w:val="47"/>
          <w:w w:val="105"/>
          <w:sz w:val="14"/>
        </w:rPr>
        <w:t> </w:t>
      </w:r>
      <w:r>
        <w:rPr>
          <w:rFonts w:ascii="Courier New"/>
          <w:w w:val="105"/>
          <w:sz w:val="14"/>
        </w:rPr>
        <w:t>chibar2(01)</w:t>
      </w:r>
      <w:r>
        <w:rPr>
          <w:rFonts w:ascii="Courier New"/>
          <w:spacing w:val="45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  <w:tab/>
        <w:t>343.81</w:t>
      </w:r>
      <w:r>
        <w:rPr>
          <w:rFonts w:ascii="Courier New"/>
          <w:spacing w:val="31"/>
          <w:w w:val="105"/>
          <w:sz w:val="14"/>
        </w:rPr>
        <w:t> </w:t>
      </w:r>
      <w:r>
        <w:rPr>
          <w:rFonts w:ascii="Courier New"/>
          <w:w w:val="105"/>
          <w:sz w:val="14"/>
        </w:rPr>
        <w:t>Prob</w:t>
      </w:r>
      <w:r>
        <w:rPr>
          <w:rFonts w:ascii="Courier New"/>
          <w:spacing w:val="32"/>
          <w:w w:val="105"/>
          <w:sz w:val="14"/>
        </w:rPr>
        <w:t> </w:t>
      </w:r>
      <w:r>
        <w:rPr>
          <w:rFonts w:ascii="Courier New"/>
          <w:w w:val="105"/>
          <w:sz w:val="14"/>
        </w:rPr>
        <w:t>&gt;=</w:t>
      </w:r>
      <w:r>
        <w:rPr>
          <w:rFonts w:ascii="Courier New"/>
          <w:spacing w:val="33"/>
          <w:w w:val="105"/>
          <w:sz w:val="14"/>
        </w:rPr>
        <w:t> </w:t>
      </w:r>
      <w:r>
        <w:rPr>
          <w:rFonts w:ascii="Courier New"/>
          <w:w w:val="105"/>
          <w:sz w:val="14"/>
        </w:rPr>
        <w:t>chibar2</w:t>
      </w:r>
      <w:r>
        <w:rPr>
          <w:rFonts w:ascii="Courier New"/>
          <w:spacing w:val="31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</w:r>
      <w:r>
        <w:rPr>
          <w:rFonts w:ascii="Courier New"/>
          <w:spacing w:val="33"/>
          <w:w w:val="105"/>
          <w:sz w:val="14"/>
        </w:rPr>
        <w:t> </w:t>
      </w:r>
      <w:r>
        <w:rPr>
          <w:rFonts w:ascii="Courier New"/>
          <w:w w:val="105"/>
          <w:sz w:val="14"/>
        </w:rPr>
        <w:t>0.000</w:t>
      </w:r>
    </w:p>
    <w:p>
      <w:pPr>
        <w:spacing w:after="0"/>
        <w:jc w:val="left"/>
        <w:rPr>
          <w:rFonts w:ascii="Courier New"/>
          <w:sz w:val="14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2"/>
        <w:jc w:val="center"/>
      </w:pPr>
      <w:r>
        <w:rPr/>
        <w:t>TABLE</w:t>
      </w:r>
      <w:r>
        <w:rPr>
          <w:spacing w:val="-1"/>
        </w:rPr>
        <w:t> </w:t>
      </w:r>
      <w:r>
        <w:rPr/>
        <w:t>I5:</w:t>
      </w:r>
      <w:r>
        <w:rPr>
          <w:spacing w:val="1"/>
        </w:rPr>
        <w:t> </w:t>
      </w:r>
      <w:r>
        <w:rPr/>
        <w:t>HETEROGENEITY</w:t>
      </w:r>
      <w:r>
        <w:rPr>
          <w:spacing w:val="-3"/>
        </w:rPr>
        <w:t> </w:t>
      </w:r>
      <w:r>
        <w:rPr/>
        <w:t>TEST:</w:t>
      </w:r>
      <w:r>
        <w:rPr>
          <w:spacing w:val="-2"/>
        </w:rPr>
        <w:t> </w:t>
      </w:r>
      <w:r>
        <w:rPr/>
        <w:t>BREUSCH-PAGAN</w:t>
      </w:r>
      <w:r>
        <w:rPr>
          <w:spacing w:val="-1"/>
        </w:rPr>
        <w:t> </w:t>
      </w:r>
      <w:r>
        <w:rPr/>
        <w:t>LM</w:t>
      </w:r>
      <w:r>
        <w:rPr>
          <w:spacing w:val="-2"/>
        </w:rPr>
        <w:t> </w:t>
      </w:r>
      <w:r>
        <w:rPr/>
        <w:t>RESULTS –</w:t>
      </w:r>
      <w:r>
        <w:rPr>
          <w:spacing w:val="-2"/>
        </w:rPr>
        <w:t> </w:t>
      </w:r>
      <w:r>
        <w:rPr/>
        <w:t>WAVE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197" w:right="513"/>
        <w:jc w:val="center"/>
      </w:pPr>
      <w:r>
        <w:rPr/>
        <w:t>TABLE</w:t>
      </w:r>
      <w:r>
        <w:rPr>
          <w:spacing w:val="-2"/>
        </w:rPr>
        <w:t> </w:t>
      </w:r>
      <w:r>
        <w:rPr/>
        <w:t>I6:</w:t>
      </w:r>
      <w:r>
        <w:rPr>
          <w:spacing w:val="-1"/>
        </w:rPr>
        <w:t> </w:t>
      </w:r>
      <w:r>
        <w:rPr/>
        <w:t>HAUSMAN</w:t>
      </w:r>
      <w:r>
        <w:rPr>
          <w:spacing w:val="-1"/>
        </w:rPr>
        <w:t> </w:t>
      </w:r>
      <w:r>
        <w:rPr/>
        <w:t>TEST</w:t>
      </w:r>
      <w:r>
        <w:rPr>
          <w:spacing w:val="-3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WAVE</w:t>
      </w:r>
      <w:r>
        <w:rPr>
          <w:spacing w:val="-2"/>
        </w:rPr>
        <w:t> </w:t>
      </w:r>
      <w:r>
        <w:rPr/>
        <w:t>II</w:t>
      </w:r>
    </w:p>
    <w:p>
      <w:pPr>
        <w:pStyle w:val="BodyText"/>
        <w:spacing w:before="9"/>
        <w:rPr>
          <w:sz w:val="9"/>
        </w:rPr>
      </w:pPr>
    </w:p>
    <w:p>
      <w:pPr>
        <w:spacing w:before="106" w:after="28"/>
        <w:ind w:left="2608" w:right="0" w:firstLine="0"/>
        <w:jc w:val="left"/>
        <w:rPr>
          <w:rFonts w:ascii="Courier New"/>
          <w:sz w:val="12"/>
        </w:rPr>
      </w:pPr>
      <w:r>
        <w:rPr/>
        <w:pict>
          <v:shape style="position:absolute;margin-left:169.061325pt;margin-top:8.266932pt;width:21.4pt;height:.1pt;mso-position-horizontal-relative:page;mso-position-vertical-relative:paragraph;z-index:15791616" coordorigin="3381,165" coordsize="428,0" path="m3381,165l3476,165m3492,165l3587,165m3603,165l3698,165m3714,165l3809,165e" filled="false" stroked="true" strokeweight=".690443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68.877777pt;margin-top:8.266932pt;width:21.4pt;height:.1pt;mso-position-horizontal-relative:page;mso-position-vertical-relative:paragraph;z-index:15792128" coordorigin="5378,165" coordsize="428,0" path="m5378,165l5473,165m5489,165l5584,165m5600,165l5695,165m5711,165l5805,165e" filled="false" stroked="true" strokeweight=".690443pt" strokecolor="#000000">
            <v:path arrowok="t"/>
            <v:stroke dashstyle="solid"/>
            <w10:wrap type="none"/>
          </v:shape>
        </w:pict>
      </w:r>
      <w:r>
        <w:rPr>
          <w:rFonts w:ascii="Courier New"/>
          <w:w w:val="145"/>
          <w:sz w:val="12"/>
        </w:rPr>
        <w:t>Coefficients</w:t>
      </w:r>
    </w:p>
    <w:tbl>
      <w:tblPr>
        <w:tblW w:w="0" w:type="auto"/>
        <w:jc w:val="left"/>
        <w:tblInd w:w="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1606"/>
        <w:gridCol w:w="1554"/>
        <w:gridCol w:w="1609"/>
        <w:gridCol w:w="2381"/>
      </w:tblGrid>
      <w:tr>
        <w:trPr>
          <w:trHeight w:val="442" w:hRule="atLeast"/>
        </w:trPr>
        <w:tc>
          <w:tcPr>
            <w:tcW w:w="1490" w:type="dxa"/>
            <w:tcBorders>
              <w:bottom w:val="dashed" w:sz="6" w:space="0" w:color="000000"/>
              <w:right w:val="dashed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60" w:type="dxa"/>
            <w:gridSpan w:val="2"/>
            <w:tcBorders>
              <w:left w:val="dashed" w:sz="8" w:space="0" w:color="000000"/>
              <w:bottom w:val="dashed" w:sz="6" w:space="0" w:color="000000"/>
            </w:tcBorders>
          </w:tcPr>
          <w:p>
            <w:pPr>
              <w:pStyle w:val="TableParagraph"/>
              <w:tabs>
                <w:tab w:pos="1442" w:val="left" w:leader="none"/>
              </w:tabs>
              <w:spacing w:before="21"/>
              <w:ind w:right="662"/>
              <w:rPr>
                <w:sz w:val="12"/>
              </w:rPr>
            </w:pPr>
            <w:r>
              <w:rPr>
                <w:w w:val="145"/>
                <w:sz w:val="12"/>
              </w:rPr>
              <w:t>(b)</w:t>
              <w:tab/>
              <w:t>(B)</w:t>
            </w:r>
          </w:p>
          <w:p>
            <w:pPr>
              <w:pStyle w:val="TableParagraph"/>
              <w:tabs>
                <w:tab w:pos="1442" w:val="left" w:leader="none"/>
              </w:tabs>
              <w:spacing w:before="49"/>
              <w:ind w:right="662"/>
              <w:rPr>
                <w:sz w:val="12"/>
              </w:rPr>
            </w:pPr>
            <w:r>
              <w:rPr>
                <w:w w:val="145"/>
                <w:sz w:val="12"/>
              </w:rPr>
              <w:t>fe</w:t>
              <w:tab/>
              <w:t>re</w:t>
            </w:r>
          </w:p>
        </w:tc>
        <w:tc>
          <w:tcPr>
            <w:tcW w:w="1609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21"/>
              <w:ind w:left="672"/>
              <w:jc w:val="left"/>
              <w:rPr>
                <w:sz w:val="12"/>
              </w:rPr>
            </w:pPr>
            <w:r>
              <w:rPr>
                <w:w w:val="145"/>
                <w:sz w:val="12"/>
              </w:rPr>
              <w:t>(b-B)</w:t>
            </w:r>
          </w:p>
          <w:p>
            <w:pPr>
              <w:pStyle w:val="TableParagraph"/>
              <w:spacing w:before="49"/>
              <w:ind w:left="339"/>
              <w:jc w:val="left"/>
              <w:rPr>
                <w:sz w:val="12"/>
              </w:rPr>
            </w:pPr>
            <w:r>
              <w:rPr>
                <w:w w:val="145"/>
                <w:sz w:val="12"/>
              </w:rPr>
              <w:t>Difference</w:t>
            </w:r>
          </w:p>
        </w:tc>
        <w:tc>
          <w:tcPr>
            <w:tcW w:w="2381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line="326" w:lineRule="auto" w:before="21"/>
              <w:ind w:left="949" w:hanging="777"/>
              <w:jc w:val="left"/>
              <w:rPr>
                <w:sz w:val="12"/>
              </w:rPr>
            </w:pPr>
            <w:r>
              <w:rPr>
                <w:w w:val="145"/>
                <w:sz w:val="12"/>
              </w:rPr>
              <w:t>sqrt(diag(V_b-V_B))</w:t>
            </w:r>
            <w:r>
              <w:rPr>
                <w:spacing w:val="1"/>
                <w:w w:val="145"/>
                <w:sz w:val="12"/>
              </w:rPr>
              <w:t> </w:t>
            </w:r>
            <w:r>
              <w:rPr>
                <w:w w:val="145"/>
                <w:sz w:val="12"/>
              </w:rPr>
              <w:t>S.E.</w:t>
            </w:r>
          </w:p>
        </w:tc>
      </w:tr>
      <w:tr>
        <w:trPr>
          <w:trHeight w:val="276" w:hRule="atLeast"/>
        </w:trPr>
        <w:tc>
          <w:tcPr>
            <w:tcW w:w="1490" w:type="dxa"/>
            <w:tcBorders>
              <w:top w:val="dashed" w:sz="6" w:space="0" w:color="000000"/>
              <w:right w:val="dashed" w:sz="8" w:space="0" w:color="000000"/>
            </w:tcBorders>
          </w:tcPr>
          <w:p>
            <w:pPr>
              <w:pStyle w:val="TableParagraph"/>
              <w:spacing w:before="117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familysize</w:t>
            </w:r>
          </w:p>
        </w:tc>
        <w:tc>
          <w:tcPr>
            <w:tcW w:w="1606" w:type="dxa"/>
            <w:tcBorders>
              <w:top w:val="dashed" w:sz="6" w:space="0" w:color="000000"/>
              <w:left w:val="dashed" w:sz="8" w:space="0" w:color="000000"/>
            </w:tcBorders>
          </w:tcPr>
          <w:p>
            <w:pPr>
              <w:pStyle w:val="TableParagraph"/>
              <w:spacing w:before="117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.0271962</w:t>
            </w:r>
          </w:p>
        </w:tc>
        <w:tc>
          <w:tcPr>
            <w:tcW w:w="1554" w:type="dxa"/>
            <w:tcBorders>
              <w:top w:val="dashed" w:sz="6" w:space="0" w:color="000000"/>
            </w:tcBorders>
          </w:tcPr>
          <w:p>
            <w:pPr>
              <w:pStyle w:val="TableParagraph"/>
              <w:spacing w:before="117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.0273589</w:t>
            </w:r>
          </w:p>
        </w:tc>
        <w:tc>
          <w:tcPr>
            <w:tcW w:w="1609" w:type="dxa"/>
            <w:tcBorders>
              <w:top w:val="dashed" w:sz="6" w:space="0" w:color="000000"/>
            </w:tcBorders>
          </w:tcPr>
          <w:p>
            <w:pPr>
              <w:pStyle w:val="TableParagraph"/>
              <w:spacing w:before="117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-.0001627</w:t>
            </w:r>
          </w:p>
        </w:tc>
        <w:tc>
          <w:tcPr>
            <w:tcW w:w="2381" w:type="dxa"/>
            <w:tcBorders>
              <w:top w:val="dashed" w:sz="6" w:space="0" w:color="000000"/>
            </w:tcBorders>
          </w:tcPr>
          <w:p>
            <w:pPr>
              <w:pStyle w:val="TableParagraph"/>
              <w:spacing w:before="117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.0003622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hungerorno~d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.2761082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.2760836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.0000247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.0002727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gari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.0015167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.0014336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.0000831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.0001643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rice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-.0464178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-.0464381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.0000203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.0002948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yamorcassa~r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-.0084124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-.0083559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-.0000565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.0001682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beans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-.0163369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-.0163906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.0000537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.0001763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meatorfish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-.0396747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-.0398836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.000209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.0003717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mosquitone~n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-.0950474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-.0946693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-.000378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.000369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primaryedu~n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-.1358892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-.1359028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.0000137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.0003097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secondarye~n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-.0021345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-.0019277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-.0002068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.0001868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highercert~e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-.0622951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-.0622816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-.0000135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.0002094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nobasicedu~n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-.0055802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-.0054943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-.0000859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.0001919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hadelectri~y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-.0213611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-.0212809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-.0000802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.0002105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noelectric~y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-.0005221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-.0004705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-.0000516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.0002109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pipebornew~r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-.0132281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-.013284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.0000559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.0000924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boreholean~l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-.0021701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-.0022166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.0000465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.0000517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riverandsp~g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.0207551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.0207653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-.0000102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.0001389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noaccessto~r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.0042825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.0080605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-.003778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.002667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waterormod~t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-.0008045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-.0011636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.0003591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.0005137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pitorlatri~t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.0001121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.0001442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-.000032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.0000238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notoiletfa~y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.0051461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.0050814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.0000646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.0001233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alcoholicd~s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.0092803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.0094173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-.000137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.0002538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selfmedica~n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-.0016012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-.0015121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-.0000891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.0006221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seekingort~e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-.0074594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-.0074775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.0000181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.0001885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otherhealt~e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.0003923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.0002931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.0000992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.0000806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wagesandsa~s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-.0021876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-.002241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.0000535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.0000647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entreprise~s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-.0006419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-.0007223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.0000804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.0000468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cropandliv~s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-.0063706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-.0058536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-.000517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.0003386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remittances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-.0086657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-.0085172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-.0001485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.0004841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monetaryan~s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-.0150834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-.0210908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.0060074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.0041037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pensionsan~s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.0021572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.0017271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.0004301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.000306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dividendan~n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.0234164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.0225877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.0008287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.0004445</w:t>
            </w:r>
          </w:p>
        </w:tc>
      </w:tr>
      <w:tr>
        <w:trPr>
          <w:trHeight w:val="184" w:hRule="atLeast"/>
        </w:trPr>
        <w:tc>
          <w:tcPr>
            <w:tcW w:w="1490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incomesfro~p</w:t>
            </w:r>
          </w:p>
        </w:tc>
        <w:tc>
          <w:tcPr>
            <w:tcW w:w="1606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.0048832</w:t>
            </w:r>
          </w:p>
        </w:tc>
        <w:tc>
          <w:tcPr>
            <w:tcW w:w="1554" w:type="dxa"/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.0048296</w:t>
            </w:r>
          </w:p>
        </w:tc>
        <w:tc>
          <w:tcPr>
            <w:tcW w:w="1609" w:type="dxa"/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.0000537</w:t>
            </w:r>
          </w:p>
        </w:tc>
        <w:tc>
          <w:tcPr>
            <w:tcW w:w="2381" w:type="dxa"/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.0000968</w:t>
            </w:r>
          </w:p>
        </w:tc>
      </w:tr>
      <w:tr>
        <w:trPr>
          <w:trHeight w:val="262" w:hRule="atLeast"/>
        </w:trPr>
        <w:tc>
          <w:tcPr>
            <w:tcW w:w="1490" w:type="dxa"/>
            <w:tcBorders>
              <w:bottom w:val="dashed" w:sz="6" w:space="0" w:color="000000"/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55"/>
              <w:rPr>
                <w:sz w:val="12"/>
              </w:rPr>
            </w:pPr>
            <w:r>
              <w:rPr>
                <w:w w:val="145"/>
                <w:sz w:val="12"/>
              </w:rPr>
              <w:t>ginicoeffi~t</w:t>
            </w:r>
          </w:p>
        </w:tc>
        <w:tc>
          <w:tcPr>
            <w:tcW w:w="1606" w:type="dxa"/>
            <w:tcBorders>
              <w:left w:val="dashed" w:sz="8" w:space="0" w:color="000000"/>
              <w:bottom w:val="dashed" w:sz="6" w:space="0" w:color="000000"/>
            </w:tcBorders>
          </w:tcPr>
          <w:p>
            <w:pPr>
              <w:pStyle w:val="TableParagraph"/>
              <w:spacing w:before="26"/>
              <w:ind w:right="218"/>
              <w:rPr>
                <w:sz w:val="12"/>
              </w:rPr>
            </w:pPr>
            <w:r>
              <w:rPr>
                <w:w w:val="145"/>
                <w:sz w:val="12"/>
              </w:rPr>
              <w:t>.4514089</w:t>
            </w:r>
          </w:p>
        </w:tc>
        <w:tc>
          <w:tcPr>
            <w:tcW w:w="1554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26"/>
              <w:ind w:right="329"/>
              <w:rPr>
                <w:sz w:val="12"/>
              </w:rPr>
            </w:pPr>
            <w:r>
              <w:rPr>
                <w:w w:val="145"/>
                <w:sz w:val="12"/>
              </w:rPr>
              <w:t>.4511391</w:t>
            </w:r>
          </w:p>
        </w:tc>
        <w:tc>
          <w:tcPr>
            <w:tcW w:w="1609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26"/>
              <w:ind w:right="164"/>
              <w:rPr>
                <w:sz w:val="12"/>
              </w:rPr>
            </w:pPr>
            <w:r>
              <w:rPr>
                <w:w w:val="145"/>
                <w:sz w:val="12"/>
              </w:rPr>
              <w:t>.0002697</w:t>
            </w:r>
          </w:p>
        </w:tc>
        <w:tc>
          <w:tcPr>
            <w:tcW w:w="2381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26"/>
              <w:ind w:right="770"/>
              <w:rPr>
                <w:sz w:val="12"/>
              </w:rPr>
            </w:pPr>
            <w:r>
              <w:rPr>
                <w:w w:val="145"/>
                <w:sz w:val="12"/>
              </w:rPr>
              <w:t>.000217</w:t>
            </w:r>
          </w:p>
        </w:tc>
      </w:tr>
    </w:tbl>
    <w:p>
      <w:pPr>
        <w:spacing w:line="326" w:lineRule="auto" w:before="119"/>
        <w:ind w:left="1498" w:right="1043" w:firstLine="1663"/>
        <w:jc w:val="left"/>
        <w:rPr>
          <w:rFonts w:ascii="Courier New"/>
          <w:sz w:val="12"/>
        </w:rPr>
      </w:pPr>
      <w:r>
        <w:rPr>
          <w:rFonts w:ascii="Courier New"/>
          <w:w w:val="145"/>
          <w:sz w:val="12"/>
        </w:rPr>
        <w:t>b</w:t>
      </w:r>
      <w:r>
        <w:rPr>
          <w:rFonts w:ascii="Courier New"/>
          <w:spacing w:val="34"/>
          <w:w w:val="145"/>
          <w:sz w:val="12"/>
        </w:rPr>
        <w:t> </w:t>
      </w:r>
      <w:r>
        <w:rPr>
          <w:rFonts w:ascii="Courier New"/>
          <w:w w:val="145"/>
          <w:sz w:val="12"/>
        </w:rPr>
        <w:t>=</w:t>
      </w:r>
      <w:r>
        <w:rPr>
          <w:rFonts w:ascii="Courier New"/>
          <w:spacing w:val="34"/>
          <w:w w:val="145"/>
          <w:sz w:val="12"/>
        </w:rPr>
        <w:t> </w:t>
      </w:r>
      <w:r>
        <w:rPr>
          <w:rFonts w:ascii="Courier New"/>
          <w:w w:val="145"/>
          <w:sz w:val="12"/>
        </w:rPr>
        <w:t>consistent</w:t>
      </w:r>
      <w:r>
        <w:rPr>
          <w:rFonts w:ascii="Courier New"/>
          <w:spacing w:val="34"/>
          <w:w w:val="145"/>
          <w:sz w:val="12"/>
        </w:rPr>
        <w:t> </w:t>
      </w:r>
      <w:r>
        <w:rPr>
          <w:rFonts w:ascii="Courier New"/>
          <w:w w:val="145"/>
          <w:sz w:val="12"/>
        </w:rPr>
        <w:t>under</w:t>
      </w:r>
      <w:r>
        <w:rPr>
          <w:rFonts w:ascii="Courier New"/>
          <w:spacing w:val="34"/>
          <w:w w:val="145"/>
          <w:sz w:val="12"/>
        </w:rPr>
        <w:t> </w:t>
      </w:r>
      <w:r>
        <w:rPr>
          <w:rFonts w:ascii="Courier New"/>
          <w:w w:val="145"/>
          <w:sz w:val="12"/>
        </w:rPr>
        <w:t>Ho</w:t>
      </w:r>
      <w:r>
        <w:rPr>
          <w:rFonts w:ascii="Courier New"/>
          <w:spacing w:val="33"/>
          <w:w w:val="145"/>
          <w:sz w:val="12"/>
        </w:rPr>
        <w:t> </w:t>
      </w:r>
      <w:r>
        <w:rPr>
          <w:rFonts w:ascii="Courier New"/>
          <w:w w:val="145"/>
          <w:sz w:val="12"/>
        </w:rPr>
        <w:t>and</w:t>
      </w:r>
      <w:r>
        <w:rPr>
          <w:rFonts w:ascii="Courier New"/>
          <w:spacing w:val="34"/>
          <w:w w:val="145"/>
          <w:sz w:val="12"/>
        </w:rPr>
        <w:t> </w:t>
      </w:r>
      <w:r>
        <w:rPr>
          <w:rFonts w:ascii="Courier New"/>
          <w:w w:val="145"/>
          <w:sz w:val="12"/>
        </w:rPr>
        <w:t>Ha;</w:t>
      </w:r>
      <w:r>
        <w:rPr>
          <w:rFonts w:ascii="Courier New"/>
          <w:spacing w:val="35"/>
          <w:w w:val="145"/>
          <w:sz w:val="12"/>
        </w:rPr>
        <w:t> </w:t>
      </w:r>
      <w:r>
        <w:rPr>
          <w:rFonts w:ascii="Courier New"/>
          <w:w w:val="145"/>
          <w:sz w:val="12"/>
        </w:rPr>
        <w:t>obtained</w:t>
      </w:r>
      <w:r>
        <w:rPr>
          <w:rFonts w:ascii="Courier New"/>
          <w:spacing w:val="34"/>
          <w:w w:val="145"/>
          <w:sz w:val="12"/>
        </w:rPr>
        <w:t> </w:t>
      </w:r>
      <w:r>
        <w:rPr>
          <w:rFonts w:ascii="Courier New"/>
          <w:w w:val="145"/>
          <w:sz w:val="12"/>
        </w:rPr>
        <w:t>from</w:t>
      </w:r>
      <w:r>
        <w:rPr>
          <w:rFonts w:ascii="Courier New"/>
          <w:spacing w:val="34"/>
          <w:w w:val="145"/>
          <w:sz w:val="12"/>
        </w:rPr>
        <w:t> </w:t>
      </w:r>
      <w:r>
        <w:rPr>
          <w:rFonts w:ascii="Courier New"/>
          <w:w w:val="145"/>
          <w:sz w:val="12"/>
        </w:rPr>
        <w:t>xtreg</w:t>
      </w:r>
      <w:r>
        <w:rPr>
          <w:rFonts w:ascii="Courier New"/>
          <w:spacing w:val="-101"/>
          <w:w w:val="145"/>
          <w:sz w:val="12"/>
        </w:rPr>
        <w:t> </w:t>
      </w:r>
      <w:r>
        <w:rPr>
          <w:rFonts w:ascii="Courier New"/>
          <w:w w:val="145"/>
          <w:sz w:val="12"/>
        </w:rPr>
        <w:t>B</w:t>
      </w:r>
      <w:r>
        <w:rPr>
          <w:rFonts w:ascii="Courier New"/>
          <w:spacing w:val="39"/>
          <w:w w:val="145"/>
          <w:sz w:val="12"/>
        </w:rPr>
        <w:t> </w:t>
      </w:r>
      <w:r>
        <w:rPr>
          <w:rFonts w:ascii="Courier New"/>
          <w:w w:val="145"/>
          <w:sz w:val="12"/>
        </w:rPr>
        <w:t>=</w:t>
      </w:r>
      <w:r>
        <w:rPr>
          <w:rFonts w:ascii="Courier New"/>
          <w:spacing w:val="40"/>
          <w:w w:val="145"/>
          <w:sz w:val="12"/>
        </w:rPr>
        <w:t> </w:t>
      </w:r>
      <w:r>
        <w:rPr>
          <w:rFonts w:ascii="Courier New"/>
          <w:w w:val="145"/>
          <w:sz w:val="12"/>
        </w:rPr>
        <w:t>inconsistent</w:t>
      </w:r>
      <w:r>
        <w:rPr>
          <w:rFonts w:ascii="Courier New"/>
          <w:spacing w:val="40"/>
          <w:w w:val="145"/>
          <w:sz w:val="12"/>
        </w:rPr>
        <w:t> </w:t>
      </w:r>
      <w:r>
        <w:rPr>
          <w:rFonts w:ascii="Courier New"/>
          <w:w w:val="145"/>
          <w:sz w:val="12"/>
        </w:rPr>
        <w:t>under</w:t>
      </w:r>
      <w:r>
        <w:rPr>
          <w:rFonts w:ascii="Courier New"/>
          <w:spacing w:val="40"/>
          <w:w w:val="145"/>
          <w:sz w:val="12"/>
        </w:rPr>
        <w:t> </w:t>
      </w:r>
      <w:r>
        <w:rPr>
          <w:rFonts w:ascii="Courier New"/>
          <w:w w:val="145"/>
          <w:sz w:val="12"/>
        </w:rPr>
        <w:t>Ha,</w:t>
      </w:r>
      <w:r>
        <w:rPr>
          <w:rFonts w:ascii="Courier New"/>
          <w:spacing w:val="38"/>
          <w:w w:val="145"/>
          <w:sz w:val="12"/>
        </w:rPr>
        <w:t> </w:t>
      </w:r>
      <w:r>
        <w:rPr>
          <w:rFonts w:ascii="Courier New"/>
          <w:w w:val="145"/>
          <w:sz w:val="12"/>
        </w:rPr>
        <w:t>efficient</w:t>
      </w:r>
      <w:r>
        <w:rPr>
          <w:rFonts w:ascii="Courier New"/>
          <w:spacing w:val="40"/>
          <w:w w:val="145"/>
          <w:sz w:val="12"/>
        </w:rPr>
        <w:t> </w:t>
      </w:r>
      <w:r>
        <w:rPr>
          <w:rFonts w:ascii="Courier New"/>
          <w:w w:val="145"/>
          <w:sz w:val="12"/>
        </w:rPr>
        <w:t>under</w:t>
      </w:r>
      <w:r>
        <w:rPr>
          <w:rFonts w:ascii="Courier New"/>
          <w:spacing w:val="40"/>
          <w:w w:val="145"/>
          <w:sz w:val="12"/>
        </w:rPr>
        <w:t> </w:t>
      </w:r>
      <w:r>
        <w:rPr>
          <w:rFonts w:ascii="Courier New"/>
          <w:w w:val="145"/>
          <w:sz w:val="12"/>
        </w:rPr>
        <w:t>Ho;</w:t>
      </w:r>
      <w:r>
        <w:rPr>
          <w:rFonts w:ascii="Courier New"/>
          <w:spacing w:val="40"/>
          <w:w w:val="145"/>
          <w:sz w:val="12"/>
        </w:rPr>
        <w:t> </w:t>
      </w:r>
      <w:r>
        <w:rPr>
          <w:rFonts w:ascii="Courier New"/>
          <w:w w:val="145"/>
          <w:sz w:val="12"/>
        </w:rPr>
        <w:t>obtained</w:t>
      </w:r>
      <w:r>
        <w:rPr>
          <w:rFonts w:ascii="Courier New"/>
          <w:spacing w:val="40"/>
          <w:w w:val="145"/>
          <w:sz w:val="12"/>
        </w:rPr>
        <w:t> </w:t>
      </w:r>
      <w:r>
        <w:rPr>
          <w:rFonts w:ascii="Courier New"/>
          <w:w w:val="145"/>
          <w:sz w:val="12"/>
        </w:rPr>
        <w:t>from</w:t>
      </w:r>
      <w:r>
        <w:rPr>
          <w:rFonts w:ascii="Courier New"/>
          <w:spacing w:val="40"/>
          <w:w w:val="145"/>
          <w:sz w:val="12"/>
        </w:rPr>
        <w:t> </w:t>
      </w:r>
      <w:r>
        <w:rPr>
          <w:rFonts w:ascii="Courier New"/>
          <w:w w:val="145"/>
          <w:sz w:val="12"/>
        </w:rPr>
        <w:t>xtreg</w:t>
      </w:r>
    </w:p>
    <w:p>
      <w:pPr>
        <w:pStyle w:val="BodyText"/>
        <w:spacing w:before="3"/>
        <w:rPr>
          <w:rFonts w:ascii="Courier New"/>
          <w:sz w:val="16"/>
        </w:rPr>
      </w:pPr>
    </w:p>
    <w:p>
      <w:pPr>
        <w:tabs>
          <w:tab w:pos="1387" w:val="left" w:leader="none"/>
          <w:tab w:pos="1942" w:val="left" w:leader="none"/>
        </w:tabs>
        <w:spacing w:before="0"/>
        <w:ind w:left="611" w:right="0" w:firstLine="0"/>
        <w:jc w:val="left"/>
        <w:rPr>
          <w:rFonts w:ascii="Courier New"/>
          <w:sz w:val="12"/>
        </w:rPr>
      </w:pPr>
      <w:r>
        <w:rPr>
          <w:rFonts w:ascii="Courier New"/>
          <w:w w:val="145"/>
          <w:sz w:val="12"/>
        </w:rPr>
        <w:t>Test:</w:t>
        <w:tab/>
        <w:t>Ho:</w:t>
        <w:tab/>
        <w:t>difference</w:t>
      </w:r>
      <w:r>
        <w:rPr>
          <w:rFonts w:ascii="Courier New"/>
          <w:spacing w:val="58"/>
          <w:w w:val="145"/>
          <w:sz w:val="12"/>
        </w:rPr>
        <w:t> </w:t>
      </w:r>
      <w:r>
        <w:rPr>
          <w:rFonts w:ascii="Courier New"/>
          <w:w w:val="145"/>
          <w:sz w:val="12"/>
        </w:rPr>
        <w:t>in</w:t>
      </w:r>
      <w:r>
        <w:rPr>
          <w:rFonts w:ascii="Courier New"/>
          <w:spacing w:val="56"/>
          <w:w w:val="145"/>
          <w:sz w:val="12"/>
        </w:rPr>
        <w:t> </w:t>
      </w:r>
      <w:r>
        <w:rPr>
          <w:rFonts w:ascii="Courier New"/>
          <w:w w:val="145"/>
          <w:sz w:val="12"/>
        </w:rPr>
        <w:t>coefficients</w:t>
      </w:r>
      <w:r>
        <w:rPr>
          <w:rFonts w:ascii="Courier New"/>
          <w:spacing w:val="58"/>
          <w:w w:val="145"/>
          <w:sz w:val="12"/>
        </w:rPr>
        <w:t> </w:t>
      </w:r>
      <w:r>
        <w:rPr>
          <w:rFonts w:ascii="Courier New"/>
          <w:w w:val="145"/>
          <w:sz w:val="12"/>
        </w:rPr>
        <w:t>not</w:t>
      </w:r>
      <w:r>
        <w:rPr>
          <w:rFonts w:ascii="Courier New"/>
          <w:spacing w:val="58"/>
          <w:w w:val="145"/>
          <w:sz w:val="12"/>
        </w:rPr>
        <w:t> </w:t>
      </w:r>
      <w:r>
        <w:rPr>
          <w:rFonts w:ascii="Courier New"/>
          <w:w w:val="145"/>
          <w:sz w:val="12"/>
        </w:rPr>
        <w:t>systematic</w:t>
      </w:r>
    </w:p>
    <w:p>
      <w:pPr>
        <w:pStyle w:val="BodyText"/>
        <w:spacing w:before="4"/>
        <w:rPr>
          <w:rFonts w:ascii="Courier New"/>
          <w:sz w:val="11"/>
        </w:rPr>
      </w:pPr>
    </w:p>
    <w:p>
      <w:pPr>
        <w:spacing w:before="106"/>
        <w:ind w:left="2053" w:right="0" w:firstLine="0"/>
        <w:jc w:val="left"/>
        <w:rPr>
          <w:rFonts w:ascii="Courier New"/>
          <w:sz w:val="12"/>
        </w:rPr>
      </w:pPr>
      <w:r>
        <w:rPr>
          <w:rFonts w:ascii="Courier New"/>
          <w:w w:val="145"/>
          <w:sz w:val="12"/>
        </w:rPr>
        <w:t>chi2(34)</w:t>
      </w:r>
      <w:r>
        <w:rPr>
          <w:rFonts w:ascii="Courier New"/>
          <w:spacing w:val="99"/>
          <w:w w:val="145"/>
          <w:sz w:val="12"/>
        </w:rPr>
        <w:t> </w:t>
      </w:r>
      <w:r>
        <w:rPr>
          <w:rFonts w:ascii="Courier New"/>
          <w:w w:val="145"/>
          <w:sz w:val="12"/>
        </w:rPr>
        <w:t>=</w:t>
      </w:r>
      <w:r>
        <w:rPr>
          <w:rFonts w:ascii="Courier New"/>
          <w:spacing w:val="99"/>
          <w:w w:val="145"/>
          <w:sz w:val="12"/>
        </w:rPr>
        <w:t> </w:t>
      </w:r>
      <w:r>
        <w:rPr>
          <w:rFonts w:ascii="Courier New"/>
          <w:w w:val="145"/>
          <w:sz w:val="12"/>
        </w:rPr>
        <w:t>(b-B)'[(V_b-V_B)^(-1)](b-B)</w:t>
      </w:r>
    </w:p>
    <w:p>
      <w:pPr>
        <w:tabs>
          <w:tab w:pos="3938" w:val="left" w:leader="none"/>
        </w:tabs>
        <w:spacing w:before="48"/>
        <w:ind w:left="3051" w:right="0" w:firstLine="0"/>
        <w:jc w:val="left"/>
        <w:rPr>
          <w:rFonts w:ascii="Courier New"/>
          <w:sz w:val="12"/>
        </w:rPr>
      </w:pPr>
      <w:r>
        <w:rPr>
          <w:rFonts w:ascii="Courier New"/>
          <w:w w:val="145"/>
          <w:sz w:val="12"/>
        </w:rPr>
        <w:t>=</w:t>
        <w:tab/>
        <w:t>12.55</w:t>
      </w:r>
    </w:p>
    <w:p>
      <w:pPr>
        <w:tabs>
          <w:tab w:pos="4487" w:val="right" w:leader="none"/>
        </w:tabs>
        <w:spacing w:before="49"/>
        <w:ind w:left="1942" w:right="0" w:firstLine="0"/>
        <w:jc w:val="left"/>
        <w:rPr>
          <w:rFonts w:ascii="Courier New"/>
          <w:sz w:val="12"/>
        </w:rPr>
      </w:pPr>
      <w:r>
        <w:rPr>
          <w:rFonts w:ascii="Courier New"/>
          <w:w w:val="145"/>
          <w:sz w:val="12"/>
        </w:rPr>
        <w:t>Prob&gt;chi2</w:t>
      </w:r>
      <w:r>
        <w:rPr>
          <w:rFonts w:ascii="Courier New"/>
          <w:spacing w:val="24"/>
          <w:w w:val="145"/>
          <w:sz w:val="12"/>
        </w:rPr>
        <w:t> </w:t>
      </w:r>
      <w:r>
        <w:rPr>
          <w:rFonts w:ascii="Courier New"/>
          <w:w w:val="145"/>
          <w:sz w:val="12"/>
        </w:rPr>
        <w:t>=</w:t>
        <w:tab/>
        <w:t>0.9997</w:t>
      </w:r>
    </w:p>
    <w:p>
      <w:pPr>
        <w:spacing w:after="0"/>
        <w:jc w:val="left"/>
        <w:rPr>
          <w:rFonts w:ascii="Courier New"/>
          <w:sz w:val="12"/>
        </w:rPr>
        <w:sectPr>
          <w:pgSz w:w="12240" w:h="15840"/>
          <w:pgMar w:header="0" w:footer="935" w:top="1360" w:bottom="1200" w:left="1320" w:right="1000"/>
        </w:sectPr>
      </w:pPr>
    </w:p>
    <w:p>
      <w:pPr>
        <w:spacing w:before="74"/>
        <w:ind w:left="665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I7:</w:t>
      </w:r>
      <w:r>
        <w:rPr>
          <w:spacing w:val="-1"/>
          <w:sz w:val="22"/>
        </w:rPr>
        <w:t> </w:t>
      </w:r>
      <w:r>
        <w:rPr>
          <w:sz w:val="22"/>
        </w:rPr>
        <w:t>ROBUSTNESS</w:t>
      </w:r>
      <w:r>
        <w:rPr>
          <w:spacing w:val="-1"/>
          <w:sz w:val="22"/>
        </w:rPr>
        <w:t> </w:t>
      </w:r>
      <w:r>
        <w:rPr>
          <w:sz w:val="22"/>
        </w:rPr>
        <w:t>CHECK:</w:t>
      </w:r>
      <w:r>
        <w:rPr>
          <w:spacing w:val="-1"/>
          <w:sz w:val="22"/>
        </w:rPr>
        <w:t> </w:t>
      </w:r>
      <w:r>
        <w:rPr>
          <w:sz w:val="22"/>
        </w:rPr>
        <w:t>MULTILEVEL</w:t>
      </w:r>
      <w:r>
        <w:rPr>
          <w:spacing w:val="-5"/>
          <w:sz w:val="22"/>
        </w:rPr>
        <w:t> </w:t>
      </w:r>
      <w:r>
        <w:rPr>
          <w:sz w:val="22"/>
        </w:rPr>
        <w:t>LOGIT</w:t>
      </w:r>
      <w:r>
        <w:rPr>
          <w:spacing w:val="-1"/>
          <w:sz w:val="22"/>
        </w:rPr>
        <w:t> </w:t>
      </w:r>
      <w:r>
        <w:rPr>
          <w:sz w:val="22"/>
        </w:rPr>
        <w:t>REGRESSION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WAVE</w:t>
      </w:r>
      <w:r>
        <w:rPr>
          <w:spacing w:val="-1"/>
          <w:sz w:val="22"/>
        </w:rPr>
        <w:t> </w:t>
      </w:r>
      <w:r>
        <w:rPr>
          <w:sz w:val="22"/>
        </w:rPr>
        <w:t>2</w:t>
      </w: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5"/>
        <w:gridCol w:w="2335"/>
        <w:gridCol w:w="270"/>
        <w:gridCol w:w="811"/>
      </w:tblGrid>
      <w:tr>
        <w:trPr>
          <w:trHeight w:val="197" w:hRule="atLeast"/>
        </w:trPr>
        <w:tc>
          <w:tcPr>
            <w:tcW w:w="3685" w:type="dxa"/>
          </w:tcPr>
          <w:p>
            <w:pPr>
              <w:pStyle w:val="TableParagraph"/>
              <w:spacing w:before="2"/>
              <w:ind w:left="50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Mixed-effects</w:t>
            </w:r>
            <w:r>
              <w:rPr>
                <w:spacing w:val="53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logistic</w:t>
            </w:r>
            <w:r>
              <w:rPr>
                <w:spacing w:val="54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regression</w:t>
            </w:r>
          </w:p>
        </w:tc>
        <w:tc>
          <w:tcPr>
            <w:tcW w:w="2335" w:type="dxa"/>
          </w:tcPr>
          <w:p>
            <w:pPr>
              <w:pStyle w:val="TableParagraph"/>
              <w:spacing w:before="2"/>
              <w:ind w:left="675"/>
              <w:jc w:val="left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obs</w:t>
            </w:r>
          </w:p>
        </w:tc>
        <w:tc>
          <w:tcPr>
            <w:tcW w:w="270" w:type="dxa"/>
          </w:tcPr>
          <w:p>
            <w:pPr>
              <w:pStyle w:val="TableParagraph"/>
              <w:spacing w:before="2"/>
              <w:ind w:right="89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=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right="49"/>
              <w:rPr>
                <w:sz w:val="15"/>
              </w:rPr>
            </w:pPr>
            <w:r>
              <w:rPr>
                <w:sz w:val="15"/>
              </w:rPr>
              <w:t>27363</w:t>
            </w:r>
          </w:p>
        </w:tc>
      </w:tr>
      <w:tr>
        <w:trPr>
          <w:trHeight w:val="333" w:hRule="atLeast"/>
        </w:trPr>
        <w:tc>
          <w:tcPr>
            <w:tcW w:w="3685" w:type="dxa"/>
          </w:tcPr>
          <w:p>
            <w:pPr>
              <w:pStyle w:val="TableParagraph"/>
              <w:tabs>
                <w:tab w:pos="1935" w:val="left" w:leader="none"/>
              </w:tabs>
              <w:spacing w:before="26"/>
              <w:ind w:left="50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Group</w:t>
            </w:r>
            <w:r>
              <w:rPr>
                <w:spacing w:val="33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variable:</w:t>
              <w:tab/>
            </w:r>
            <w:r>
              <w:rPr>
                <w:sz w:val="15"/>
              </w:rPr>
              <w:t>state_gini</w:t>
            </w:r>
          </w:p>
        </w:tc>
        <w:tc>
          <w:tcPr>
            <w:tcW w:w="2335" w:type="dxa"/>
          </w:tcPr>
          <w:p>
            <w:pPr>
              <w:pStyle w:val="TableParagraph"/>
              <w:spacing w:before="26"/>
              <w:ind w:left="67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Number</w:t>
            </w:r>
            <w:r>
              <w:rPr>
                <w:spacing w:val="25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of</w:t>
            </w:r>
            <w:r>
              <w:rPr>
                <w:spacing w:val="26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groups</w:t>
            </w:r>
          </w:p>
        </w:tc>
        <w:tc>
          <w:tcPr>
            <w:tcW w:w="270" w:type="dxa"/>
          </w:tcPr>
          <w:p>
            <w:pPr>
              <w:pStyle w:val="TableParagraph"/>
              <w:spacing w:before="26"/>
              <w:ind w:right="89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=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right="49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</w:tr>
      <w:tr>
        <w:trPr>
          <w:trHeight w:val="333" w:hRule="atLeast"/>
        </w:trPr>
        <w:tc>
          <w:tcPr>
            <w:tcW w:w="36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35" w:type="dxa"/>
          </w:tcPr>
          <w:p>
            <w:pPr>
              <w:pStyle w:val="TableParagraph"/>
              <w:spacing w:before="138"/>
              <w:ind w:right="45"/>
              <w:rPr>
                <w:sz w:val="15"/>
              </w:rPr>
            </w:pPr>
            <w:r>
              <w:rPr>
                <w:sz w:val="15"/>
              </w:rPr>
              <w:t>Obs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per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group: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min</w:t>
            </w:r>
          </w:p>
        </w:tc>
        <w:tc>
          <w:tcPr>
            <w:tcW w:w="270" w:type="dxa"/>
          </w:tcPr>
          <w:p>
            <w:pPr>
              <w:pStyle w:val="TableParagraph"/>
              <w:spacing w:before="138"/>
              <w:ind w:right="89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=</w:t>
            </w:r>
          </w:p>
        </w:tc>
        <w:tc>
          <w:tcPr>
            <w:tcW w:w="811" w:type="dxa"/>
          </w:tcPr>
          <w:p>
            <w:pPr>
              <w:pStyle w:val="TableParagraph"/>
              <w:spacing w:before="138"/>
              <w:ind w:right="49"/>
              <w:rPr>
                <w:sz w:val="15"/>
              </w:rPr>
            </w:pPr>
            <w:r>
              <w:rPr>
                <w:w w:val="94"/>
                <w:sz w:val="15"/>
              </w:rPr>
              <w:t>6</w:t>
            </w:r>
          </w:p>
        </w:tc>
      </w:tr>
      <w:tr>
        <w:trPr>
          <w:trHeight w:val="222" w:hRule="atLeast"/>
        </w:trPr>
        <w:tc>
          <w:tcPr>
            <w:tcW w:w="36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35" w:type="dxa"/>
          </w:tcPr>
          <w:p>
            <w:pPr>
              <w:pStyle w:val="TableParagraph"/>
              <w:spacing w:before="27"/>
              <w:ind w:right="45"/>
              <w:rPr>
                <w:sz w:val="15"/>
              </w:rPr>
            </w:pPr>
            <w:r>
              <w:rPr>
                <w:sz w:val="15"/>
              </w:rPr>
              <w:t>avg</w:t>
            </w:r>
          </w:p>
        </w:tc>
        <w:tc>
          <w:tcPr>
            <w:tcW w:w="270" w:type="dxa"/>
          </w:tcPr>
          <w:p>
            <w:pPr>
              <w:pStyle w:val="TableParagraph"/>
              <w:spacing w:before="27"/>
              <w:ind w:right="89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=</w:t>
            </w:r>
          </w:p>
        </w:tc>
        <w:tc>
          <w:tcPr>
            <w:tcW w:w="811" w:type="dxa"/>
          </w:tcPr>
          <w:p>
            <w:pPr>
              <w:pStyle w:val="TableParagraph"/>
              <w:spacing w:before="27"/>
              <w:ind w:right="49"/>
              <w:rPr>
                <w:sz w:val="15"/>
              </w:rPr>
            </w:pPr>
            <w:r>
              <w:rPr>
                <w:sz w:val="15"/>
              </w:rPr>
              <w:t>739.5</w:t>
            </w:r>
          </w:p>
        </w:tc>
      </w:tr>
      <w:tr>
        <w:trPr>
          <w:trHeight w:val="333" w:hRule="atLeast"/>
        </w:trPr>
        <w:tc>
          <w:tcPr>
            <w:tcW w:w="36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35" w:type="dxa"/>
          </w:tcPr>
          <w:p>
            <w:pPr>
              <w:pStyle w:val="TableParagraph"/>
              <w:spacing w:before="26"/>
              <w:ind w:right="45"/>
              <w:rPr>
                <w:sz w:val="15"/>
              </w:rPr>
            </w:pPr>
            <w:r>
              <w:rPr>
                <w:sz w:val="15"/>
              </w:rPr>
              <w:t>max</w:t>
            </w:r>
          </w:p>
        </w:tc>
        <w:tc>
          <w:tcPr>
            <w:tcW w:w="270" w:type="dxa"/>
          </w:tcPr>
          <w:p>
            <w:pPr>
              <w:pStyle w:val="TableParagraph"/>
              <w:spacing w:before="26"/>
              <w:ind w:right="89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=</w:t>
            </w:r>
          </w:p>
        </w:tc>
        <w:tc>
          <w:tcPr>
            <w:tcW w:w="811" w:type="dxa"/>
          </w:tcPr>
          <w:p>
            <w:pPr>
              <w:pStyle w:val="TableParagraph"/>
              <w:spacing w:before="26"/>
              <w:ind w:right="49"/>
              <w:rPr>
                <w:sz w:val="15"/>
              </w:rPr>
            </w:pPr>
            <w:r>
              <w:rPr>
                <w:sz w:val="15"/>
              </w:rPr>
              <w:t>1370</w:t>
            </w:r>
          </w:p>
        </w:tc>
      </w:tr>
      <w:tr>
        <w:trPr>
          <w:trHeight w:val="444" w:hRule="atLeast"/>
        </w:trPr>
        <w:tc>
          <w:tcPr>
            <w:tcW w:w="3685" w:type="dxa"/>
          </w:tcPr>
          <w:p>
            <w:pPr>
              <w:pStyle w:val="TableParagraph"/>
              <w:spacing w:before="137"/>
              <w:ind w:left="50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Integration</w:t>
            </w:r>
            <w:r>
              <w:rPr>
                <w:spacing w:val="51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method:</w:t>
            </w:r>
            <w:r>
              <w:rPr>
                <w:spacing w:val="49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mvaghermite</w:t>
            </w:r>
          </w:p>
        </w:tc>
        <w:tc>
          <w:tcPr>
            <w:tcW w:w="2335" w:type="dxa"/>
          </w:tcPr>
          <w:p>
            <w:pPr>
              <w:pStyle w:val="TableParagraph"/>
              <w:spacing w:before="137"/>
              <w:ind w:right="45"/>
              <w:rPr>
                <w:sz w:val="15"/>
              </w:rPr>
            </w:pPr>
            <w:r>
              <w:rPr>
                <w:w w:val="95"/>
                <w:sz w:val="15"/>
              </w:rPr>
              <w:t>Integration</w:t>
            </w:r>
            <w:r>
              <w:rPr>
                <w:spacing w:val="47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points</w:t>
            </w:r>
          </w:p>
        </w:tc>
        <w:tc>
          <w:tcPr>
            <w:tcW w:w="270" w:type="dxa"/>
          </w:tcPr>
          <w:p>
            <w:pPr>
              <w:pStyle w:val="TableParagraph"/>
              <w:spacing w:before="137"/>
              <w:ind w:right="89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=</w:t>
            </w:r>
          </w:p>
        </w:tc>
        <w:tc>
          <w:tcPr>
            <w:tcW w:w="811" w:type="dxa"/>
          </w:tcPr>
          <w:p>
            <w:pPr>
              <w:pStyle w:val="TableParagraph"/>
              <w:spacing w:before="137"/>
              <w:ind w:right="49"/>
              <w:rPr>
                <w:sz w:val="15"/>
              </w:rPr>
            </w:pPr>
            <w:r>
              <w:rPr>
                <w:w w:val="94"/>
                <w:sz w:val="15"/>
              </w:rPr>
              <w:t>7</w:t>
            </w:r>
          </w:p>
        </w:tc>
      </w:tr>
      <w:tr>
        <w:trPr>
          <w:trHeight w:val="333" w:hRule="atLeast"/>
        </w:trPr>
        <w:tc>
          <w:tcPr>
            <w:tcW w:w="368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35" w:type="dxa"/>
          </w:tcPr>
          <w:p>
            <w:pPr>
              <w:pStyle w:val="TableParagraph"/>
              <w:spacing w:before="138"/>
              <w:ind w:left="67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Wald</w:t>
            </w:r>
            <w:r>
              <w:rPr>
                <w:spacing w:val="35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chi2(33)</w:t>
            </w:r>
          </w:p>
        </w:tc>
        <w:tc>
          <w:tcPr>
            <w:tcW w:w="270" w:type="dxa"/>
          </w:tcPr>
          <w:p>
            <w:pPr>
              <w:pStyle w:val="TableParagraph"/>
              <w:spacing w:before="138"/>
              <w:ind w:right="89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=</w:t>
            </w:r>
          </w:p>
        </w:tc>
        <w:tc>
          <w:tcPr>
            <w:tcW w:w="811" w:type="dxa"/>
          </w:tcPr>
          <w:p>
            <w:pPr>
              <w:pStyle w:val="TableParagraph"/>
              <w:spacing w:before="138"/>
              <w:ind w:right="49"/>
              <w:rPr>
                <w:sz w:val="15"/>
              </w:rPr>
            </w:pPr>
            <w:r>
              <w:rPr>
                <w:sz w:val="15"/>
              </w:rPr>
              <w:t>1673.73</w:t>
            </w:r>
          </w:p>
        </w:tc>
      </w:tr>
      <w:tr>
        <w:trPr>
          <w:trHeight w:val="197" w:hRule="atLeast"/>
        </w:trPr>
        <w:tc>
          <w:tcPr>
            <w:tcW w:w="3685" w:type="dxa"/>
          </w:tcPr>
          <w:p>
            <w:pPr>
              <w:pStyle w:val="TableParagraph"/>
              <w:spacing w:line="151" w:lineRule="exact" w:before="27"/>
              <w:ind w:left="50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Log</w:t>
            </w:r>
            <w:r>
              <w:rPr>
                <w:spacing w:val="30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likelihood</w:t>
            </w:r>
            <w:r>
              <w:rPr>
                <w:spacing w:val="31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=</w:t>
            </w:r>
            <w:r>
              <w:rPr>
                <w:spacing w:val="32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-9497.9127</w:t>
            </w:r>
          </w:p>
        </w:tc>
        <w:tc>
          <w:tcPr>
            <w:tcW w:w="2335" w:type="dxa"/>
          </w:tcPr>
          <w:p>
            <w:pPr>
              <w:pStyle w:val="TableParagraph"/>
              <w:spacing w:line="151" w:lineRule="exact" w:before="27"/>
              <w:ind w:left="675"/>
              <w:jc w:val="left"/>
              <w:rPr>
                <w:sz w:val="15"/>
              </w:rPr>
            </w:pPr>
            <w:r>
              <w:rPr>
                <w:sz w:val="15"/>
              </w:rPr>
              <w:t>Prob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&gt;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chi2</w:t>
            </w:r>
          </w:p>
        </w:tc>
        <w:tc>
          <w:tcPr>
            <w:tcW w:w="270" w:type="dxa"/>
          </w:tcPr>
          <w:p>
            <w:pPr>
              <w:pStyle w:val="TableParagraph"/>
              <w:spacing w:line="151" w:lineRule="exact" w:before="27"/>
              <w:ind w:right="89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=</w:t>
            </w:r>
          </w:p>
        </w:tc>
        <w:tc>
          <w:tcPr>
            <w:tcW w:w="811" w:type="dxa"/>
          </w:tcPr>
          <w:p>
            <w:pPr>
              <w:pStyle w:val="TableParagraph"/>
              <w:spacing w:line="151" w:lineRule="exact" w:before="27"/>
              <w:ind w:right="49"/>
              <w:rPr>
                <w:sz w:val="15"/>
              </w:rPr>
            </w:pPr>
            <w:r>
              <w:rPr>
                <w:sz w:val="15"/>
              </w:rPr>
              <w:t>0.0000</w:t>
            </w:r>
          </w:p>
        </w:tc>
      </w:tr>
    </w:tbl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65" w:type="dxa"/>
        <w:tblBorders>
          <w:top w:val="dashSmallGap" w:sz="6" w:space="0" w:color="000000"/>
          <w:left w:val="dashSmallGap" w:sz="6" w:space="0" w:color="000000"/>
          <w:bottom w:val="dashSmallGap" w:sz="6" w:space="0" w:color="000000"/>
          <w:right w:val="dashSmallGap" w:sz="6" w:space="0" w:color="000000"/>
          <w:insideH w:val="dashSmallGap" w:sz="6" w:space="0" w:color="000000"/>
          <w:insideV w:val="dashSmallGap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2"/>
        <w:gridCol w:w="1165"/>
        <w:gridCol w:w="1033"/>
        <w:gridCol w:w="763"/>
        <w:gridCol w:w="763"/>
        <w:gridCol w:w="1212"/>
        <w:gridCol w:w="849"/>
      </w:tblGrid>
      <w:tr>
        <w:trPr>
          <w:trHeight w:val="429" w:hRule="atLeast"/>
        </w:trPr>
        <w:tc>
          <w:tcPr>
            <w:tcW w:w="3182" w:type="dxa"/>
            <w:tcBorders>
              <w:left w:val="nil"/>
              <w:right w:val="dashed" w:sz="6" w:space="0" w:color="000000"/>
            </w:tcBorders>
          </w:tcPr>
          <w:p>
            <w:pPr>
              <w:pStyle w:val="TableParagraph"/>
              <w:spacing w:before="138"/>
              <w:ind w:right="123"/>
              <w:rPr>
                <w:sz w:val="15"/>
              </w:rPr>
            </w:pPr>
            <w:r>
              <w:rPr>
                <w:sz w:val="15"/>
              </w:rPr>
              <w:t>illness</w:t>
            </w:r>
          </w:p>
        </w:tc>
        <w:tc>
          <w:tcPr>
            <w:tcW w:w="1165" w:type="dxa"/>
            <w:tcBorders>
              <w:left w:val="dashed" w:sz="6" w:space="0" w:color="000000"/>
              <w:right w:val="nil"/>
            </w:tcBorders>
          </w:tcPr>
          <w:p>
            <w:pPr>
              <w:pStyle w:val="TableParagraph"/>
              <w:spacing w:before="138"/>
              <w:ind w:right="128"/>
              <w:rPr>
                <w:sz w:val="15"/>
              </w:rPr>
            </w:pPr>
            <w:r>
              <w:rPr>
                <w:sz w:val="15"/>
              </w:rPr>
              <w:t>Coef.</w:t>
            </w:r>
          </w:p>
        </w:tc>
        <w:tc>
          <w:tcPr>
            <w:tcW w:w="103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8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Std.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Err.</w:t>
            </w:r>
          </w:p>
        </w:tc>
        <w:tc>
          <w:tcPr>
            <w:tcW w:w="7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8"/>
              <w:ind w:left="458"/>
              <w:jc w:val="left"/>
              <w:rPr>
                <w:sz w:val="15"/>
              </w:rPr>
            </w:pPr>
            <w:r>
              <w:rPr>
                <w:w w:val="94"/>
                <w:sz w:val="15"/>
              </w:rPr>
              <w:t>z</w:t>
            </w:r>
          </w:p>
        </w:tc>
        <w:tc>
          <w:tcPr>
            <w:tcW w:w="7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8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P&gt;|z|</w:t>
            </w:r>
          </w:p>
        </w:tc>
        <w:tc>
          <w:tcPr>
            <w:tcW w:w="121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8"/>
              <w:ind w:left="279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[95%</w:t>
            </w:r>
            <w:r>
              <w:rPr>
                <w:spacing w:val="27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Conf.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8"/>
              <w:ind w:right="-15"/>
              <w:rPr>
                <w:sz w:val="15"/>
              </w:rPr>
            </w:pPr>
            <w:r>
              <w:rPr>
                <w:w w:val="95"/>
                <w:sz w:val="15"/>
              </w:rPr>
              <w:t>Interval]</w:t>
            </w:r>
          </w:p>
        </w:tc>
      </w:tr>
      <w:tr>
        <w:trPr>
          <w:trHeight w:val="7758" w:hRule="atLeast"/>
        </w:trPr>
        <w:tc>
          <w:tcPr>
            <w:tcW w:w="3182" w:type="dxa"/>
            <w:tcBorders>
              <w:left w:val="nil"/>
              <w:right w:val="dashed" w:sz="6" w:space="0" w:color="000000"/>
            </w:tcBorders>
          </w:tcPr>
          <w:p>
            <w:pPr>
              <w:pStyle w:val="TableParagraph"/>
              <w:spacing w:line="314" w:lineRule="auto" w:before="138"/>
              <w:ind w:left="1796" w:right="123" w:firstLine="359"/>
              <w:rPr>
                <w:sz w:val="15"/>
              </w:rPr>
            </w:pPr>
            <w:r>
              <w:rPr>
                <w:w w:val="90"/>
                <w:sz w:val="15"/>
              </w:rPr>
              <w:t>familysize</w:t>
            </w:r>
            <w:r>
              <w:rPr>
                <w:spacing w:val="1"/>
                <w:w w:val="90"/>
                <w:sz w:val="15"/>
              </w:rPr>
              <w:t> </w:t>
            </w:r>
            <w:r>
              <w:rPr>
                <w:w w:val="95"/>
                <w:sz w:val="15"/>
              </w:rPr>
              <w:t>hungerornofood</w:t>
            </w:r>
          </w:p>
          <w:p>
            <w:pPr>
              <w:pStyle w:val="TableParagraph"/>
              <w:spacing w:line="314" w:lineRule="auto"/>
              <w:ind w:left="898" w:right="123" w:firstLine="1796"/>
              <w:rPr>
                <w:sz w:val="15"/>
              </w:rPr>
            </w:pPr>
            <w:r>
              <w:rPr>
                <w:w w:val="95"/>
                <w:sz w:val="15"/>
              </w:rPr>
              <w:t>gari</w:t>
            </w:r>
            <w:r>
              <w:rPr>
                <w:spacing w:val="-83"/>
                <w:w w:val="95"/>
                <w:sz w:val="15"/>
              </w:rPr>
              <w:t> </w:t>
            </w:r>
            <w:r>
              <w:rPr>
                <w:sz w:val="15"/>
              </w:rPr>
              <w:t>rice</w:t>
            </w:r>
            <w:r>
              <w:rPr>
                <w:spacing w:val="1"/>
                <w:sz w:val="15"/>
              </w:rPr>
              <w:t> </w:t>
            </w:r>
            <w:r>
              <w:rPr>
                <w:w w:val="95"/>
                <w:sz w:val="15"/>
              </w:rPr>
              <w:t>yamorcassavaormaizeflour</w:t>
            </w:r>
          </w:p>
          <w:p>
            <w:pPr>
              <w:pStyle w:val="TableParagraph"/>
              <w:spacing w:line="314" w:lineRule="auto"/>
              <w:ind w:left="1168" w:right="123" w:firstLine="1436"/>
              <w:rPr>
                <w:sz w:val="15"/>
              </w:rPr>
            </w:pPr>
            <w:r>
              <w:rPr>
                <w:w w:val="90"/>
                <w:sz w:val="15"/>
              </w:rPr>
              <w:t>beans</w:t>
            </w:r>
            <w:r>
              <w:rPr>
                <w:spacing w:val="-79"/>
                <w:w w:val="90"/>
                <w:sz w:val="15"/>
              </w:rPr>
              <w:t> </w:t>
            </w:r>
            <w:r>
              <w:rPr>
                <w:sz w:val="15"/>
              </w:rPr>
              <w:t>meatorfish</w:t>
            </w:r>
            <w:r>
              <w:rPr>
                <w:spacing w:val="1"/>
                <w:sz w:val="15"/>
              </w:rPr>
              <w:t> </w:t>
            </w:r>
            <w:r>
              <w:rPr>
                <w:w w:val="95"/>
                <w:sz w:val="15"/>
              </w:rPr>
              <w:t>mosquitonetpossession</w:t>
            </w:r>
            <w:r>
              <w:rPr>
                <w:spacing w:val="1"/>
                <w:w w:val="95"/>
                <w:sz w:val="15"/>
              </w:rPr>
              <w:t> </w:t>
            </w:r>
            <w:r>
              <w:rPr>
                <w:sz w:val="15"/>
              </w:rPr>
              <w:t>primaryeducation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secondaryeducation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highercertificate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nobasiceducation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hadelectricity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noelectricity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pipebornewater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boreholeandwell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riverandspring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noaccesstowater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waterormoderntoilet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pitorlatrinetoilet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notoiletfacility</w:t>
            </w:r>
          </w:p>
          <w:p>
            <w:pPr>
              <w:pStyle w:val="TableParagraph"/>
              <w:spacing w:line="314" w:lineRule="auto"/>
              <w:ind w:left="719" w:right="123" w:firstLine="1526"/>
              <w:rPr>
                <w:sz w:val="15"/>
              </w:rPr>
            </w:pPr>
            <w:r>
              <w:rPr>
                <w:w w:val="90"/>
                <w:sz w:val="15"/>
              </w:rPr>
              <w:t>alcoholic</w:t>
            </w:r>
            <w:r>
              <w:rPr>
                <w:spacing w:val="-79"/>
                <w:w w:val="90"/>
                <w:sz w:val="15"/>
              </w:rPr>
              <w:t> </w:t>
            </w:r>
            <w:r>
              <w:rPr>
                <w:sz w:val="15"/>
              </w:rPr>
              <w:t>selfmedication</w:t>
            </w:r>
            <w:r>
              <w:rPr>
                <w:spacing w:val="1"/>
                <w:sz w:val="15"/>
              </w:rPr>
              <w:t> </w:t>
            </w:r>
            <w:r>
              <w:rPr>
                <w:w w:val="95"/>
                <w:sz w:val="15"/>
              </w:rPr>
              <w:t>seekingorthodoxyhealthcare</w:t>
            </w:r>
            <w:r>
              <w:rPr>
                <w:spacing w:val="1"/>
                <w:w w:val="95"/>
                <w:sz w:val="15"/>
              </w:rPr>
              <w:t> </w:t>
            </w:r>
            <w:r>
              <w:rPr>
                <w:sz w:val="15"/>
              </w:rPr>
              <w:t>otherhealthcareservices</w:t>
            </w:r>
          </w:p>
          <w:p>
            <w:pPr>
              <w:pStyle w:val="TableParagraph"/>
              <w:spacing w:line="314" w:lineRule="auto"/>
              <w:ind w:left="988" w:right="123" w:firstLine="628"/>
              <w:rPr>
                <w:sz w:val="15"/>
              </w:rPr>
            </w:pPr>
            <w:r>
              <w:rPr>
                <w:w w:val="95"/>
                <w:sz w:val="15"/>
              </w:rPr>
              <w:t>wagesandsalaries</w:t>
            </w:r>
            <w:r>
              <w:rPr>
                <w:spacing w:val="-83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entreprisesandbusiness</w:t>
            </w:r>
            <w:r>
              <w:rPr>
                <w:spacing w:val="1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cropandlivestockincomes</w:t>
            </w:r>
          </w:p>
          <w:p>
            <w:pPr>
              <w:pStyle w:val="TableParagraph"/>
              <w:spacing w:line="314" w:lineRule="auto"/>
              <w:ind w:left="270" w:right="123" w:firstLine="1796"/>
              <w:rPr>
                <w:sz w:val="15"/>
              </w:rPr>
            </w:pPr>
            <w:r>
              <w:rPr>
                <w:w w:val="90"/>
                <w:sz w:val="15"/>
              </w:rPr>
              <w:t>remittances</w:t>
            </w:r>
            <w:r>
              <w:rPr>
                <w:spacing w:val="1"/>
                <w:w w:val="90"/>
                <w:sz w:val="15"/>
              </w:rPr>
              <w:t> </w:t>
            </w:r>
            <w:r>
              <w:rPr>
                <w:w w:val="95"/>
                <w:sz w:val="15"/>
              </w:rPr>
              <w:t>monetaryandconditionaltransfers</w:t>
            </w:r>
          </w:p>
          <w:p>
            <w:pPr>
              <w:pStyle w:val="TableParagraph"/>
              <w:spacing w:line="314" w:lineRule="auto"/>
              <w:ind w:left="180" w:right="123" w:firstLine="1347"/>
              <w:jc w:val="both"/>
              <w:rPr>
                <w:sz w:val="15"/>
              </w:rPr>
            </w:pPr>
            <w:r>
              <w:rPr>
                <w:w w:val="95"/>
                <w:sz w:val="15"/>
              </w:rPr>
              <w:t>pensionsandgrants</w:t>
            </w:r>
            <w:r>
              <w:rPr>
                <w:spacing w:val="-84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dividendandinterestfrominvestmen</w:t>
            </w:r>
            <w:r>
              <w:rPr>
                <w:spacing w:val="1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incomesfromlandandhouseownership</w:t>
            </w:r>
          </w:p>
          <w:p>
            <w:pPr>
              <w:pStyle w:val="TableParagraph"/>
              <w:spacing w:line="168" w:lineRule="exact"/>
              <w:ind w:right="123"/>
              <w:rPr>
                <w:sz w:val="15"/>
              </w:rPr>
            </w:pPr>
            <w:r>
              <w:rPr>
                <w:sz w:val="15"/>
              </w:rPr>
              <w:t>_cons</w:t>
            </w:r>
          </w:p>
        </w:tc>
        <w:tc>
          <w:tcPr>
            <w:tcW w:w="1165" w:type="dxa"/>
            <w:tcBorders>
              <w:left w:val="dashed" w:sz="6" w:space="0" w:color="000000"/>
              <w:right w:val="nil"/>
            </w:tcBorders>
          </w:tcPr>
          <w:p>
            <w:pPr>
              <w:pStyle w:val="TableParagraph"/>
              <w:spacing w:before="138"/>
              <w:ind w:right="128"/>
              <w:rPr>
                <w:sz w:val="15"/>
              </w:rPr>
            </w:pPr>
            <w:r>
              <w:rPr>
                <w:sz w:val="15"/>
              </w:rPr>
              <w:t>.639245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2.30893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-.0318356</w:t>
            </w:r>
          </w:p>
          <w:p>
            <w:pPr>
              <w:pStyle w:val="TableParagraph"/>
              <w:spacing w:before="53"/>
              <w:ind w:right="128"/>
              <w:rPr>
                <w:sz w:val="15"/>
              </w:rPr>
            </w:pPr>
            <w:r>
              <w:rPr>
                <w:sz w:val="15"/>
              </w:rPr>
              <w:t>-.0795127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-.3112286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-.1323204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-.0536928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-.6710795</w:t>
            </w:r>
          </w:p>
          <w:p>
            <w:pPr>
              <w:pStyle w:val="TableParagraph"/>
              <w:spacing w:before="53"/>
              <w:ind w:right="128"/>
              <w:rPr>
                <w:sz w:val="15"/>
              </w:rPr>
            </w:pPr>
            <w:r>
              <w:rPr>
                <w:sz w:val="15"/>
              </w:rPr>
              <w:t>-.8382902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.0122909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-.2703189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.0102169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.0209528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-.05884</w:t>
            </w:r>
          </w:p>
          <w:p>
            <w:pPr>
              <w:pStyle w:val="TableParagraph"/>
              <w:spacing w:before="53"/>
              <w:ind w:right="128"/>
              <w:rPr>
                <w:sz w:val="15"/>
              </w:rPr>
            </w:pPr>
            <w:r>
              <w:rPr>
                <w:sz w:val="15"/>
              </w:rPr>
              <w:t>-.1371323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-.0069989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.3630101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.0263295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.1851337</w:t>
            </w:r>
          </w:p>
          <w:p>
            <w:pPr>
              <w:pStyle w:val="TableParagraph"/>
              <w:spacing w:before="53"/>
              <w:ind w:right="128"/>
              <w:rPr>
                <w:sz w:val="15"/>
              </w:rPr>
            </w:pPr>
            <w:r>
              <w:rPr>
                <w:sz w:val="15"/>
              </w:rPr>
              <w:t>.0005354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.0383274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.0151871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-.3551153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-.0598726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.1482439</w:t>
            </w:r>
          </w:p>
          <w:p>
            <w:pPr>
              <w:pStyle w:val="TableParagraph"/>
              <w:spacing w:before="53"/>
              <w:ind w:right="128"/>
              <w:rPr>
                <w:sz w:val="15"/>
              </w:rPr>
            </w:pPr>
            <w:r>
              <w:rPr>
                <w:sz w:val="15"/>
              </w:rPr>
              <w:t>-.0102946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.003432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-.0501876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-.3325625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-.3175483</w:t>
            </w:r>
          </w:p>
          <w:p>
            <w:pPr>
              <w:pStyle w:val="TableParagraph"/>
              <w:spacing w:before="53"/>
              <w:ind w:right="128"/>
              <w:rPr>
                <w:sz w:val="15"/>
              </w:rPr>
            </w:pPr>
            <w:r>
              <w:rPr>
                <w:sz w:val="15"/>
              </w:rPr>
              <w:t>-.030269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.1920427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.0562002</w:t>
            </w:r>
          </w:p>
          <w:p>
            <w:pPr>
              <w:pStyle w:val="TableParagraph"/>
              <w:spacing w:before="52"/>
              <w:ind w:right="128"/>
              <w:rPr>
                <w:sz w:val="15"/>
              </w:rPr>
            </w:pPr>
            <w:r>
              <w:rPr>
                <w:sz w:val="15"/>
              </w:rPr>
              <w:t>-.3025395</w:t>
            </w:r>
          </w:p>
        </w:tc>
        <w:tc>
          <w:tcPr>
            <w:tcW w:w="103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8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.0979841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.0924231</w:t>
            </w:r>
          </w:p>
          <w:p>
            <w:pPr>
              <w:pStyle w:val="TableParagraph"/>
              <w:spacing w:before="52"/>
              <w:ind w:left="233"/>
              <w:jc w:val="left"/>
              <w:rPr>
                <w:sz w:val="15"/>
              </w:rPr>
            </w:pPr>
            <w:r>
              <w:rPr>
                <w:sz w:val="15"/>
              </w:rPr>
              <w:t>.080555</w:t>
            </w:r>
          </w:p>
          <w:p>
            <w:pPr>
              <w:pStyle w:val="TableParagraph"/>
              <w:spacing w:before="53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.1300332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.0536499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.0678638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.1150454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.1150471</w:t>
            </w:r>
          </w:p>
          <w:p>
            <w:pPr>
              <w:pStyle w:val="TableParagraph"/>
              <w:spacing w:before="53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.1331345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.0328728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.0927779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.0672534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.0920609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.0841851</w:t>
            </w:r>
          </w:p>
          <w:p>
            <w:pPr>
              <w:pStyle w:val="TableParagraph"/>
              <w:spacing w:before="53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.0130974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.0133218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.0521455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.1163052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.2185672</w:t>
            </w:r>
          </w:p>
          <w:p>
            <w:pPr>
              <w:pStyle w:val="TableParagraph"/>
              <w:spacing w:before="53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.0017091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.0480457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.0439373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.2490834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.0449565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.0663237</w:t>
            </w:r>
          </w:p>
          <w:p>
            <w:pPr>
              <w:pStyle w:val="TableParagraph"/>
              <w:spacing w:before="53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.0225742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.0107887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.0246374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.1188839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.1205806</w:t>
            </w:r>
          </w:p>
          <w:p>
            <w:pPr>
              <w:pStyle w:val="TableParagraph"/>
              <w:spacing w:before="53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.1220046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.1823764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.0416175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.4216554</w:t>
            </w:r>
          </w:p>
        </w:tc>
        <w:tc>
          <w:tcPr>
            <w:tcW w:w="7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8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6.52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24.98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-0.40</w:t>
            </w:r>
          </w:p>
          <w:p>
            <w:pPr>
              <w:pStyle w:val="TableParagraph"/>
              <w:spacing w:before="53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-0.61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-5.80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-1.95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-0.47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-5.83</w:t>
            </w:r>
          </w:p>
          <w:p>
            <w:pPr>
              <w:pStyle w:val="TableParagraph"/>
              <w:spacing w:before="53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-6.30</w:t>
            </w:r>
          </w:p>
          <w:p>
            <w:pPr>
              <w:pStyle w:val="TableParagraph"/>
              <w:spacing w:before="52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0.37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-2.91</w:t>
            </w:r>
          </w:p>
          <w:p>
            <w:pPr>
              <w:pStyle w:val="TableParagraph"/>
              <w:spacing w:before="52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0.15</w:t>
            </w:r>
          </w:p>
          <w:p>
            <w:pPr>
              <w:pStyle w:val="TableParagraph"/>
              <w:spacing w:before="52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0.23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-0.70</w:t>
            </w:r>
          </w:p>
          <w:p>
            <w:pPr>
              <w:pStyle w:val="TableParagraph"/>
              <w:spacing w:before="53"/>
              <w:ind w:left="98"/>
              <w:jc w:val="left"/>
              <w:rPr>
                <w:sz w:val="15"/>
              </w:rPr>
            </w:pPr>
            <w:r>
              <w:rPr>
                <w:sz w:val="15"/>
              </w:rPr>
              <w:t>-10.47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-0.53</w:t>
            </w:r>
          </w:p>
          <w:p>
            <w:pPr>
              <w:pStyle w:val="TableParagraph"/>
              <w:spacing w:before="52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6.96</w:t>
            </w:r>
          </w:p>
          <w:p>
            <w:pPr>
              <w:pStyle w:val="TableParagraph"/>
              <w:spacing w:before="52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0.23</w:t>
            </w:r>
          </w:p>
          <w:p>
            <w:pPr>
              <w:pStyle w:val="TableParagraph"/>
              <w:spacing w:before="52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0.85</w:t>
            </w:r>
          </w:p>
          <w:p>
            <w:pPr>
              <w:pStyle w:val="TableParagraph"/>
              <w:spacing w:before="53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0.31</w:t>
            </w:r>
          </w:p>
          <w:p>
            <w:pPr>
              <w:pStyle w:val="TableParagraph"/>
              <w:spacing w:before="52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0.80</w:t>
            </w:r>
          </w:p>
          <w:p>
            <w:pPr>
              <w:pStyle w:val="TableParagraph"/>
              <w:spacing w:before="52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0.35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-1.43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-1.33</w:t>
            </w:r>
          </w:p>
          <w:p>
            <w:pPr>
              <w:pStyle w:val="TableParagraph"/>
              <w:spacing w:before="52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2.24</w:t>
            </w:r>
          </w:p>
          <w:p>
            <w:pPr>
              <w:pStyle w:val="TableParagraph"/>
              <w:spacing w:before="53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-0.46</w:t>
            </w:r>
          </w:p>
          <w:p>
            <w:pPr>
              <w:pStyle w:val="TableParagraph"/>
              <w:spacing w:before="52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0.32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-2.04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-2.80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-2.63</w:t>
            </w:r>
          </w:p>
          <w:p>
            <w:pPr>
              <w:pStyle w:val="TableParagraph"/>
              <w:spacing w:before="53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-0.25</w:t>
            </w:r>
          </w:p>
          <w:p>
            <w:pPr>
              <w:pStyle w:val="TableParagraph"/>
              <w:spacing w:before="52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1.05</w:t>
            </w:r>
          </w:p>
          <w:p>
            <w:pPr>
              <w:pStyle w:val="TableParagraph"/>
              <w:spacing w:before="52"/>
              <w:ind w:left="278"/>
              <w:jc w:val="left"/>
              <w:rPr>
                <w:sz w:val="15"/>
              </w:rPr>
            </w:pPr>
            <w:r>
              <w:rPr>
                <w:sz w:val="15"/>
              </w:rPr>
              <w:t>1.35</w:t>
            </w:r>
          </w:p>
          <w:p>
            <w:pPr>
              <w:pStyle w:val="TableParagraph"/>
              <w:spacing w:before="52"/>
              <w:ind w:left="188"/>
              <w:jc w:val="left"/>
              <w:rPr>
                <w:sz w:val="15"/>
              </w:rPr>
            </w:pPr>
            <w:r>
              <w:rPr>
                <w:sz w:val="15"/>
              </w:rPr>
              <w:t>-0.72</w:t>
            </w:r>
          </w:p>
        </w:tc>
        <w:tc>
          <w:tcPr>
            <w:tcW w:w="7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8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0.693</w:t>
            </w:r>
          </w:p>
          <w:p>
            <w:pPr>
              <w:pStyle w:val="TableParagraph"/>
              <w:spacing w:before="53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0.541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0.051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0.641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3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0.708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0.004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0.879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0.820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0.485</w:t>
            </w:r>
          </w:p>
          <w:p>
            <w:pPr>
              <w:pStyle w:val="TableParagraph"/>
              <w:spacing w:before="53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0.599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0.821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0.397</w:t>
            </w:r>
          </w:p>
          <w:p>
            <w:pPr>
              <w:pStyle w:val="TableParagraph"/>
              <w:spacing w:before="53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0.754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0.425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0.730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0.154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0.183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0.025</w:t>
            </w:r>
          </w:p>
          <w:p>
            <w:pPr>
              <w:pStyle w:val="TableParagraph"/>
              <w:spacing w:before="53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0.648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0.750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0.042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0.005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0.008</w:t>
            </w:r>
          </w:p>
          <w:p>
            <w:pPr>
              <w:pStyle w:val="TableParagraph"/>
              <w:spacing w:before="53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0.804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0.292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0.177</w:t>
            </w:r>
          </w:p>
          <w:p>
            <w:pPr>
              <w:pStyle w:val="TableParagraph"/>
              <w:spacing w:before="52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0.473</w:t>
            </w:r>
          </w:p>
        </w:tc>
        <w:tc>
          <w:tcPr>
            <w:tcW w:w="121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8"/>
              <w:ind w:left="279"/>
              <w:jc w:val="left"/>
              <w:rPr>
                <w:sz w:val="15"/>
              </w:rPr>
            </w:pPr>
            <w:r>
              <w:rPr>
                <w:sz w:val="15"/>
              </w:rPr>
              <w:t>.4471997</w:t>
            </w:r>
          </w:p>
          <w:p>
            <w:pPr>
              <w:pStyle w:val="TableParagraph"/>
              <w:spacing w:before="52"/>
              <w:ind w:left="279"/>
              <w:jc w:val="left"/>
              <w:rPr>
                <w:sz w:val="15"/>
              </w:rPr>
            </w:pPr>
            <w:r>
              <w:rPr>
                <w:sz w:val="15"/>
              </w:rPr>
              <w:t>2.127784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-.1897205</w:t>
            </w:r>
          </w:p>
          <w:p>
            <w:pPr>
              <w:pStyle w:val="TableParagraph"/>
              <w:spacing w:before="53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-.3343731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-.4163804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-.2653311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-.2791776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-.8965678</w:t>
            </w:r>
          </w:p>
          <w:p>
            <w:pPr>
              <w:pStyle w:val="TableParagraph"/>
              <w:spacing w:before="53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-1.099229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-.0521386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-.4521604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-.1215974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-.1594833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-.2238398</w:t>
            </w:r>
          </w:p>
          <w:p>
            <w:pPr>
              <w:pStyle w:val="TableParagraph"/>
              <w:spacing w:before="53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-.1628028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-.0331092</w:t>
            </w:r>
          </w:p>
          <w:p>
            <w:pPr>
              <w:pStyle w:val="TableParagraph"/>
              <w:spacing w:before="52"/>
              <w:ind w:left="279"/>
              <w:jc w:val="left"/>
              <w:rPr>
                <w:sz w:val="15"/>
              </w:rPr>
            </w:pPr>
            <w:r>
              <w:rPr>
                <w:sz w:val="15"/>
              </w:rPr>
              <w:t>.2608067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-.2016245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-.2432501</w:t>
            </w:r>
          </w:p>
          <w:p>
            <w:pPr>
              <w:pStyle w:val="TableParagraph"/>
              <w:spacing w:before="53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-.0028145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-.0558405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-.0709285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-.8433099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-.1479858</w:t>
            </w:r>
          </w:p>
          <w:p>
            <w:pPr>
              <w:pStyle w:val="TableParagraph"/>
              <w:spacing w:before="52"/>
              <w:ind w:left="279"/>
              <w:jc w:val="left"/>
              <w:rPr>
                <w:sz w:val="15"/>
              </w:rPr>
            </w:pPr>
            <w:r>
              <w:rPr>
                <w:sz w:val="15"/>
              </w:rPr>
              <w:t>.0182519</w:t>
            </w:r>
          </w:p>
          <w:p>
            <w:pPr>
              <w:pStyle w:val="TableParagraph"/>
              <w:spacing w:before="53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-.0545392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-.0177134</w:t>
            </w:r>
          </w:p>
          <w:p>
            <w:pPr>
              <w:pStyle w:val="TableParagraph"/>
              <w:spacing w:before="52"/>
              <w:ind w:left="279"/>
              <w:jc w:val="left"/>
              <w:rPr>
                <w:sz w:val="15"/>
              </w:rPr>
            </w:pPr>
            <w:r>
              <w:rPr>
                <w:sz w:val="15"/>
              </w:rPr>
              <w:t>-.098476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-.5655708</w:t>
            </w:r>
          </w:p>
          <w:p>
            <w:pPr>
              <w:pStyle w:val="TableParagraph"/>
              <w:spacing w:before="52"/>
              <w:ind w:left="279"/>
              <w:jc w:val="left"/>
              <w:rPr>
                <w:sz w:val="15"/>
              </w:rPr>
            </w:pPr>
            <w:r>
              <w:rPr>
                <w:sz w:val="15"/>
              </w:rPr>
              <w:t>-.553882</w:t>
            </w:r>
          </w:p>
          <w:p>
            <w:pPr>
              <w:pStyle w:val="TableParagraph"/>
              <w:spacing w:before="53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-.2693936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-.1654085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-.0253687</w:t>
            </w:r>
          </w:p>
          <w:p>
            <w:pPr>
              <w:pStyle w:val="TableParagraph"/>
              <w:spacing w:before="52"/>
              <w:ind w:left="189"/>
              <w:jc w:val="left"/>
              <w:rPr>
                <w:sz w:val="15"/>
              </w:rPr>
            </w:pPr>
            <w:r>
              <w:rPr>
                <w:sz w:val="15"/>
              </w:rPr>
              <w:t>-1.128969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8"/>
              <w:ind w:right="-15"/>
              <w:rPr>
                <w:sz w:val="15"/>
              </w:rPr>
            </w:pPr>
            <w:r>
              <w:rPr>
                <w:sz w:val="15"/>
              </w:rPr>
              <w:t>.8312903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2.490076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.1260492</w:t>
            </w:r>
          </w:p>
          <w:p>
            <w:pPr>
              <w:pStyle w:val="TableParagraph"/>
              <w:spacing w:before="53"/>
              <w:ind w:right="-15"/>
              <w:rPr>
                <w:sz w:val="15"/>
              </w:rPr>
            </w:pPr>
            <w:r>
              <w:rPr>
                <w:sz w:val="15"/>
              </w:rPr>
              <w:t>.1753477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w w:val="95"/>
                <w:sz w:val="15"/>
              </w:rPr>
              <w:t>-.2060768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.0006902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.1717921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w w:val="95"/>
                <w:sz w:val="15"/>
              </w:rPr>
              <w:t>-.4455913</w:t>
            </w:r>
          </w:p>
          <w:p>
            <w:pPr>
              <w:pStyle w:val="TableParagraph"/>
              <w:spacing w:before="53"/>
              <w:ind w:right="-15"/>
              <w:rPr>
                <w:sz w:val="15"/>
              </w:rPr>
            </w:pPr>
            <w:r>
              <w:rPr>
                <w:w w:val="95"/>
                <w:sz w:val="15"/>
              </w:rPr>
              <w:t>-.5773513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.0767204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w w:val="95"/>
                <w:sz w:val="15"/>
              </w:rPr>
              <w:t>-.0884775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.1420312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.2013888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.1061598</w:t>
            </w:r>
          </w:p>
          <w:p>
            <w:pPr>
              <w:pStyle w:val="TableParagraph"/>
              <w:spacing w:before="53"/>
              <w:ind w:right="-15"/>
              <w:rPr>
                <w:sz w:val="15"/>
              </w:rPr>
            </w:pPr>
            <w:r>
              <w:rPr>
                <w:w w:val="95"/>
                <w:sz w:val="15"/>
              </w:rPr>
              <w:t>-.1114618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.0191114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.4652135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.2542834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.6135175</w:t>
            </w:r>
          </w:p>
          <w:p>
            <w:pPr>
              <w:pStyle w:val="TableParagraph"/>
              <w:spacing w:before="53"/>
              <w:ind w:right="-15"/>
              <w:rPr>
                <w:sz w:val="15"/>
              </w:rPr>
            </w:pPr>
            <w:r>
              <w:rPr>
                <w:sz w:val="15"/>
              </w:rPr>
              <w:t>.0038852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.1324952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.1013027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.1330793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.0282406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.278236</w:t>
            </w:r>
          </w:p>
          <w:p>
            <w:pPr>
              <w:pStyle w:val="TableParagraph"/>
              <w:spacing w:before="53"/>
              <w:ind w:right="-15"/>
              <w:rPr>
                <w:sz w:val="15"/>
              </w:rPr>
            </w:pPr>
            <w:r>
              <w:rPr>
                <w:sz w:val="15"/>
              </w:rPr>
              <w:t>.0339499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.0245775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w w:val="95"/>
                <w:sz w:val="15"/>
              </w:rPr>
              <w:t>-.0018991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w w:val="95"/>
                <w:sz w:val="15"/>
              </w:rPr>
              <w:t>-.0995543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w w:val="95"/>
                <w:sz w:val="15"/>
              </w:rPr>
              <w:t>-.0812147</w:t>
            </w:r>
          </w:p>
          <w:p>
            <w:pPr>
              <w:pStyle w:val="TableParagraph"/>
              <w:spacing w:before="53"/>
              <w:ind w:right="-15"/>
              <w:rPr>
                <w:sz w:val="15"/>
              </w:rPr>
            </w:pPr>
            <w:r>
              <w:rPr>
                <w:sz w:val="15"/>
              </w:rPr>
              <w:t>.2088555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.5494939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.1377691</w:t>
            </w:r>
          </w:p>
          <w:p>
            <w:pPr>
              <w:pStyle w:val="TableParagraph"/>
              <w:spacing w:before="52"/>
              <w:ind w:right="-15"/>
              <w:rPr>
                <w:sz w:val="15"/>
              </w:rPr>
            </w:pPr>
            <w:r>
              <w:rPr>
                <w:sz w:val="15"/>
              </w:rPr>
              <w:t>.52389</w:t>
            </w:r>
          </w:p>
        </w:tc>
      </w:tr>
      <w:tr>
        <w:trPr>
          <w:trHeight w:val="651" w:hRule="atLeast"/>
        </w:trPr>
        <w:tc>
          <w:tcPr>
            <w:tcW w:w="3182" w:type="dxa"/>
            <w:tcBorders>
              <w:left w:val="nil"/>
              <w:right w:val="dashed" w:sz="6" w:space="0" w:color="000000"/>
            </w:tcBorders>
          </w:tcPr>
          <w:p>
            <w:pPr>
              <w:pStyle w:val="TableParagraph"/>
              <w:spacing w:before="138"/>
              <w:jc w:val="left"/>
              <w:rPr>
                <w:sz w:val="15"/>
              </w:rPr>
            </w:pPr>
            <w:r>
              <w:rPr>
                <w:sz w:val="15"/>
              </w:rPr>
              <w:t>state_gini</w:t>
            </w:r>
          </w:p>
          <w:p>
            <w:pPr>
              <w:pStyle w:val="TableParagraph"/>
              <w:spacing w:before="52"/>
              <w:ind w:left="224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var(_cons)</w:t>
            </w:r>
          </w:p>
        </w:tc>
        <w:tc>
          <w:tcPr>
            <w:tcW w:w="1165" w:type="dxa"/>
            <w:tcBorders>
              <w:left w:val="dashed" w:sz="6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28"/>
              <w:rPr>
                <w:sz w:val="15"/>
              </w:rPr>
            </w:pPr>
            <w:r>
              <w:rPr>
                <w:sz w:val="15"/>
              </w:rPr>
              <w:t>.1592007</w:t>
            </w:r>
          </w:p>
        </w:tc>
        <w:tc>
          <w:tcPr>
            <w:tcW w:w="103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.0411082</w:t>
            </w:r>
          </w:p>
        </w:tc>
        <w:tc>
          <w:tcPr>
            <w:tcW w:w="76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79"/>
              <w:jc w:val="left"/>
              <w:rPr>
                <w:sz w:val="15"/>
              </w:rPr>
            </w:pPr>
            <w:r>
              <w:rPr>
                <w:sz w:val="15"/>
              </w:rPr>
              <w:t>.0959733</w:t>
            </w:r>
          </w:p>
        </w:tc>
        <w:tc>
          <w:tcPr>
            <w:tcW w:w="849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-15"/>
              <w:rPr>
                <w:sz w:val="15"/>
              </w:rPr>
            </w:pPr>
            <w:r>
              <w:rPr>
                <w:sz w:val="15"/>
              </w:rPr>
              <w:t>.2640822</w:t>
            </w:r>
          </w:p>
        </w:tc>
      </w:tr>
    </w:tbl>
    <w:p>
      <w:pPr>
        <w:tabs>
          <w:tab w:pos="4559" w:val="left" w:leader="none"/>
        </w:tabs>
        <w:spacing w:before="138"/>
        <w:ind w:left="158" w:right="0" w:firstLine="0"/>
        <w:jc w:val="left"/>
        <w:rPr>
          <w:rFonts w:ascii="Courier New"/>
          <w:sz w:val="15"/>
        </w:rPr>
      </w:pPr>
      <w:r>
        <w:rPr>
          <w:rFonts w:ascii="Courier New"/>
          <w:w w:val="95"/>
          <w:sz w:val="15"/>
        </w:rPr>
        <w:t>LR</w:t>
      </w:r>
      <w:r>
        <w:rPr>
          <w:rFonts w:ascii="Courier New"/>
          <w:spacing w:val="28"/>
          <w:w w:val="95"/>
          <w:sz w:val="15"/>
        </w:rPr>
        <w:t> </w:t>
      </w:r>
      <w:r>
        <w:rPr>
          <w:rFonts w:ascii="Courier New"/>
          <w:w w:val="95"/>
          <w:sz w:val="15"/>
        </w:rPr>
        <w:t>test</w:t>
      </w:r>
      <w:r>
        <w:rPr>
          <w:rFonts w:ascii="Courier New"/>
          <w:spacing w:val="28"/>
          <w:w w:val="95"/>
          <w:sz w:val="15"/>
        </w:rPr>
        <w:t> </w:t>
      </w:r>
      <w:r>
        <w:rPr>
          <w:rFonts w:ascii="Courier New"/>
          <w:w w:val="95"/>
          <w:sz w:val="15"/>
        </w:rPr>
        <w:t>vs.</w:t>
      </w:r>
      <w:r>
        <w:rPr>
          <w:rFonts w:ascii="Courier New"/>
          <w:spacing w:val="29"/>
          <w:w w:val="95"/>
          <w:sz w:val="15"/>
        </w:rPr>
        <w:t> </w:t>
      </w:r>
      <w:r>
        <w:rPr>
          <w:rFonts w:ascii="Courier New"/>
          <w:w w:val="95"/>
          <w:sz w:val="15"/>
        </w:rPr>
        <w:t>logistic</w:t>
      </w:r>
      <w:r>
        <w:rPr>
          <w:rFonts w:ascii="Courier New"/>
          <w:spacing w:val="27"/>
          <w:w w:val="95"/>
          <w:sz w:val="15"/>
        </w:rPr>
        <w:t> </w:t>
      </w:r>
      <w:r>
        <w:rPr>
          <w:rFonts w:ascii="Courier New"/>
          <w:w w:val="95"/>
          <w:sz w:val="15"/>
        </w:rPr>
        <w:t>regression:</w:t>
      </w:r>
      <w:r>
        <w:rPr>
          <w:rFonts w:ascii="Courier New"/>
          <w:spacing w:val="29"/>
          <w:w w:val="95"/>
          <w:sz w:val="15"/>
        </w:rPr>
        <w:t> </w:t>
      </w:r>
      <w:r>
        <w:rPr>
          <w:rFonts w:ascii="Courier New"/>
          <w:w w:val="95"/>
          <w:sz w:val="15"/>
        </w:rPr>
        <w:t>chibar2(01)</w:t>
      </w:r>
      <w:r>
        <w:rPr>
          <w:rFonts w:ascii="Courier New"/>
          <w:spacing w:val="27"/>
          <w:w w:val="95"/>
          <w:sz w:val="15"/>
        </w:rPr>
        <w:t> </w:t>
      </w:r>
      <w:r>
        <w:rPr>
          <w:rFonts w:ascii="Courier New"/>
          <w:w w:val="95"/>
          <w:sz w:val="15"/>
        </w:rPr>
        <w:t>=</w:t>
        <w:tab/>
        <w:t>346.25</w:t>
      </w:r>
      <w:r>
        <w:rPr>
          <w:rFonts w:ascii="Courier New"/>
          <w:spacing w:val="33"/>
          <w:w w:val="95"/>
          <w:sz w:val="15"/>
        </w:rPr>
        <w:t> </w:t>
      </w:r>
      <w:r>
        <w:rPr>
          <w:rFonts w:ascii="Courier New"/>
          <w:w w:val="95"/>
          <w:sz w:val="15"/>
        </w:rPr>
        <w:t>Prob&gt;=chibar2</w:t>
      </w:r>
      <w:r>
        <w:rPr>
          <w:rFonts w:ascii="Courier New"/>
          <w:spacing w:val="33"/>
          <w:w w:val="95"/>
          <w:sz w:val="15"/>
        </w:rPr>
        <w:t> </w:t>
      </w:r>
      <w:r>
        <w:rPr>
          <w:rFonts w:ascii="Courier New"/>
          <w:w w:val="95"/>
          <w:sz w:val="15"/>
        </w:rPr>
        <w:t>=</w:t>
      </w:r>
      <w:r>
        <w:rPr>
          <w:rFonts w:ascii="Courier New"/>
          <w:spacing w:val="34"/>
          <w:w w:val="95"/>
          <w:sz w:val="15"/>
        </w:rPr>
        <w:t> </w:t>
      </w:r>
      <w:r>
        <w:rPr>
          <w:rFonts w:ascii="Courier New"/>
          <w:w w:val="95"/>
          <w:sz w:val="15"/>
        </w:rPr>
        <w:t>0.0000</w:t>
      </w:r>
    </w:p>
    <w:p>
      <w:pPr>
        <w:spacing w:after="0"/>
        <w:jc w:val="left"/>
        <w:rPr>
          <w:rFonts w:ascii="Courier New"/>
          <w:sz w:val="15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751"/>
      </w:pPr>
      <w:r>
        <w:rPr/>
        <w:t>TABLE</w:t>
      </w:r>
      <w:r>
        <w:rPr>
          <w:spacing w:val="-2"/>
        </w:rPr>
        <w:t> </w:t>
      </w:r>
      <w:r>
        <w:rPr/>
        <w:t>I8:</w:t>
      </w:r>
      <w:r>
        <w:rPr>
          <w:spacing w:val="-2"/>
        </w:rPr>
        <w:t> </w:t>
      </w:r>
      <w:r>
        <w:rPr/>
        <w:t>ROBUSTNESS</w:t>
      </w:r>
      <w:r>
        <w:rPr>
          <w:spacing w:val="-3"/>
        </w:rPr>
        <w:t> </w:t>
      </w:r>
      <w:r>
        <w:rPr/>
        <w:t>CHECK:</w:t>
      </w:r>
      <w:r>
        <w:rPr>
          <w:spacing w:val="-2"/>
        </w:rPr>
        <w:t> </w:t>
      </w:r>
      <w:r>
        <w:rPr/>
        <w:t>HOUSEHOLDS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INCOMES &lt;#24,123</w:t>
      </w:r>
    </w:p>
    <w:p>
      <w:pPr>
        <w:pStyle w:val="BodyText"/>
        <w:spacing w:before="1" w:after="1"/>
        <w:rPr>
          <w:sz w:val="2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8"/>
        <w:gridCol w:w="2316"/>
        <w:gridCol w:w="2501"/>
        <w:gridCol w:w="371"/>
        <w:gridCol w:w="835"/>
      </w:tblGrid>
      <w:tr>
        <w:trPr>
          <w:trHeight w:val="196" w:hRule="atLeast"/>
        </w:trPr>
        <w:tc>
          <w:tcPr>
            <w:tcW w:w="3614" w:type="dxa"/>
            <w:gridSpan w:val="2"/>
          </w:tcPr>
          <w:p>
            <w:pPr>
              <w:pStyle w:val="TableParagraph"/>
              <w:spacing w:before="1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Random-effects</w:t>
            </w:r>
            <w:r>
              <w:rPr>
                <w:spacing w:val="25"/>
                <w:sz w:val="15"/>
              </w:rPr>
              <w:t> </w:t>
            </w:r>
            <w:r>
              <w:rPr>
                <w:sz w:val="15"/>
              </w:rPr>
              <w:t>GLS</w:t>
            </w:r>
            <w:r>
              <w:rPr>
                <w:spacing w:val="26"/>
                <w:sz w:val="15"/>
              </w:rPr>
              <w:t> </w:t>
            </w:r>
            <w:r>
              <w:rPr>
                <w:sz w:val="15"/>
              </w:rPr>
              <w:t>regression</w:t>
            </w:r>
          </w:p>
        </w:tc>
        <w:tc>
          <w:tcPr>
            <w:tcW w:w="2501" w:type="dxa"/>
          </w:tcPr>
          <w:p>
            <w:pPr>
              <w:pStyle w:val="TableParagraph"/>
              <w:spacing w:before="1"/>
              <w:ind w:left="882"/>
              <w:jc w:val="left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obs</w:t>
            </w:r>
          </w:p>
        </w:tc>
        <w:tc>
          <w:tcPr>
            <w:tcW w:w="371" w:type="dxa"/>
          </w:tcPr>
          <w:p>
            <w:pPr>
              <w:pStyle w:val="TableParagraph"/>
              <w:spacing w:before="1"/>
              <w:jc w:val="center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spacing w:before="1"/>
              <w:ind w:right="49"/>
              <w:rPr>
                <w:sz w:val="15"/>
              </w:rPr>
            </w:pPr>
            <w:r>
              <w:rPr>
                <w:sz w:val="15"/>
              </w:rPr>
              <w:t>12317</w:t>
            </w:r>
          </w:p>
        </w:tc>
      </w:tr>
      <w:tr>
        <w:trPr>
          <w:trHeight w:val="196" w:hRule="atLeast"/>
        </w:trPr>
        <w:tc>
          <w:tcPr>
            <w:tcW w:w="3614" w:type="dxa"/>
            <w:gridSpan w:val="2"/>
          </w:tcPr>
          <w:p>
            <w:pPr>
              <w:pStyle w:val="TableParagraph"/>
              <w:spacing w:line="150" w:lineRule="exact" w:before="26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Group</w:t>
            </w:r>
            <w:r>
              <w:rPr>
                <w:spacing w:val="18"/>
                <w:sz w:val="15"/>
              </w:rPr>
              <w:t> </w:t>
            </w:r>
            <w:r>
              <w:rPr>
                <w:sz w:val="15"/>
              </w:rPr>
              <w:t>variable:</w:t>
            </w:r>
            <w:r>
              <w:rPr>
                <w:spacing w:val="18"/>
                <w:sz w:val="15"/>
              </w:rPr>
              <w:t> </w:t>
            </w:r>
            <w:r>
              <w:rPr>
                <w:sz w:val="15"/>
              </w:rPr>
              <w:t>state</w:t>
            </w:r>
          </w:p>
        </w:tc>
        <w:tc>
          <w:tcPr>
            <w:tcW w:w="2501" w:type="dxa"/>
          </w:tcPr>
          <w:p>
            <w:pPr>
              <w:pStyle w:val="TableParagraph"/>
              <w:spacing w:line="150" w:lineRule="exact" w:before="26"/>
              <w:ind w:left="882"/>
              <w:jc w:val="left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groups</w:t>
            </w:r>
          </w:p>
        </w:tc>
        <w:tc>
          <w:tcPr>
            <w:tcW w:w="371" w:type="dxa"/>
          </w:tcPr>
          <w:p>
            <w:pPr>
              <w:pStyle w:val="TableParagraph"/>
              <w:spacing w:line="150" w:lineRule="exact" w:before="26"/>
              <w:jc w:val="center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spacing w:line="150" w:lineRule="exact" w:before="26"/>
              <w:ind w:right="49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</w:tr>
      <w:tr>
        <w:trPr>
          <w:trHeight w:val="466" w:hRule="atLeast"/>
        </w:trPr>
        <w:tc>
          <w:tcPr>
            <w:tcW w:w="3614" w:type="dxa"/>
            <w:gridSpan w:val="2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R-sq:</w:t>
            </w:r>
            <w:r>
              <w:rPr>
                <w:spacing w:val="107"/>
                <w:sz w:val="15"/>
              </w:rPr>
              <w:t> </w:t>
            </w:r>
            <w:r>
              <w:rPr>
                <w:sz w:val="15"/>
              </w:rPr>
              <w:t>within</w:t>
            </w:r>
            <w:r>
              <w:rPr>
                <w:spacing w:val="108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0.2481</w:t>
            </w:r>
          </w:p>
        </w:tc>
        <w:tc>
          <w:tcPr>
            <w:tcW w:w="2872" w:type="dxa"/>
            <w:gridSpan w:val="2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882"/>
              <w:jc w:val="left"/>
              <w:rPr>
                <w:sz w:val="15"/>
              </w:rPr>
            </w:pPr>
            <w:r>
              <w:rPr>
                <w:sz w:val="15"/>
              </w:rPr>
              <w:t>Obs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per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group: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min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49"/>
              <w:rPr>
                <w:sz w:val="15"/>
              </w:rPr>
            </w:pPr>
            <w:r>
              <w:rPr>
                <w:w w:val="96"/>
                <w:sz w:val="15"/>
              </w:rPr>
              <w:t>4</w:t>
            </w:r>
          </w:p>
        </w:tc>
      </w:tr>
      <w:tr>
        <w:trPr>
          <w:trHeight w:val="220" w:hRule="atLeast"/>
        </w:trPr>
        <w:tc>
          <w:tcPr>
            <w:tcW w:w="3614" w:type="dxa"/>
            <w:gridSpan w:val="2"/>
          </w:tcPr>
          <w:p>
            <w:pPr>
              <w:pStyle w:val="TableParagraph"/>
              <w:spacing w:before="26"/>
              <w:ind w:left="698"/>
              <w:jc w:val="left"/>
              <w:rPr>
                <w:sz w:val="15"/>
              </w:rPr>
            </w:pPr>
            <w:r>
              <w:rPr>
                <w:sz w:val="15"/>
              </w:rPr>
              <w:t>between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0.3348</w:t>
            </w:r>
          </w:p>
        </w:tc>
        <w:tc>
          <w:tcPr>
            <w:tcW w:w="2872" w:type="dxa"/>
            <w:gridSpan w:val="2"/>
          </w:tcPr>
          <w:p>
            <w:pPr>
              <w:pStyle w:val="TableParagraph"/>
              <w:spacing w:before="26"/>
              <w:ind w:right="140"/>
              <w:rPr>
                <w:sz w:val="15"/>
              </w:rPr>
            </w:pPr>
            <w:r>
              <w:rPr>
                <w:sz w:val="15"/>
              </w:rPr>
              <w:t>avg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spacing w:before="26"/>
              <w:ind w:right="49"/>
              <w:rPr>
                <w:sz w:val="15"/>
              </w:rPr>
            </w:pPr>
            <w:r>
              <w:rPr>
                <w:sz w:val="15"/>
              </w:rPr>
              <w:t>332.9</w:t>
            </w:r>
          </w:p>
        </w:tc>
      </w:tr>
      <w:tr>
        <w:trPr>
          <w:trHeight w:val="196" w:hRule="atLeast"/>
        </w:trPr>
        <w:tc>
          <w:tcPr>
            <w:tcW w:w="3614" w:type="dxa"/>
            <w:gridSpan w:val="2"/>
          </w:tcPr>
          <w:p>
            <w:pPr>
              <w:pStyle w:val="TableParagraph"/>
              <w:spacing w:line="150" w:lineRule="exact" w:before="26"/>
              <w:ind w:left="698"/>
              <w:jc w:val="left"/>
              <w:rPr>
                <w:sz w:val="15"/>
              </w:rPr>
            </w:pPr>
            <w:r>
              <w:rPr>
                <w:sz w:val="15"/>
              </w:rPr>
              <w:t>overall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0.2516</w:t>
            </w:r>
          </w:p>
        </w:tc>
        <w:tc>
          <w:tcPr>
            <w:tcW w:w="2872" w:type="dxa"/>
            <w:gridSpan w:val="2"/>
          </w:tcPr>
          <w:p>
            <w:pPr>
              <w:pStyle w:val="TableParagraph"/>
              <w:spacing w:line="150" w:lineRule="exact" w:before="26"/>
              <w:ind w:right="140"/>
              <w:rPr>
                <w:sz w:val="15"/>
              </w:rPr>
            </w:pPr>
            <w:r>
              <w:rPr>
                <w:sz w:val="15"/>
              </w:rPr>
              <w:t>max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spacing w:line="150" w:lineRule="exact" w:before="26"/>
              <w:ind w:right="49"/>
              <w:rPr>
                <w:sz w:val="15"/>
              </w:rPr>
            </w:pPr>
            <w:r>
              <w:rPr>
                <w:sz w:val="15"/>
              </w:rPr>
              <w:t>766</w:t>
            </w:r>
          </w:p>
        </w:tc>
      </w:tr>
      <w:tr>
        <w:trPr>
          <w:trHeight w:val="466" w:hRule="atLeast"/>
        </w:trPr>
        <w:tc>
          <w:tcPr>
            <w:tcW w:w="129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01" w:type="dxa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882"/>
              <w:jc w:val="left"/>
              <w:rPr>
                <w:sz w:val="15"/>
              </w:rPr>
            </w:pPr>
            <w:r>
              <w:rPr>
                <w:sz w:val="15"/>
              </w:rPr>
              <w:t>Wald</w:t>
            </w:r>
            <w:r>
              <w:rPr>
                <w:spacing w:val="19"/>
                <w:sz w:val="15"/>
              </w:rPr>
              <w:t> </w:t>
            </w:r>
            <w:r>
              <w:rPr>
                <w:sz w:val="15"/>
              </w:rPr>
              <w:t>chi2(34)</w:t>
            </w:r>
          </w:p>
        </w:tc>
        <w:tc>
          <w:tcPr>
            <w:tcW w:w="371" w:type="dxa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jc w:val="center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right="49"/>
              <w:rPr>
                <w:sz w:val="15"/>
              </w:rPr>
            </w:pPr>
            <w:r>
              <w:rPr>
                <w:sz w:val="15"/>
              </w:rPr>
              <w:t>4040.32</w:t>
            </w:r>
          </w:p>
        </w:tc>
      </w:tr>
      <w:tr>
        <w:trPr>
          <w:trHeight w:val="196" w:hRule="atLeast"/>
        </w:trPr>
        <w:tc>
          <w:tcPr>
            <w:tcW w:w="1298" w:type="dxa"/>
          </w:tcPr>
          <w:p>
            <w:pPr>
              <w:pStyle w:val="TableParagraph"/>
              <w:spacing w:line="150" w:lineRule="exact" w:before="26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corr(u_i,</w:t>
            </w:r>
            <w:r>
              <w:rPr>
                <w:spacing w:val="17"/>
                <w:sz w:val="15"/>
              </w:rPr>
              <w:t> </w:t>
            </w:r>
            <w:r>
              <w:rPr>
                <w:sz w:val="15"/>
              </w:rPr>
              <w:t>X)</w:t>
            </w:r>
          </w:p>
        </w:tc>
        <w:tc>
          <w:tcPr>
            <w:tcW w:w="2316" w:type="dxa"/>
          </w:tcPr>
          <w:p>
            <w:pPr>
              <w:pStyle w:val="TableParagraph"/>
              <w:spacing w:line="150" w:lineRule="exact" w:before="26"/>
              <w:ind w:left="141"/>
              <w:jc w:val="left"/>
              <w:rPr>
                <w:sz w:val="15"/>
              </w:rPr>
            </w:pPr>
            <w:r>
              <w:rPr>
                <w:sz w:val="15"/>
              </w:rPr>
              <w:t>=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0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(assumed)</w:t>
            </w:r>
          </w:p>
        </w:tc>
        <w:tc>
          <w:tcPr>
            <w:tcW w:w="2501" w:type="dxa"/>
          </w:tcPr>
          <w:p>
            <w:pPr>
              <w:pStyle w:val="TableParagraph"/>
              <w:spacing w:line="150" w:lineRule="exact" w:before="26"/>
              <w:ind w:left="882"/>
              <w:jc w:val="left"/>
              <w:rPr>
                <w:sz w:val="15"/>
              </w:rPr>
            </w:pPr>
            <w:r>
              <w:rPr>
                <w:sz w:val="15"/>
              </w:rPr>
              <w:t>Prob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&gt;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chi2</w:t>
            </w:r>
          </w:p>
        </w:tc>
        <w:tc>
          <w:tcPr>
            <w:tcW w:w="371" w:type="dxa"/>
          </w:tcPr>
          <w:p>
            <w:pPr>
              <w:pStyle w:val="TableParagraph"/>
              <w:spacing w:line="150" w:lineRule="exact" w:before="26"/>
              <w:jc w:val="center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spacing w:line="150" w:lineRule="exact" w:before="26"/>
              <w:ind w:right="49"/>
              <w:rPr>
                <w:sz w:val="15"/>
              </w:rPr>
            </w:pPr>
            <w:r>
              <w:rPr>
                <w:sz w:val="15"/>
              </w:rPr>
              <w:t>0.0000</w:t>
            </w:r>
          </w:p>
        </w:tc>
      </w:tr>
    </w:tbl>
    <w:p>
      <w:pPr>
        <w:pStyle w:val="BodyText"/>
        <w:spacing w:before="7"/>
        <w:rPr>
          <w:sz w:val="29"/>
        </w:r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1202"/>
        <w:gridCol w:w="2501"/>
        <w:gridCol w:w="278"/>
        <w:gridCol w:w="1112"/>
        <w:gridCol w:w="876"/>
      </w:tblGrid>
      <w:tr>
        <w:trPr>
          <w:trHeight w:val="427" w:hRule="atLeast"/>
        </w:trPr>
        <w:tc>
          <w:tcPr>
            <w:tcW w:w="3097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7"/>
              <w:ind w:right="128"/>
              <w:rPr>
                <w:sz w:val="15"/>
              </w:rPr>
            </w:pPr>
            <w:r>
              <w:rPr>
                <w:sz w:val="15"/>
              </w:rPr>
              <w:t>illness</w:t>
            </w:r>
          </w:p>
        </w:tc>
        <w:tc>
          <w:tcPr>
            <w:tcW w:w="1202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7"/>
              <w:ind w:right="133"/>
              <w:rPr>
                <w:sz w:val="15"/>
              </w:rPr>
            </w:pPr>
            <w:r>
              <w:rPr>
                <w:sz w:val="15"/>
              </w:rPr>
              <w:t>Coef.</w:t>
            </w:r>
          </w:p>
        </w:tc>
        <w:tc>
          <w:tcPr>
            <w:tcW w:w="2501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tabs>
                <w:tab w:pos="1389" w:val="left" w:leader="none"/>
                <w:tab w:pos="1852" w:val="left" w:leader="none"/>
              </w:tabs>
              <w:spacing w:before="137"/>
              <w:ind w:right="40"/>
              <w:rPr>
                <w:sz w:val="15"/>
              </w:rPr>
            </w:pPr>
            <w:r>
              <w:rPr>
                <w:sz w:val="15"/>
              </w:rPr>
              <w:t>Std.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Err.</w:t>
              <w:tab/>
              <w:t>z</w:t>
              <w:tab/>
              <w:t>P&gt;|z|</w:t>
            </w:r>
          </w:p>
        </w:tc>
        <w:tc>
          <w:tcPr>
            <w:tcW w:w="278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7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[95%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Conf.</w:t>
            </w:r>
          </w:p>
        </w:tc>
        <w:tc>
          <w:tcPr>
            <w:tcW w:w="87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7"/>
              <w:ind w:right="-15"/>
              <w:rPr>
                <w:sz w:val="15"/>
              </w:rPr>
            </w:pPr>
            <w:r>
              <w:rPr>
                <w:sz w:val="15"/>
              </w:rPr>
              <w:t>Interval]</w:t>
            </w:r>
          </w:p>
        </w:tc>
      </w:tr>
      <w:tr>
        <w:trPr>
          <w:trHeight w:val="332" w:hRule="atLeast"/>
        </w:trPr>
        <w:tc>
          <w:tcPr>
            <w:tcW w:w="3097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7"/>
              <w:ind w:right="128"/>
              <w:rPr>
                <w:sz w:val="15"/>
              </w:rPr>
            </w:pPr>
            <w:r>
              <w:rPr>
                <w:sz w:val="15"/>
              </w:rPr>
              <w:t>familysize</w:t>
            </w:r>
          </w:p>
        </w:tc>
        <w:tc>
          <w:tcPr>
            <w:tcW w:w="1202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37"/>
              <w:ind w:right="133"/>
              <w:rPr>
                <w:sz w:val="15"/>
              </w:rPr>
            </w:pPr>
            <w:r>
              <w:rPr>
                <w:sz w:val="15"/>
              </w:rPr>
              <w:t>.0000259</w:t>
            </w:r>
          </w:p>
        </w:tc>
        <w:tc>
          <w:tcPr>
            <w:tcW w:w="2501" w:type="dxa"/>
            <w:tcBorders>
              <w:top w:val="dashSmallGap" w:sz="6" w:space="0" w:color="000000"/>
            </w:tcBorders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137"/>
              <w:ind w:right="40"/>
              <w:rPr>
                <w:sz w:val="15"/>
              </w:rPr>
            </w:pPr>
            <w:r>
              <w:rPr>
                <w:sz w:val="15"/>
              </w:rPr>
              <w:t>.0001026</w:t>
              <w:tab/>
              <w:t>0.25</w:t>
              <w:tab/>
              <w:t>0.801</w:t>
            </w:r>
          </w:p>
        </w:tc>
        <w:tc>
          <w:tcPr>
            <w:tcW w:w="278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7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-.0001753</w:t>
            </w:r>
          </w:p>
        </w:tc>
        <w:tc>
          <w:tcPr>
            <w:tcW w:w="876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7"/>
              <w:ind w:right="-15"/>
              <w:rPr>
                <w:sz w:val="15"/>
              </w:rPr>
            </w:pPr>
            <w:r>
              <w:rPr>
                <w:sz w:val="15"/>
              </w:rPr>
              <w:t>.000227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hungerandnofood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-.0052538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018" w:val="left" w:leader="none"/>
                <w:tab w:pos="1760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.005473</w:t>
              <w:tab/>
              <w:t>-0.96</w:t>
              <w:tab/>
              <w:t>0.337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-.0159807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.0054731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gari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-.0271545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.0114482</w:t>
              <w:tab/>
              <w:t>-2.37</w:t>
              <w:tab/>
              <w:t>0.018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-.0495926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-.0047165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rice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-.0580685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.0065159</w:t>
              <w:tab/>
              <w:t>-8.91</w:t>
              <w:tab/>
              <w:t>0.000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-.0708394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-.0452976</w:t>
            </w:r>
          </w:p>
        </w:tc>
      </w:tr>
      <w:tr>
        <w:trPr>
          <w:trHeight w:val="221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yamorcassavaormaizeflour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-.3731016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018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.0075586</w:t>
              <w:tab/>
              <w:t>-49.36</w:t>
              <w:tab/>
              <w:t>0.000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-.3879162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-.3582869</w:t>
            </w:r>
          </w:p>
        </w:tc>
      </w:tr>
      <w:tr>
        <w:trPr>
          <w:trHeight w:val="221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beans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-.0614523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.0125772</w:t>
              <w:tab/>
              <w:t>-4.89</w:t>
              <w:tab/>
              <w:t>0.000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-.0861032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-.0368014</w:t>
            </w:r>
          </w:p>
        </w:tc>
      </w:tr>
      <w:tr>
        <w:trPr>
          <w:trHeight w:val="221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meatorfish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.001484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.0015996</w:t>
              <w:tab/>
              <w:t>0.93</w:t>
              <w:tab/>
              <w:t>0.354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-.0016512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.0046192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mosquitonetpossession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-.0313848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.0156712</w:t>
              <w:tab/>
              <w:t>-2.00</w:t>
              <w:tab/>
              <w:t>0.045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-.0620998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-.0006698</w:t>
            </w:r>
          </w:p>
        </w:tc>
      </w:tr>
      <w:tr>
        <w:trPr>
          <w:trHeight w:val="221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primaryeducation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-.0056488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.0106629</w:t>
              <w:tab/>
              <w:t>-0.53</w:t>
              <w:tab/>
              <w:t>0.596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-.0265477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.01525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secondarycertificate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.0019664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.0016132</w:t>
              <w:tab/>
              <w:t>1.22</w:t>
              <w:tab/>
              <w:t>0.223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-.0011954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.0051281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higherdegree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.0031036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.0046121</w:t>
              <w:tab/>
              <w:t>0.67</w:t>
              <w:tab/>
              <w:t>0.501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-.005936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.0121431</w:t>
            </w:r>
          </w:p>
        </w:tc>
      </w:tr>
      <w:tr>
        <w:trPr>
          <w:trHeight w:val="221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nobasiceducation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.071368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.0105316</w:t>
              <w:tab/>
              <w:t>6.78</w:t>
              <w:tab/>
              <w:t>0.000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.0507265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.0920094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hadelectricity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-.0719603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.0278499</w:t>
              <w:tab/>
              <w:t>-2.58</w:t>
              <w:tab/>
              <w:t>0.010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-.1265451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-.0173756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noelectricity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.0011632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.0011685</w:t>
              <w:tab/>
              <w:t>1.00</w:t>
              <w:tab/>
              <w:t>0.319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-.001127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.0034534</w:t>
            </w:r>
          </w:p>
        </w:tc>
      </w:tr>
      <w:tr>
        <w:trPr>
          <w:trHeight w:val="221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pipebornewater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-.0633758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018" w:val="left" w:leader="none"/>
                <w:tab w:pos="1760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.015378</w:t>
              <w:tab/>
              <w:t>-4.12</w:t>
              <w:tab/>
              <w:t>0.000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-.0935162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-.0332355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boreholeandwell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.0314018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.0100376</w:t>
              <w:tab/>
              <w:t>3.13</w:t>
              <w:tab/>
              <w:t>0.002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.0117284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.0510751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riverandspring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.0333765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.0131563</w:t>
              <w:tab/>
              <w:t>2.54</w:t>
              <w:tab/>
              <w:t>0.011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.0075906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.0591623</w:t>
            </w:r>
          </w:p>
        </w:tc>
      </w:tr>
      <w:tr>
        <w:trPr>
          <w:trHeight w:val="221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noaccesstowater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-.088541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.0445448</w:t>
              <w:tab/>
              <w:t>-1.99</w:t>
              <w:tab/>
              <w:t>0.047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-.1758473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-.0012348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waterormodernlatrine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-.0092346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.0061989</w:t>
              <w:tab/>
              <w:t>-1.49</w:t>
              <w:tab/>
              <w:t>0.136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-.0213842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.002915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pitorlatrine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.0649039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.0198041</w:t>
              <w:tab/>
              <w:t>3.28</w:t>
              <w:tab/>
              <w:t>0.001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.0260886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.1037192</w:t>
            </w:r>
          </w:p>
        </w:tc>
      </w:tr>
      <w:tr>
        <w:trPr>
          <w:trHeight w:val="221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notoiletfacility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.0483045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.0155481</w:t>
              <w:tab/>
              <w:t>3.11</w:t>
              <w:tab/>
              <w:t>0.002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.0178309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.0787782</w:t>
            </w:r>
          </w:p>
        </w:tc>
      </w:tr>
      <w:tr>
        <w:trPr>
          <w:trHeight w:val="221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alcoholicdrinks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.0135671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.0080733</w:t>
              <w:tab/>
              <w:t>1.68</w:t>
              <w:tab/>
              <w:t>0.093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-.0022563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.0293905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selfmedication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.0016412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.0090731</w:t>
              <w:tab/>
              <w:t>0.18</w:t>
              <w:tab/>
              <w:t>0.856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-.0161418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.0194241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seekingmedicalcare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-.016129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.0100432</w:t>
              <w:tab/>
              <w:t>-1.61</w:t>
              <w:tab/>
              <w:t>0.108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-.0358134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.0035553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otherhealthcare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.0010633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.0017251</w:t>
              <w:tab/>
              <w:t>0.62</w:t>
              <w:tab/>
              <w:t>0.538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-.0023177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.0044444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wagesandsalaries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.0158319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.0185955</w:t>
              <w:tab/>
              <w:t>0.85</w:t>
              <w:tab/>
              <w:t>0.395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-.0206146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.0522785</w:t>
            </w:r>
          </w:p>
        </w:tc>
      </w:tr>
      <w:tr>
        <w:trPr>
          <w:trHeight w:val="221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entreprisesandbusiness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-.0104598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.0089674</w:t>
              <w:tab/>
              <w:t>-1.17</w:t>
              <w:tab/>
              <w:t>0.243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-.0280356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.0071159</w:t>
            </w:r>
          </w:p>
        </w:tc>
      </w:tr>
      <w:tr>
        <w:trPr>
          <w:trHeight w:val="221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farmingcropandlivestock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-.0475062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.0334059</w:t>
              <w:tab/>
              <w:t>-1.42</w:t>
              <w:tab/>
              <w:t>0.155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-.1129805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.0179682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remittances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-.0264149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.0083095</w:t>
              <w:tab/>
              <w:t>-3.18</w:t>
              <w:tab/>
              <w:t>0.001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-.0427013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-.0101285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monetaryandconditionaltransfers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.0584092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.0346876</w:t>
              <w:tab/>
              <w:t>1.68</w:t>
              <w:tab/>
              <w:t>0.092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-.0095772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.1263956</w:t>
            </w:r>
          </w:p>
        </w:tc>
      </w:tr>
      <w:tr>
        <w:trPr>
          <w:trHeight w:val="221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pensionsandgrants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-.0096567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.0324808</w:t>
              <w:tab/>
              <w:t>-0.30</w:t>
              <w:tab/>
              <w:t>0.766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-.0733179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.0540046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w w:val="95"/>
                <w:sz w:val="15"/>
              </w:rPr>
              <w:t>dividendandinterestfrominvestmen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.0560909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760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.024518</w:t>
              <w:tab/>
              <w:t>2.29</w:t>
              <w:tab/>
              <w:t>0.022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.0080365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.1041452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w w:val="95"/>
                <w:sz w:val="15"/>
              </w:rPr>
              <w:t>incomesfromlandandpropertiesowne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-.0115063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111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.0143015</w:t>
              <w:tab/>
              <w:t>-0.80</w:t>
              <w:tab/>
              <w:t>0.421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-.0395366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.0165241</w:t>
            </w:r>
          </w:p>
        </w:tc>
      </w:tr>
      <w:tr>
        <w:trPr>
          <w:trHeight w:val="220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ginicoefficient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.001722</w:t>
            </w:r>
          </w:p>
        </w:tc>
        <w:tc>
          <w:tcPr>
            <w:tcW w:w="2501" w:type="dxa"/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.0008361</w:t>
              <w:tab/>
              <w:t>2.06</w:t>
              <w:tab/>
              <w:t>0.039</w:t>
            </w: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26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.0000831</w:t>
            </w:r>
          </w:p>
        </w:tc>
        <w:tc>
          <w:tcPr>
            <w:tcW w:w="876" w:type="dxa"/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.0033608</w:t>
            </w:r>
          </w:p>
        </w:tc>
      </w:tr>
      <w:tr>
        <w:trPr>
          <w:trHeight w:val="315" w:hRule="atLeast"/>
        </w:trPr>
        <w:tc>
          <w:tcPr>
            <w:tcW w:w="3097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_cons</w:t>
            </w:r>
          </w:p>
        </w:tc>
        <w:tc>
          <w:tcPr>
            <w:tcW w:w="1202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.9612351</w:t>
            </w:r>
          </w:p>
        </w:tc>
        <w:tc>
          <w:tcPr>
            <w:tcW w:w="2501" w:type="dxa"/>
            <w:tcBorders>
              <w:bottom w:val="dashSmallGap" w:sz="6" w:space="0" w:color="000000"/>
            </w:tcBorders>
          </w:tcPr>
          <w:p>
            <w:pPr>
              <w:pStyle w:val="TableParagraph"/>
              <w:tabs>
                <w:tab w:pos="1203" w:val="left" w:leader="none"/>
                <w:tab w:pos="1852" w:val="left" w:leader="none"/>
              </w:tabs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.1027686</w:t>
              <w:tab/>
              <w:t>9.35</w:t>
              <w:tab/>
              <w:t>0.000</w:t>
            </w:r>
          </w:p>
        </w:tc>
        <w:tc>
          <w:tcPr>
            <w:tcW w:w="278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.7598124</w:t>
            </w:r>
          </w:p>
        </w:tc>
        <w:tc>
          <w:tcPr>
            <w:tcW w:w="87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right="-15"/>
              <w:rPr>
                <w:sz w:val="15"/>
              </w:rPr>
            </w:pPr>
            <w:r>
              <w:rPr>
                <w:sz w:val="15"/>
              </w:rPr>
              <w:t>1.162658</w:t>
            </w:r>
          </w:p>
        </w:tc>
      </w:tr>
      <w:tr>
        <w:trPr>
          <w:trHeight w:val="331" w:hRule="atLeast"/>
        </w:trPr>
        <w:tc>
          <w:tcPr>
            <w:tcW w:w="3097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7"/>
              <w:ind w:right="128"/>
              <w:rPr>
                <w:sz w:val="15"/>
              </w:rPr>
            </w:pPr>
            <w:r>
              <w:rPr>
                <w:sz w:val="15"/>
              </w:rPr>
              <w:t>sigma_u</w:t>
            </w:r>
          </w:p>
        </w:tc>
        <w:tc>
          <w:tcPr>
            <w:tcW w:w="1202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37"/>
              <w:ind w:right="133"/>
              <w:rPr>
                <w:sz w:val="15"/>
              </w:rPr>
            </w:pPr>
            <w:r>
              <w:rPr>
                <w:sz w:val="15"/>
              </w:rPr>
              <w:t>.06332014</w:t>
            </w:r>
          </w:p>
        </w:tc>
        <w:tc>
          <w:tcPr>
            <w:tcW w:w="2501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8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6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309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sigma_e</w:t>
            </w:r>
          </w:p>
        </w:tc>
        <w:tc>
          <w:tcPr>
            <w:tcW w:w="120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.30070089</w:t>
            </w:r>
          </w:p>
        </w:tc>
        <w:tc>
          <w:tcPr>
            <w:tcW w:w="250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15" w:hRule="atLeast"/>
        </w:trPr>
        <w:tc>
          <w:tcPr>
            <w:tcW w:w="3097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6"/>
              <w:ind w:right="128"/>
              <w:rPr>
                <w:sz w:val="15"/>
              </w:rPr>
            </w:pPr>
            <w:r>
              <w:rPr>
                <w:sz w:val="15"/>
              </w:rPr>
              <w:t>rho</w:t>
            </w:r>
          </w:p>
        </w:tc>
        <w:tc>
          <w:tcPr>
            <w:tcW w:w="1202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right="133"/>
              <w:rPr>
                <w:sz w:val="15"/>
              </w:rPr>
            </w:pPr>
            <w:r>
              <w:rPr>
                <w:sz w:val="15"/>
              </w:rPr>
              <w:t>.04245919</w:t>
            </w:r>
          </w:p>
        </w:tc>
        <w:tc>
          <w:tcPr>
            <w:tcW w:w="2501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right="40"/>
              <w:rPr>
                <w:sz w:val="15"/>
              </w:rPr>
            </w:pPr>
            <w:r>
              <w:rPr>
                <w:sz w:val="15"/>
              </w:rPr>
              <w:t>(fraction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variance</w:t>
            </w:r>
            <w:r>
              <w:rPr>
                <w:spacing w:val="16"/>
                <w:sz w:val="15"/>
              </w:rPr>
              <w:t> </w:t>
            </w:r>
            <w:r>
              <w:rPr>
                <w:sz w:val="15"/>
              </w:rPr>
              <w:t>due</w:t>
            </w:r>
          </w:p>
        </w:tc>
        <w:tc>
          <w:tcPr>
            <w:tcW w:w="278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to</w:t>
            </w:r>
          </w:p>
        </w:tc>
        <w:tc>
          <w:tcPr>
            <w:tcW w:w="1112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6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u_i)</w:t>
            </w:r>
          </w:p>
        </w:tc>
        <w:tc>
          <w:tcPr>
            <w:tcW w:w="876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4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751"/>
      </w:pPr>
      <w:r>
        <w:rPr/>
        <w:t>TABLE</w:t>
      </w:r>
      <w:r>
        <w:rPr>
          <w:spacing w:val="-3"/>
        </w:rPr>
        <w:t> </w:t>
      </w:r>
      <w:r>
        <w:rPr/>
        <w:t>I9:</w:t>
      </w:r>
      <w:r>
        <w:rPr>
          <w:spacing w:val="-4"/>
        </w:rPr>
        <w:t> </w:t>
      </w:r>
      <w:r>
        <w:rPr/>
        <w:t>ROBUSTNESS</w:t>
      </w:r>
      <w:r>
        <w:rPr>
          <w:spacing w:val="-4"/>
        </w:rPr>
        <w:t> </w:t>
      </w:r>
      <w:r>
        <w:rPr/>
        <w:t>CHECK:</w:t>
      </w:r>
      <w:r>
        <w:rPr>
          <w:spacing w:val="-5"/>
        </w:rPr>
        <w:t> </w:t>
      </w:r>
      <w:r>
        <w:rPr/>
        <w:t>HOUSEHOLDS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INCOMES</w:t>
      </w:r>
      <w:r>
        <w:rPr>
          <w:spacing w:val="-2"/>
        </w:rPr>
        <w:t> </w:t>
      </w:r>
      <w:r>
        <w:rPr/>
        <w:t>˃#24,123</w:t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2220"/>
        <w:gridCol w:w="2397"/>
        <w:gridCol w:w="399"/>
        <w:gridCol w:w="757"/>
      </w:tblGrid>
      <w:tr>
        <w:trPr>
          <w:trHeight w:val="209" w:hRule="atLeast"/>
        </w:trPr>
        <w:tc>
          <w:tcPr>
            <w:tcW w:w="3466" w:type="dxa"/>
            <w:gridSpan w:val="2"/>
          </w:tcPr>
          <w:p>
            <w:pPr>
              <w:pStyle w:val="TableParagraph"/>
              <w:spacing w:before="2"/>
              <w:ind w:left="50"/>
              <w:jc w:val="left"/>
              <w:rPr>
                <w:sz w:val="16"/>
              </w:rPr>
            </w:pPr>
            <w:r>
              <w:rPr>
                <w:w w:val="85"/>
                <w:sz w:val="16"/>
              </w:rPr>
              <w:t>Random-effects</w:t>
            </w:r>
            <w:r>
              <w:rPr>
                <w:spacing w:val="7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GLS</w:t>
            </w:r>
            <w:r>
              <w:rPr>
                <w:spacing w:val="79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regression</w:t>
            </w:r>
          </w:p>
        </w:tc>
        <w:tc>
          <w:tcPr>
            <w:tcW w:w="2397" w:type="dxa"/>
          </w:tcPr>
          <w:p>
            <w:pPr>
              <w:pStyle w:val="TableParagraph"/>
              <w:spacing w:before="2"/>
              <w:ind w:left="845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Number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of</w:t>
            </w:r>
            <w:r>
              <w:rPr>
                <w:spacing w:val="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obs</w:t>
            </w:r>
          </w:p>
        </w:tc>
        <w:tc>
          <w:tcPr>
            <w:tcW w:w="399" w:type="dxa"/>
          </w:tcPr>
          <w:p>
            <w:pPr>
              <w:pStyle w:val="TableParagraph"/>
              <w:spacing w:before="2"/>
              <w:ind w:right="42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=</w:t>
            </w:r>
          </w:p>
        </w:tc>
        <w:tc>
          <w:tcPr>
            <w:tcW w:w="757" w:type="dxa"/>
          </w:tcPr>
          <w:p>
            <w:pPr>
              <w:pStyle w:val="TableParagraph"/>
              <w:spacing w:before="2"/>
              <w:ind w:right="46"/>
              <w:rPr>
                <w:sz w:val="16"/>
              </w:rPr>
            </w:pPr>
            <w:r>
              <w:rPr>
                <w:w w:val="95"/>
                <w:sz w:val="16"/>
              </w:rPr>
              <w:t>756</w:t>
            </w:r>
          </w:p>
        </w:tc>
      </w:tr>
      <w:tr>
        <w:trPr>
          <w:trHeight w:val="209" w:hRule="atLeast"/>
        </w:trPr>
        <w:tc>
          <w:tcPr>
            <w:tcW w:w="3466" w:type="dxa"/>
            <w:gridSpan w:val="2"/>
          </w:tcPr>
          <w:p>
            <w:pPr>
              <w:pStyle w:val="TableParagraph"/>
              <w:spacing w:line="162" w:lineRule="exact" w:before="28"/>
              <w:ind w:left="5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Group</w:t>
            </w:r>
            <w:r>
              <w:rPr>
                <w:spacing w:val="1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variable:</w:t>
            </w:r>
            <w:r>
              <w:rPr>
                <w:spacing w:val="1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state</w:t>
            </w:r>
          </w:p>
        </w:tc>
        <w:tc>
          <w:tcPr>
            <w:tcW w:w="2397" w:type="dxa"/>
          </w:tcPr>
          <w:p>
            <w:pPr>
              <w:pStyle w:val="TableParagraph"/>
              <w:spacing w:line="162" w:lineRule="exact" w:before="28"/>
              <w:ind w:left="845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Number</w:t>
            </w:r>
            <w:r>
              <w:rPr>
                <w:spacing w:val="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of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groups</w:t>
            </w:r>
          </w:p>
        </w:tc>
        <w:tc>
          <w:tcPr>
            <w:tcW w:w="399" w:type="dxa"/>
          </w:tcPr>
          <w:p>
            <w:pPr>
              <w:pStyle w:val="TableParagraph"/>
              <w:spacing w:line="162" w:lineRule="exact" w:before="28"/>
              <w:ind w:right="42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=</w:t>
            </w:r>
          </w:p>
        </w:tc>
        <w:tc>
          <w:tcPr>
            <w:tcW w:w="757" w:type="dxa"/>
          </w:tcPr>
          <w:p>
            <w:pPr>
              <w:pStyle w:val="TableParagraph"/>
              <w:spacing w:line="162" w:lineRule="exact" w:before="28"/>
              <w:ind w:right="46"/>
              <w:rPr>
                <w:sz w:val="16"/>
              </w:rPr>
            </w:pPr>
            <w:r>
              <w:rPr>
                <w:w w:val="95"/>
                <w:sz w:val="16"/>
              </w:rPr>
              <w:t>35</w:t>
            </w:r>
          </w:p>
        </w:tc>
      </w:tr>
      <w:tr>
        <w:trPr>
          <w:trHeight w:val="499" w:hRule="atLeast"/>
        </w:trPr>
        <w:tc>
          <w:tcPr>
            <w:tcW w:w="3466" w:type="dxa"/>
            <w:gridSpan w:val="2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R-sq:</w:t>
            </w:r>
            <w:r>
              <w:rPr>
                <w:spacing w:val="93"/>
                <w:sz w:val="16"/>
              </w:rPr>
              <w:t> </w:t>
            </w:r>
            <w:r>
              <w:rPr>
                <w:w w:val="90"/>
                <w:sz w:val="16"/>
              </w:rPr>
              <w:t>within</w:t>
            </w:r>
            <w:r>
              <w:rPr>
                <w:spacing w:val="93"/>
                <w:sz w:val="16"/>
              </w:rPr>
              <w:t> </w:t>
            </w:r>
            <w:r>
              <w:rPr>
                <w:w w:val="90"/>
                <w:sz w:val="16"/>
              </w:rPr>
              <w:t>=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0.3108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845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Obs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per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group:</w:t>
            </w:r>
            <w:r>
              <w:rPr>
                <w:spacing w:val="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min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=</w:t>
            </w:r>
          </w:p>
        </w:tc>
        <w:tc>
          <w:tcPr>
            <w:tcW w:w="757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right="46"/>
              <w:rPr>
                <w:sz w:val="16"/>
              </w:rPr>
            </w:pPr>
            <w:r>
              <w:rPr>
                <w:w w:val="87"/>
                <w:sz w:val="16"/>
              </w:rPr>
              <w:t>2</w:t>
            </w:r>
          </w:p>
        </w:tc>
      </w:tr>
      <w:tr>
        <w:trPr>
          <w:trHeight w:val="236" w:hRule="atLeast"/>
        </w:trPr>
        <w:tc>
          <w:tcPr>
            <w:tcW w:w="3466" w:type="dxa"/>
            <w:gridSpan w:val="2"/>
          </w:tcPr>
          <w:p>
            <w:pPr>
              <w:pStyle w:val="TableParagraph"/>
              <w:spacing w:before="28"/>
              <w:ind w:left="671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between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=</w:t>
            </w:r>
            <w:r>
              <w:rPr>
                <w:spacing w:val="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0.6541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before="28"/>
              <w:ind w:right="177"/>
              <w:rPr>
                <w:sz w:val="16"/>
              </w:rPr>
            </w:pPr>
            <w:r>
              <w:rPr>
                <w:w w:val="95"/>
                <w:sz w:val="16"/>
              </w:rPr>
              <w:t>avg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=</w:t>
            </w:r>
          </w:p>
        </w:tc>
        <w:tc>
          <w:tcPr>
            <w:tcW w:w="757" w:type="dxa"/>
          </w:tcPr>
          <w:p>
            <w:pPr>
              <w:pStyle w:val="TableParagraph"/>
              <w:spacing w:before="28"/>
              <w:ind w:right="46"/>
              <w:rPr>
                <w:sz w:val="16"/>
              </w:rPr>
            </w:pPr>
            <w:r>
              <w:rPr>
                <w:w w:val="95"/>
                <w:sz w:val="16"/>
              </w:rPr>
              <w:t>21.6</w:t>
            </w:r>
          </w:p>
        </w:tc>
      </w:tr>
      <w:tr>
        <w:trPr>
          <w:trHeight w:val="210" w:hRule="atLeast"/>
        </w:trPr>
        <w:tc>
          <w:tcPr>
            <w:tcW w:w="3466" w:type="dxa"/>
            <w:gridSpan w:val="2"/>
          </w:tcPr>
          <w:p>
            <w:pPr>
              <w:pStyle w:val="TableParagraph"/>
              <w:spacing w:line="162" w:lineRule="exact" w:before="28"/>
              <w:ind w:left="671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overall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=</w:t>
            </w:r>
            <w:r>
              <w:rPr>
                <w:spacing w:val="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0.3462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62" w:lineRule="exact" w:before="28"/>
              <w:ind w:right="177"/>
              <w:rPr>
                <w:sz w:val="16"/>
              </w:rPr>
            </w:pPr>
            <w:r>
              <w:rPr>
                <w:w w:val="95"/>
                <w:sz w:val="16"/>
              </w:rPr>
              <w:t>max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=</w:t>
            </w:r>
          </w:p>
        </w:tc>
        <w:tc>
          <w:tcPr>
            <w:tcW w:w="757" w:type="dxa"/>
          </w:tcPr>
          <w:p>
            <w:pPr>
              <w:pStyle w:val="TableParagraph"/>
              <w:spacing w:line="162" w:lineRule="exact" w:before="28"/>
              <w:ind w:right="46"/>
              <w:rPr>
                <w:sz w:val="16"/>
              </w:rPr>
            </w:pPr>
            <w:r>
              <w:rPr>
                <w:w w:val="95"/>
                <w:sz w:val="16"/>
              </w:rPr>
              <w:t>401</w:t>
            </w:r>
          </w:p>
        </w:tc>
      </w:tr>
      <w:tr>
        <w:trPr>
          <w:trHeight w:val="499" w:hRule="atLeast"/>
        </w:trPr>
        <w:tc>
          <w:tcPr>
            <w:tcW w:w="124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845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Wald</w:t>
            </w:r>
            <w:r>
              <w:rPr>
                <w:spacing w:val="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chi2(32)</w:t>
            </w:r>
          </w:p>
        </w:tc>
        <w:tc>
          <w:tcPr>
            <w:tcW w:w="399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right="42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=</w:t>
            </w:r>
          </w:p>
        </w:tc>
        <w:tc>
          <w:tcPr>
            <w:tcW w:w="757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right="46"/>
              <w:rPr>
                <w:sz w:val="16"/>
              </w:rPr>
            </w:pPr>
            <w:r>
              <w:rPr>
                <w:w w:val="95"/>
                <w:sz w:val="16"/>
              </w:rPr>
              <w:t>382.79</w:t>
            </w:r>
          </w:p>
        </w:tc>
      </w:tr>
      <w:tr>
        <w:trPr>
          <w:trHeight w:val="210" w:hRule="atLeast"/>
        </w:trPr>
        <w:tc>
          <w:tcPr>
            <w:tcW w:w="1246" w:type="dxa"/>
          </w:tcPr>
          <w:p>
            <w:pPr>
              <w:pStyle w:val="TableParagraph"/>
              <w:spacing w:line="162" w:lineRule="exact" w:before="28"/>
              <w:ind w:left="5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corr(u_i,</w:t>
            </w:r>
            <w:r>
              <w:rPr>
                <w:spacing w:val="1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X)</w:t>
            </w:r>
          </w:p>
        </w:tc>
        <w:tc>
          <w:tcPr>
            <w:tcW w:w="2220" w:type="dxa"/>
          </w:tcPr>
          <w:p>
            <w:pPr>
              <w:pStyle w:val="TableParagraph"/>
              <w:spacing w:line="162" w:lineRule="exact" w:before="28"/>
              <w:ind w:left="135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=</w:t>
            </w:r>
            <w:r>
              <w:rPr>
                <w:spacing w:val="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0</w:t>
            </w:r>
            <w:r>
              <w:rPr>
                <w:spacing w:val="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(assumed)</w:t>
            </w:r>
          </w:p>
        </w:tc>
        <w:tc>
          <w:tcPr>
            <w:tcW w:w="2397" w:type="dxa"/>
          </w:tcPr>
          <w:p>
            <w:pPr>
              <w:pStyle w:val="TableParagraph"/>
              <w:spacing w:line="162" w:lineRule="exact" w:before="28"/>
              <w:ind w:left="845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Prob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&gt;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chi2</w:t>
            </w:r>
          </w:p>
        </w:tc>
        <w:tc>
          <w:tcPr>
            <w:tcW w:w="399" w:type="dxa"/>
          </w:tcPr>
          <w:p>
            <w:pPr>
              <w:pStyle w:val="TableParagraph"/>
              <w:spacing w:line="162" w:lineRule="exact" w:before="28"/>
              <w:ind w:right="42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=</w:t>
            </w:r>
          </w:p>
        </w:tc>
        <w:tc>
          <w:tcPr>
            <w:tcW w:w="757" w:type="dxa"/>
          </w:tcPr>
          <w:p>
            <w:pPr>
              <w:pStyle w:val="TableParagraph"/>
              <w:spacing w:line="162" w:lineRule="exact" w:before="28"/>
              <w:ind w:right="46"/>
              <w:rPr>
                <w:sz w:val="16"/>
              </w:rPr>
            </w:pPr>
            <w:r>
              <w:rPr>
                <w:w w:val="95"/>
                <w:sz w:val="16"/>
              </w:rPr>
              <w:t>0.0000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8"/>
        <w:gridCol w:w="1152"/>
        <w:gridCol w:w="2397"/>
        <w:gridCol w:w="266"/>
        <w:gridCol w:w="1065"/>
        <w:gridCol w:w="839"/>
      </w:tblGrid>
      <w:tr>
        <w:trPr>
          <w:trHeight w:val="457" w:hRule="atLeast"/>
        </w:trPr>
        <w:tc>
          <w:tcPr>
            <w:tcW w:w="2968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47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illness</w:t>
            </w:r>
          </w:p>
        </w:tc>
        <w:tc>
          <w:tcPr>
            <w:tcW w:w="1152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47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Coef.</w:t>
            </w:r>
          </w:p>
        </w:tc>
        <w:tc>
          <w:tcPr>
            <w:tcW w:w="2397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tabs>
                <w:tab w:pos="1331" w:val="left" w:leader="none"/>
                <w:tab w:pos="1775" w:val="left" w:leader="none"/>
              </w:tabs>
              <w:spacing w:before="147"/>
              <w:ind w:right="37"/>
              <w:rPr>
                <w:sz w:val="16"/>
              </w:rPr>
            </w:pPr>
            <w:r>
              <w:rPr>
                <w:w w:val="90"/>
                <w:sz w:val="16"/>
              </w:rPr>
              <w:t>Std.</w:t>
            </w:r>
            <w:r>
              <w:rPr>
                <w:spacing w:val="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Err.</w:t>
              <w:tab/>
            </w:r>
            <w:r>
              <w:rPr>
                <w:w w:val="95"/>
                <w:sz w:val="16"/>
              </w:rPr>
              <w:t>z</w:t>
              <w:tab/>
              <w:t>P&gt;|z|</w:t>
            </w:r>
          </w:p>
        </w:tc>
        <w:tc>
          <w:tcPr>
            <w:tcW w:w="26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5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47"/>
              <w:ind w:left="143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[95%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Conf.</w:t>
            </w:r>
          </w:p>
        </w:tc>
        <w:tc>
          <w:tcPr>
            <w:tcW w:w="839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47"/>
              <w:ind w:right="-15"/>
              <w:rPr>
                <w:sz w:val="16"/>
              </w:rPr>
            </w:pPr>
            <w:r>
              <w:rPr>
                <w:w w:val="90"/>
                <w:sz w:val="16"/>
              </w:rPr>
              <w:t>Interval]</w:t>
            </w:r>
          </w:p>
        </w:tc>
      </w:tr>
      <w:tr>
        <w:trPr>
          <w:trHeight w:val="348" w:hRule="atLeast"/>
        </w:trPr>
        <w:tc>
          <w:tcPr>
            <w:tcW w:w="2968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0" w:lineRule="exact" w:before="147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familysize</w:t>
            </w:r>
          </w:p>
        </w:tc>
        <w:tc>
          <w:tcPr>
            <w:tcW w:w="1152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line="180" w:lineRule="exact" w:before="147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.5047233</w:t>
            </w:r>
          </w:p>
        </w:tc>
        <w:tc>
          <w:tcPr>
            <w:tcW w:w="2397" w:type="dxa"/>
            <w:tcBorders>
              <w:top w:val="dashSmallGap" w:sz="6" w:space="0" w:color="000000"/>
            </w:tcBorders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0" w:lineRule="exact" w:before="147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.2111821</w:t>
              <w:tab/>
              <w:t>2.39</w:t>
              <w:tab/>
              <w:t>0.017</w:t>
            </w:r>
          </w:p>
        </w:tc>
        <w:tc>
          <w:tcPr>
            <w:tcW w:w="266" w:type="dxa"/>
            <w:vMerge w:val="restart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5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line="180" w:lineRule="exact" w:before="147"/>
              <w:ind w:left="143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.0908141</w:t>
            </w:r>
          </w:p>
        </w:tc>
        <w:tc>
          <w:tcPr>
            <w:tcW w:w="839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line="180" w:lineRule="exact" w:before="147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.9186326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hungerandnofood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.0860966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1" w:lineRule="exact" w:before="20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.0492491</w:t>
              <w:tab/>
              <w:t>1.75</w:t>
              <w:tab/>
              <w:t>0.080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0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-.0104298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0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.182623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gari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-.0016099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976" w:val="left" w:leader="none"/>
                <w:tab w:pos="1686" w:val="left" w:leader="none"/>
              </w:tabs>
              <w:spacing w:line="181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.000953</w:t>
              <w:tab/>
              <w:t>-1.69</w:t>
              <w:tab/>
              <w:t>0.091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-.0034777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.0002579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0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rice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0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-.0149736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065" w:val="left" w:leader="none"/>
                <w:tab w:pos="1775" w:val="left" w:leader="none"/>
              </w:tabs>
              <w:spacing w:line="180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.0271086</w:t>
              <w:tab/>
              <w:t>-0.55</w:t>
              <w:tab/>
              <w:t>0.581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0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-.0681055</w:t>
            </w:r>
          </w:p>
        </w:tc>
        <w:tc>
          <w:tcPr>
            <w:tcW w:w="839" w:type="dxa"/>
          </w:tcPr>
          <w:p>
            <w:pPr>
              <w:pStyle w:val="TableParagraph"/>
              <w:spacing w:line="180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.0381584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yamorcassavaormaizeflour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-.3965101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976" w:val="left" w:leader="none"/>
                <w:tab w:pos="1775" w:val="left" w:leader="none"/>
              </w:tabs>
              <w:spacing w:line="181" w:lineRule="exact" w:before="20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.0318557</w:t>
              <w:tab/>
              <w:t>-12.45</w:t>
              <w:tab/>
              <w:t>0.000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0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-.4589461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0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-.334074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beans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-.0830584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065" w:val="left" w:leader="none"/>
                <w:tab w:pos="1775" w:val="left" w:leader="none"/>
              </w:tabs>
              <w:spacing w:line="181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.0620629</w:t>
              <w:tab/>
              <w:t>-1.34</w:t>
              <w:tab/>
              <w:t>0.181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-.2046994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.0385827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0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meatorfish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0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-.0014263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065" w:val="left" w:leader="none"/>
                <w:tab w:pos="1775" w:val="left" w:leader="none"/>
              </w:tabs>
              <w:spacing w:line="180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.0044016</w:t>
              <w:tab/>
              <w:t>-0.32</w:t>
              <w:tab/>
              <w:t>0.746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0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-.0100533</w:t>
            </w:r>
          </w:p>
        </w:tc>
        <w:tc>
          <w:tcPr>
            <w:tcW w:w="839" w:type="dxa"/>
          </w:tcPr>
          <w:p>
            <w:pPr>
              <w:pStyle w:val="TableParagraph"/>
              <w:spacing w:line="180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.0072007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mosquitonetpossession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.0407605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1" w:lineRule="exact" w:before="20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.1002976</w:t>
              <w:tab/>
              <w:t>0.41</w:t>
              <w:tab/>
              <w:t>0.684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0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-.1558191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0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.2373401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primaryeducation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.0281028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1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.0371958</w:t>
              <w:tab/>
              <w:t>0.76</w:t>
              <w:tab/>
              <w:t>0.450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-.0447996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.1010053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secondarycertificate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.0050893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1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.0063995</w:t>
              <w:tab/>
              <w:t>0.80</w:t>
              <w:tab/>
              <w:t>0.426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-.0074536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.0176322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0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higherdegree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0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-.0847727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065" w:val="left" w:leader="none"/>
                <w:tab w:pos="1775" w:val="left" w:leader="none"/>
              </w:tabs>
              <w:spacing w:line="180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.0307868</w:t>
              <w:tab/>
              <w:t>-2.75</w:t>
              <w:tab/>
              <w:t>0.006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0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-.1451136</w:t>
            </w:r>
          </w:p>
        </w:tc>
        <w:tc>
          <w:tcPr>
            <w:tcW w:w="839" w:type="dxa"/>
          </w:tcPr>
          <w:p>
            <w:pPr>
              <w:pStyle w:val="TableParagraph"/>
              <w:spacing w:line="180" w:lineRule="exact" w:before="21"/>
              <w:ind w:right="-15"/>
              <w:rPr>
                <w:sz w:val="16"/>
              </w:rPr>
            </w:pPr>
            <w:r>
              <w:rPr>
                <w:w w:val="90"/>
                <w:sz w:val="16"/>
              </w:rPr>
              <w:t>-.0244317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nobasiceducation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-.2247406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065" w:val="left" w:leader="none"/>
                <w:tab w:pos="1775" w:val="left" w:leader="none"/>
              </w:tabs>
              <w:spacing w:line="181" w:lineRule="exact" w:before="20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.0732813</w:t>
              <w:tab/>
              <w:t>-3.07</w:t>
              <w:tab/>
              <w:t>0.002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0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-.3683693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0"/>
              <w:ind w:right="-15"/>
              <w:rPr>
                <w:sz w:val="16"/>
              </w:rPr>
            </w:pPr>
            <w:r>
              <w:rPr>
                <w:w w:val="90"/>
                <w:sz w:val="16"/>
              </w:rPr>
              <w:t>-.0811119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hadelectricity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-.1290876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065" w:val="left" w:leader="none"/>
                <w:tab w:pos="1775" w:val="left" w:leader="none"/>
              </w:tabs>
              <w:spacing w:line="181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.0902447</w:t>
              <w:tab/>
              <w:t>-1.43</w:t>
              <w:tab/>
              <w:t>0.153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-.3059641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.0477888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noelectricity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-.0063901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065" w:val="left" w:leader="none"/>
                <w:tab w:pos="1775" w:val="left" w:leader="none"/>
              </w:tabs>
              <w:spacing w:line="181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.0064715</w:t>
              <w:tab/>
              <w:t>-0.99</w:t>
              <w:tab/>
              <w:t>0.323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-.0190741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.0062939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pipebornewater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-.2832787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065" w:val="left" w:leader="none"/>
                <w:tab w:pos="1775" w:val="left" w:leader="none"/>
              </w:tabs>
              <w:spacing w:line="181" w:lineRule="exact" w:before="20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.0976972</w:t>
              <w:tab/>
              <w:t>-2.90</w:t>
              <w:tab/>
              <w:t>0.004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0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-.4747617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0"/>
              <w:ind w:right="-15"/>
              <w:rPr>
                <w:sz w:val="16"/>
              </w:rPr>
            </w:pPr>
            <w:r>
              <w:rPr>
                <w:w w:val="90"/>
                <w:sz w:val="16"/>
              </w:rPr>
              <w:t>-.0917957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boreholeandwell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.0674818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1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.0417429</w:t>
              <w:tab/>
              <w:t>1.62</w:t>
              <w:tab/>
              <w:t>0.106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-.0143327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.1492963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riverandspring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.3795938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1" w:lineRule="exact" w:before="20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.0713756</w:t>
              <w:tab/>
              <w:t>5.32</w:t>
              <w:tab/>
              <w:t>0.000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0"/>
              <w:ind w:left="143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.2397002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0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.5194874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waterormodernlatrine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-.0102798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065" w:val="left" w:leader="none"/>
                <w:tab w:pos="1775" w:val="left" w:leader="none"/>
              </w:tabs>
              <w:spacing w:line="181" w:lineRule="exact" w:before="20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.0339337</w:t>
              <w:tab/>
              <w:t>-0.30</w:t>
              <w:tab/>
              <w:t>0.762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0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-.0767886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0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.0562291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pitorlatrine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.1945028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1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.1332677</w:t>
              <w:tab/>
              <w:t>1.46</w:t>
              <w:tab/>
              <w:t>0.144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-.0666972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.4557027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0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notoiletfacility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0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.1380336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0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.0926643</w:t>
              <w:tab/>
              <w:t>1.49</w:t>
              <w:tab/>
              <w:t>0.136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0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-.0435852</w:t>
            </w:r>
          </w:p>
        </w:tc>
        <w:tc>
          <w:tcPr>
            <w:tcW w:w="839" w:type="dxa"/>
          </w:tcPr>
          <w:p>
            <w:pPr>
              <w:pStyle w:val="TableParagraph"/>
              <w:spacing w:line="180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.3196524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alcoholicdrinks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.011419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1" w:lineRule="exact" w:before="20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.0587319</w:t>
              <w:tab/>
              <w:t>0.19</w:t>
              <w:tab/>
              <w:t>0.846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0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-.1036935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0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.1265314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selfmedication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.0946143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1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.0647142</w:t>
              <w:tab/>
              <w:t>1.46</w:t>
              <w:tab/>
              <w:t>0.144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-.0322232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.2214518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0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seekingmedicalcare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0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.0613308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0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.0449653</w:t>
              <w:tab/>
              <w:t>1.36</w:t>
              <w:tab/>
              <w:t>0.173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0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-.0267996</w:t>
            </w:r>
          </w:p>
        </w:tc>
        <w:tc>
          <w:tcPr>
            <w:tcW w:w="839" w:type="dxa"/>
          </w:tcPr>
          <w:p>
            <w:pPr>
              <w:pStyle w:val="TableParagraph"/>
              <w:spacing w:line="180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.1494611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otherhealthcare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-.1532526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065" w:val="left" w:leader="none"/>
                <w:tab w:pos="1775" w:val="left" w:leader="none"/>
              </w:tabs>
              <w:spacing w:line="181" w:lineRule="exact" w:before="20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.1096546</w:t>
              <w:tab/>
              <w:t>-1.40</w:t>
              <w:tab/>
              <w:t>0.162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0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-.3681716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0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.0616665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wagesandsalaries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.1715969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976" w:val="left" w:leader="none"/>
                <w:tab w:pos="1598" w:val="left" w:leader="none"/>
              </w:tabs>
              <w:spacing w:line="181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.13212</w:t>
              <w:tab/>
              <w:t>1.30</w:t>
              <w:tab/>
              <w:t>0.194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-.0873535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.4305472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entreprisesandbusiness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-.0129212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065" w:val="left" w:leader="none"/>
                <w:tab w:pos="1775" w:val="left" w:leader="none"/>
              </w:tabs>
              <w:spacing w:line="181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.0461115</w:t>
              <w:tab/>
              <w:t>-0.28</w:t>
              <w:tab/>
              <w:t>0.779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-.1032982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.0774558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0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farmingcropandlivestock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0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-.2010779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065" w:val="left" w:leader="none"/>
                <w:tab w:pos="1775" w:val="left" w:leader="none"/>
              </w:tabs>
              <w:spacing w:line="180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.1975449</w:t>
              <w:tab/>
              <w:t>-1.02</w:t>
              <w:tab/>
              <w:t>0.309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0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-.5882588</w:t>
            </w:r>
          </w:p>
        </w:tc>
        <w:tc>
          <w:tcPr>
            <w:tcW w:w="839" w:type="dxa"/>
          </w:tcPr>
          <w:p>
            <w:pPr>
              <w:pStyle w:val="TableParagraph"/>
              <w:spacing w:line="180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.1861031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remittances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-.0121284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976" w:val="left" w:leader="none"/>
                <w:tab w:pos="1686" w:val="left" w:leader="none"/>
              </w:tabs>
              <w:spacing w:line="181" w:lineRule="exact" w:before="20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.049702</w:t>
              <w:tab/>
              <w:t>-0.24</w:t>
              <w:tab/>
              <w:t>0.807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0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-.1095424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0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.0852857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1"/>
              <w:rPr>
                <w:sz w:val="16"/>
              </w:rPr>
            </w:pPr>
            <w:r>
              <w:rPr>
                <w:w w:val="90"/>
                <w:sz w:val="16"/>
              </w:rPr>
              <w:t>monetaryandconditionaltransfers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-.0642909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976" w:val="left" w:leader="none"/>
                <w:tab w:pos="1686" w:val="left" w:leader="none"/>
              </w:tabs>
              <w:spacing w:line="181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.129248</w:t>
              <w:tab/>
              <w:t>-0.50</w:t>
              <w:tab/>
              <w:t>0.619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-.3176124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.1890306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pensionsandgrants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1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.0713481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1" w:lineRule="exact" w:before="21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.3935788</w:t>
              <w:tab/>
              <w:t>0.18</w:t>
              <w:tab/>
              <w:t>0.856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1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-.7000522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1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.8427485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1"/>
              <w:rPr>
                <w:sz w:val="16"/>
              </w:rPr>
            </w:pPr>
            <w:r>
              <w:rPr>
                <w:w w:val="85"/>
                <w:sz w:val="16"/>
              </w:rPr>
              <w:t>dividendandinterestfrominvestmen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-.9985218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065" w:val="left" w:leader="none"/>
                <w:tab w:pos="1775" w:val="left" w:leader="none"/>
              </w:tabs>
              <w:spacing w:line="181" w:lineRule="exact" w:before="20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.3966795</w:t>
              <w:tab/>
              <w:t>-2.52</w:t>
              <w:tab/>
              <w:t>0.012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0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-1.775999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0"/>
              <w:ind w:right="-15"/>
              <w:rPr>
                <w:sz w:val="16"/>
              </w:rPr>
            </w:pPr>
            <w:r>
              <w:rPr>
                <w:w w:val="90"/>
                <w:sz w:val="16"/>
              </w:rPr>
              <w:t>-.2210444</w:t>
            </w: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giniq3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.0115997</w:t>
            </w:r>
          </w:p>
        </w:tc>
        <w:tc>
          <w:tcPr>
            <w:tcW w:w="2397" w:type="dxa"/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line="181" w:lineRule="exact" w:before="20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.0030907</w:t>
              <w:tab/>
              <w:t>3.75</w:t>
              <w:tab/>
              <w:t>0.000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1" w:lineRule="exact" w:before="20"/>
              <w:ind w:left="143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.0055419</w:t>
            </w:r>
          </w:p>
        </w:tc>
        <w:tc>
          <w:tcPr>
            <w:tcW w:w="839" w:type="dxa"/>
          </w:tcPr>
          <w:p>
            <w:pPr>
              <w:pStyle w:val="TableParagraph"/>
              <w:spacing w:line="181" w:lineRule="exact" w:before="20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.0176574</w:t>
            </w:r>
          </w:p>
        </w:tc>
      </w:tr>
      <w:tr>
        <w:trPr>
          <w:trHeight w:val="330" w:hRule="atLeast"/>
        </w:trPr>
        <w:tc>
          <w:tcPr>
            <w:tcW w:w="2968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_cons</w:t>
            </w:r>
          </w:p>
        </w:tc>
        <w:tc>
          <w:tcPr>
            <w:tcW w:w="1152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1.219063</w:t>
            </w:r>
          </w:p>
        </w:tc>
        <w:tc>
          <w:tcPr>
            <w:tcW w:w="2397" w:type="dxa"/>
            <w:tcBorders>
              <w:bottom w:val="dashSmallGap" w:sz="6" w:space="0" w:color="000000"/>
            </w:tcBorders>
          </w:tcPr>
          <w:p>
            <w:pPr>
              <w:pStyle w:val="TableParagraph"/>
              <w:tabs>
                <w:tab w:pos="1153" w:val="left" w:leader="none"/>
                <w:tab w:pos="1775" w:val="left" w:leader="none"/>
              </w:tabs>
              <w:spacing w:before="20"/>
              <w:ind w:right="37"/>
              <w:rPr>
                <w:sz w:val="16"/>
              </w:rPr>
            </w:pPr>
            <w:r>
              <w:rPr>
                <w:w w:val="95"/>
                <w:sz w:val="16"/>
              </w:rPr>
              <w:t>.5938092</w:t>
              <w:tab/>
              <w:t>2.05</w:t>
              <w:tab/>
              <w:t>0.040</w:t>
            </w:r>
          </w:p>
        </w:tc>
        <w:tc>
          <w:tcPr>
            <w:tcW w:w="266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0"/>
              <w:ind w:left="23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.055218</w:t>
            </w:r>
          </w:p>
        </w:tc>
        <w:tc>
          <w:tcPr>
            <w:tcW w:w="839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0"/>
              <w:ind w:right="-15"/>
              <w:rPr>
                <w:sz w:val="16"/>
              </w:rPr>
            </w:pPr>
            <w:r>
              <w:rPr>
                <w:w w:val="95"/>
                <w:sz w:val="16"/>
              </w:rPr>
              <w:t>2.382908</w:t>
            </w:r>
          </w:p>
        </w:tc>
      </w:tr>
      <w:tr>
        <w:trPr>
          <w:trHeight w:val="348" w:hRule="atLeast"/>
        </w:trPr>
        <w:tc>
          <w:tcPr>
            <w:tcW w:w="2968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line="181" w:lineRule="exact" w:before="147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sigma_u</w:t>
            </w:r>
          </w:p>
        </w:tc>
        <w:tc>
          <w:tcPr>
            <w:tcW w:w="1152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line="181" w:lineRule="exact" w:before="147"/>
              <w:ind w:right="126"/>
              <w:rPr>
                <w:sz w:val="16"/>
              </w:rPr>
            </w:pPr>
            <w:r>
              <w:rPr>
                <w:w w:val="87"/>
                <w:sz w:val="16"/>
              </w:rPr>
              <w:t>0</w:t>
            </w:r>
          </w:p>
        </w:tc>
        <w:tc>
          <w:tcPr>
            <w:tcW w:w="2397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6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5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9" w:type="dxa"/>
            <w:vMerge w:val="restart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296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sigma_e</w:t>
            </w:r>
          </w:p>
        </w:tc>
        <w:tc>
          <w:tcPr>
            <w:tcW w:w="1152" w:type="dxa"/>
            <w:tcBorders>
              <w:left w:val="dashed" w:sz="6" w:space="0" w:color="000000"/>
            </w:tcBorders>
          </w:tcPr>
          <w:p>
            <w:pPr>
              <w:pStyle w:val="TableParagraph"/>
              <w:spacing w:line="181" w:lineRule="exact" w:before="20"/>
              <w:ind w:right="126"/>
              <w:rPr>
                <w:sz w:val="16"/>
              </w:rPr>
            </w:pPr>
            <w:r>
              <w:rPr>
                <w:w w:val="95"/>
                <w:sz w:val="16"/>
              </w:rPr>
              <w:t>.3011517</w:t>
            </w:r>
          </w:p>
        </w:tc>
        <w:tc>
          <w:tcPr>
            <w:tcW w:w="239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9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968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0"/>
              <w:ind w:right="121"/>
              <w:rPr>
                <w:sz w:val="16"/>
              </w:rPr>
            </w:pPr>
            <w:r>
              <w:rPr>
                <w:w w:val="95"/>
                <w:sz w:val="16"/>
              </w:rPr>
              <w:t>rho</w:t>
            </w:r>
          </w:p>
        </w:tc>
        <w:tc>
          <w:tcPr>
            <w:tcW w:w="1152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0"/>
              <w:ind w:right="126"/>
              <w:rPr>
                <w:sz w:val="16"/>
              </w:rPr>
            </w:pPr>
            <w:r>
              <w:rPr>
                <w:w w:val="87"/>
                <w:sz w:val="16"/>
              </w:rPr>
              <w:t>0</w:t>
            </w:r>
          </w:p>
        </w:tc>
        <w:tc>
          <w:tcPr>
            <w:tcW w:w="2397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0"/>
              <w:ind w:right="37"/>
              <w:rPr>
                <w:sz w:val="16"/>
              </w:rPr>
            </w:pPr>
            <w:r>
              <w:rPr>
                <w:w w:val="90"/>
                <w:sz w:val="16"/>
              </w:rPr>
              <w:t>(fraction</w:t>
            </w:r>
            <w:r>
              <w:rPr>
                <w:spacing w:val="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of</w:t>
            </w:r>
            <w:r>
              <w:rPr>
                <w:spacing w:val="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variance</w:t>
            </w:r>
            <w:r>
              <w:rPr>
                <w:spacing w:val="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due</w:t>
            </w:r>
          </w:p>
        </w:tc>
        <w:tc>
          <w:tcPr>
            <w:tcW w:w="26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0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to</w:t>
            </w:r>
          </w:p>
        </w:tc>
        <w:tc>
          <w:tcPr>
            <w:tcW w:w="1065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0"/>
              <w:ind w:left="5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u_i)</w:t>
            </w:r>
          </w:p>
        </w:tc>
        <w:tc>
          <w:tcPr>
            <w:tcW w:w="839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Heading5"/>
        <w:spacing w:line="274" w:lineRule="exact" w:before="77"/>
        <w:ind w:left="196" w:right="518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J:</w:t>
      </w:r>
      <w:r>
        <w:rPr>
          <w:spacing w:val="-1"/>
        </w:rPr>
        <w:t> </w:t>
      </w:r>
      <w:r>
        <w:rPr/>
        <w:t>ESTIMATION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WAVE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spacing w:line="274" w:lineRule="exact" w:after="8"/>
        <w:ind w:left="197" w:right="518"/>
        <w:jc w:val="center"/>
      </w:pPr>
      <w:r>
        <w:rPr/>
        <w:t>TABLE</w:t>
      </w:r>
      <w:r>
        <w:rPr>
          <w:spacing w:val="-2"/>
        </w:rPr>
        <w:t> </w:t>
      </w:r>
      <w:r>
        <w:rPr/>
        <w:t>J1:</w:t>
      </w:r>
      <w:r>
        <w:rPr>
          <w:spacing w:val="-2"/>
        </w:rPr>
        <w:t> </w:t>
      </w:r>
      <w:r>
        <w:rPr/>
        <w:t>RELIABILITY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TABLE FOR WAVE</w:t>
      </w:r>
      <w:r>
        <w:rPr>
          <w:spacing w:val="-1"/>
        </w:rPr>
        <w:t> </w:t>
      </w:r>
      <w:r>
        <w:rPr/>
        <w:t>III</w:t>
      </w:r>
      <w:r>
        <w:rPr>
          <w:spacing w:val="-6"/>
        </w:rPr>
        <w:t> </w:t>
      </w:r>
      <w:r>
        <w:rPr/>
        <w:t>ESTIMATIONS</w:t>
      </w:r>
    </w:p>
    <w:tbl>
      <w:tblPr>
        <w:tblW w:w="0" w:type="auto"/>
        <w:jc w:val="left"/>
        <w:tblInd w:w="2054" w:type="dxa"/>
        <w:tblBorders>
          <w:top w:val="single" w:sz="8" w:space="0" w:color="D3D3D3"/>
          <w:left w:val="single" w:sz="8" w:space="0" w:color="D3D3D3"/>
          <w:bottom w:val="single" w:sz="8" w:space="0" w:color="D3D3D3"/>
          <w:right w:val="single" w:sz="8" w:space="0" w:color="D3D3D3"/>
          <w:insideH w:val="single" w:sz="8" w:space="0" w:color="D3D3D3"/>
          <w:insideV w:val="single" w:sz="8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1635"/>
      </w:tblGrid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Item</w:t>
            </w:r>
          </w:p>
        </w:tc>
        <w:tc>
          <w:tcPr>
            <w:tcW w:w="163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6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alpha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top w:val="single" w:sz="8" w:space="0" w:color="000000"/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illness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0.8544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familysize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0.8623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hungerandfood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0.8727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gari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0.8341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rice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0.8355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yamorcassavaormaizeflour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0.8172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beans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0.8285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meatorfish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0.8143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mosquitonetpossession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0.7853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primaryeducation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0.8613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secondarycertificate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0.8758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higherdegree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0.8765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nobasiceducation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0.8515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hadelectricity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0.7599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noelectricity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0.8437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pipebornewater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0.8333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boreholeandwell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0.8276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riverandspring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0.8221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noaccesstowater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0.8549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waterormodernlatrine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0.8392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pitorlatrine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0.8769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notoiletfacility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0.8267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alcoholicdrinks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0.8267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selfmedication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0.8523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seekingmedicalcare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0.8165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otherhealthcare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0.8548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wagesandsalaries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0.8171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entreprisesandbusiness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0.8942</w:t>
            </w:r>
          </w:p>
        </w:tc>
      </w:tr>
      <w:tr>
        <w:trPr>
          <w:trHeight w:val="280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farmingcropandlivestock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0.8749</w:t>
            </w:r>
          </w:p>
        </w:tc>
      </w:tr>
      <w:tr>
        <w:trPr>
          <w:trHeight w:val="279" w:hRule="atLeast"/>
        </w:trPr>
        <w:tc>
          <w:tcPr>
            <w:tcW w:w="3870" w:type="dxa"/>
            <w:tcBorders>
              <w:left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remittances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2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0.8384</w:t>
            </w:r>
          </w:p>
        </w:tc>
      </w:tr>
      <w:tr>
        <w:trPr>
          <w:trHeight w:val="282" w:hRule="atLeast"/>
        </w:trPr>
        <w:tc>
          <w:tcPr>
            <w:tcW w:w="3870" w:type="dxa"/>
            <w:tcBorders>
              <w:left w:val="single" w:sz="6" w:space="0" w:color="D3D3D3"/>
              <w:bottom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monetaryandconditionaltransfers</w:t>
            </w:r>
          </w:p>
        </w:tc>
        <w:tc>
          <w:tcPr>
            <w:tcW w:w="1635" w:type="dxa"/>
            <w:tcBorders>
              <w:left w:val="single" w:sz="8" w:space="0" w:color="000000"/>
              <w:bottom w:val="single" w:sz="6" w:space="0" w:color="D3D3D3"/>
            </w:tcBorders>
          </w:tcPr>
          <w:p>
            <w:pPr>
              <w:pStyle w:val="TableParagraph"/>
              <w:spacing w:line="249" w:lineRule="exact" w:before="13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0.8722</w:t>
            </w:r>
          </w:p>
        </w:tc>
      </w:tr>
      <w:tr>
        <w:trPr>
          <w:trHeight w:val="285" w:hRule="atLeast"/>
        </w:trPr>
        <w:tc>
          <w:tcPr>
            <w:tcW w:w="38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pensionsandgrants</w:t>
            </w:r>
          </w:p>
        </w:tc>
        <w:tc>
          <w:tcPr>
            <w:tcW w:w="1635" w:type="dxa"/>
            <w:tcBorders>
              <w:top w:val="single" w:sz="6" w:space="0" w:color="D3D3D3"/>
              <w:left w:val="single" w:sz="8" w:space="0" w:color="000000"/>
              <w:bottom w:val="single" w:sz="6" w:space="0" w:color="D3D3D3"/>
            </w:tcBorders>
          </w:tcPr>
          <w:p>
            <w:pPr>
              <w:pStyle w:val="TableParagraph"/>
              <w:spacing w:line="249" w:lineRule="exact" w:before="15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0.8127</w:t>
            </w:r>
          </w:p>
        </w:tc>
      </w:tr>
      <w:tr>
        <w:trPr>
          <w:trHeight w:val="285" w:hRule="atLeast"/>
        </w:trPr>
        <w:tc>
          <w:tcPr>
            <w:tcW w:w="38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dividendandinterestfrominvestment</w:t>
            </w:r>
          </w:p>
        </w:tc>
        <w:tc>
          <w:tcPr>
            <w:tcW w:w="1635" w:type="dxa"/>
            <w:tcBorders>
              <w:top w:val="single" w:sz="6" w:space="0" w:color="D3D3D3"/>
              <w:left w:val="single" w:sz="8" w:space="0" w:color="000000"/>
              <w:bottom w:val="single" w:sz="6" w:space="0" w:color="D3D3D3"/>
            </w:tcBorders>
          </w:tcPr>
          <w:p>
            <w:pPr>
              <w:pStyle w:val="TableParagraph"/>
              <w:spacing w:line="249" w:lineRule="exact" w:before="15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0.8381</w:t>
            </w:r>
          </w:p>
        </w:tc>
      </w:tr>
      <w:tr>
        <w:trPr>
          <w:trHeight w:val="285" w:hRule="atLeast"/>
        </w:trPr>
        <w:tc>
          <w:tcPr>
            <w:tcW w:w="38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incomesfromlandandpropertiesowned</w:t>
            </w:r>
          </w:p>
        </w:tc>
        <w:tc>
          <w:tcPr>
            <w:tcW w:w="1635" w:type="dxa"/>
            <w:tcBorders>
              <w:top w:val="single" w:sz="6" w:space="0" w:color="D3D3D3"/>
              <w:left w:val="single" w:sz="8" w:space="0" w:color="000000"/>
              <w:bottom w:val="single" w:sz="6" w:space="0" w:color="D3D3D3"/>
            </w:tcBorders>
          </w:tcPr>
          <w:p>
            <w:pPr>
              <w:pStyle w:val="TableParagraph"/>
              <w:spacing w:line="249" w:lineRule="exact" w:before="15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0.7948</w:t>
            </w:r>
          </w:p>
        </w:tc>
      </w:tr>
      <w:tr>
        <w:trPr>
          <w:trHeight w:val="285" w:hRule="atLeast"/>
        </w:trPr>
        <w:tc>
          <w:tcPr>
            <w:tcW w:w="3870" w:type="dxa"/>
            <w:tcBorders>
              <w:top w:val="single" w:sz="6" w:space="0" w:color="D3D3D3"/>
              <w:left w:val="single" w:sz="6" w:space="0" w:color="D3D3D3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ginicoefficient</w:t>
            </w:r>
          </w:p>
        </w:tc>
        <w:tc>
          <w:tcPr>
            <w:tcW w:w="1635" w:type="dxa"/>
            <w:tcBorders>
              <w:top w:val="single" w:sz="6" w:space="0" w:color="D3D3D3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 w:before="15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0.8133</w:t>
            </w:r>
          </w:p>
        </w:tc>
      </w:tr>
      <w:tr>
        <w:trPr>
          <w:trHeight w:val="284" w:hRule="atLeast"/>
        </w:trPr>
        <w:tc>
          <w:tcPr>
            <w:tcW w:w="3870" w:type="dxa"/>
            <w:tcBorders>
              <w:top w:val="single" w:sz="6" w:space="0" w:color="000000"/>
              <w:left w:val="single" w:sz="6" w:space="0" w:color="D3D3D3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Test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scale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exact" w:before="15"/>
              <w:ind w:left="5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0.8388</w:t>
            </w:r>
          </w:p>
        </w:tc>
      </w:tr>
    </w:tbl>
    <w:p>
      <w:pPr>
        <w:spacing w:after="0" w:line="249" w:lineRule="exact"/>
        <w:jc w:val="left"/>
        <w:rPr>
          <w:rFonts w:ascii="Calibri"/>
          <w:sz w:val="22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6" w:right="518"/>
        <w:jc w:val="center"/>
      </w:pPr>
      <w:r>
        <w:rPr/>
        <w:t>TABLE</w:t>
      </w:r>
      <w:r>
        <w:rPr>
          <w:spacing w:val="-2"/>
        </w:rPr>
        <w:t> </w:t>
      </w:r>
      <w:r>
        <w:rPr/>
        <w:t>J2:</w:t>
      </w:r>
      <w:r>
        <w:rPr>
          <w:spacing w:val="-2"/>
        </w:rPr>
        <w:t> </w:t>
      </w:r>
      <w:r>
        <w:rPr/>
        <w:t>POLS</w:t>
      </w:r>
      <w:r>
        <w:rPr>
          <w:spacing w:val="-2"/>
        </w:rPr>
        <w:t> </w:t>
      </w:r>
      <w:r>
        <w:rPr/>
        <w:t>REGRESSION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FOR WAVE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3"/>
        <w:gridCol w:w="2462"/>
        <w:gridCol w:w="427"/>
        <w:gridCol w:w="900"/>
      </w:tblGrid>
      <w:tr>
        <w:trPr>
          <w:trHeight w:val="235" w:hRule="atLeast"/>
        </w:trPr>
        <w:tc>
          <w:tcPr>
            <w:tcW w:w="3693" w:type="dxa"/>
          </w:tcPr>
          <w:p>
            <w:pPr>
              <w:pStyle w:val="TableParagraph"/>
              <w:spacing w:before="1"/>
              <w:ind w:left="50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Logistic</w:t>
            </w:r>
            <w:r>
              <w:rPr>
                <w:spacing w:val="72"/>
                <w:sz w:val="18"/>
              </w:rPr>
              <w:t> </w:t>
            </w:r>
            <w:r>
              <w:rPr>
                <w:w w:val="80"/>
                <w:sz w:val="18"/>
              </w:rPr>
              <w:t>regression</w:t>
            </w:r>
          </w:p>
        </w:tc>
        <w:tc>
          <w:tcPr>
            <w:tcW w:w="2462" w:type="dxa"/>
          </w:tcPr>
          <w:p>
            <w:pPr>
              <w:pStyle w:val="TableParagraph"/>
              <w:spacing w:before="1"/>
              <w:ind w:left="109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Number</w:t>
            </w:r>
            <w:r>
              <w:rPr>
                <w:spacing w:val="1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1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obs</w:t>
            </w:r>
          </w:p>
        </w:tc>
        <w:tc>
          <w:tcPr>
            <w:tcW w:w="427" w:type="dxa"/>
          </w:tcPr>
          <w:p>
            <w:pPr>
              <w:pStyle w:val="TableParagraph"/>
              <w:spacing w:before="1"/>
              <w:ind w:right="48"/>
              <w:jc w:val="center"/>
              <w:rPr>
                <w:sz w:val="18"/>
              </w:rPr>
            </w:pPr>
            <w:r>
              <w:rPr>
                <w:w w:val="82"/>
                <w:sz w:val="18"/>
              </w:rPr>
              <w:t>=</w:t>
            </w:r>
          </w:p>
        </w:tc>
        <w:tc>
          <w:tcPr>
            <w:tcW w:w="900" w:type="dxa"/>
          </w:tcPr>
          <w:p>
            <w:pPr>
              <w:pStyle w:val="TableParagraph"/>
              <w:spacing w:before="1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26774</w:t>
            </w:r>
          </w:p>
        </w:tc>
      </w:tr>
      <w:tr>
        <w:trPr>
          <w:trHeight w:val="264" w:hRule="atLeast"/>
        </w:trPr>
        <w:tc>
          <w:tcPr>
            <w:tcW w:w="36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62" w:type="dxa"/>
          </w:tcPr>
          <w:p>
            <w:pPr>
              <w:pStyle w:val="TableParagraph"/>
              <w:spacing w:before="31"/>
              <w:ind w:left="109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LR</w:t>
            </w:r>
            <w:r>
              <w:rPr>
                <w:spacing w:val="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chi2(34)</w:t>
            </w:r>
          </w:p>
        </w:tc>
        <w:tc>
          <w:tcPr>
            <w:tcW w:w="427" w:type="dxa"/>
          </w:tcPr>
          <w:p>
            <w:pPr>
              <w:pStyle w:val="TableParagraph"/>
              <w:spacing w:before="31"/>
              <w:ind w:right="48"/>
              <w:jc w:val="center"/>
              <w:rPr>
                <w:sz w:val="18"/>
              </w:rPr>
            </w:pPr>
            <w:r>
              <w:rPr>
                <w:w w:val="82"/>
                <w:sz w:val="18"/>
              </w:rPr>
              <w:t>=</w:t>
            </w:r>
          </w:p>
        </w:tc>
        <w:tc>
          <w:tcPr>
            <w:tcW w:w="900" w:type="dxa"/>
          </w:tcPr>
          <w:p>
            <w:pPr>
              <w:pStyle w:val="TableParagraph"/>
              <w:spacing w:before="31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7599.41</w:t>
            </w:r>
          </w:p>
        </w:tc>
      </w:tr>
      <w:tr>
        <w:trPr>
          <w:trHeight w:val="264" w:hRule="atLeast"/>
        </w:trPr>
        <w:tc>
          <w:tcPr>
            <w:tcW w:w="36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62" w:type="dxa"/>
          </w:tcPr>
          <w:p>
            <w:pPr>
              <w:pStyle w:val="TableParagraph"/>
              <w:spacing w:before="31"/>
              <w:ind w:left="109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Prob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&gt;</w:t>
            </w:r>
            <w:r>
              <w:rPr>
                <w:spacing w:val="1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chi2</w:t>
            </w:r>
          </w:p>
        </w:tc>
        <w:tc>
          <w:tcPr>
            <w:tcW w:w="427" w:type="dxa"/>
          </w:tcPr>
          <w:p>
            <w:pPr>
              <w:pStyle w:val="TableParagraph"/>
              <w:spacing w:before="31"/>
              <w:ind w:right="48"/>
              <w:jc w:val="center"/>
              <w:rPr>
                <w:sz w:val="18"/>
              </w:rPr>
            </w:pPr>
            <w:r>
              <w:rPr>
                <w:w w:val="82"/>
                <w:sz w:val="18"/>
              </w:rPr>
              <w:t>=</w:t>
            </w:r>
          </w:p>
        </w:tc>
        <w:tc>
          <w:tcPr>
            <w:tcW w:w="900" w:type="dxa"/>
          </w:tcPr>
          <w:p>
            <w:pPr>
              <w:pStyle w:val="TableParagraph"/>
              <w:spacing w:before="31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0.0000</w:t>
            </w:r>
          </w:p>
        </w:tc>
      </w:tr>
      <w:tr>
        <w:trPr>
          <w:trHeight w:val="235" w:hRule="atLeast"/>
        </w:trPr>
        <w:tc>
          <w:tcPr>
            <w:tcW w:w="3693" w:type="dxa"/>
          </w:tcPr>
          <w:p>
            <w:pPr>
              <w:pStyle w:val="TableParagraph"/>
              <w:spacing w:line="184" w:lineRule="exact" w:before="31"/>
              <w:ind w:left="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Log</w:t>
            </w:r>
            <w:r>
              <w:rPr>
                <w:spacing w:val="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likelihood</w:t>
            </w:r>
            <w:r>
              <w:rPr>
                <w:spacing w:val="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=</w:t>
            </w:r>
            <w:r>
              <w:rPr>
                <w:spacing w:val="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-6549.9338</w:t>
            </w:r>
          </w:p>
        </w:tc>
        <w:tc>
          <w:tcPr>
            <w:tcW w:w="2462" w:type="dxa"/>
          </w:tcPr>
          <w:p>
            <w:pPr>
              <w:pStyle w:val="TableParagraph"/>
              <w:spacing w:line="184" w:lineRule="exact" w:before="31"/>
              <w:ind w:left="109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Pseudo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R2</w:t>
            </w:r>
          </w:p>
        </w:tc>
        <w:tc>
          <w:tcPr>
            <w:tcW w:w="427" w:type="dxa"/>
          </w:tcPr>
          <w:p>
            <w:pPr>
              <w:pStyle w:val="TableParagraph"/>
              <w:spacing w:line="184" w:lineRule="exact" w:before="31"/>
              <w:ind w:right="48"/>
              <w:jc w:val="center"/>
              <w:rPr>
                <w:sz w:val="18"/>
              </w:rPr>
            </w:pPr>
            <w:r>
              <w:rPr>
                <w:w w:val="82"/>
                <w:sz w:val="18"/>
              </w:rPr>
              <w:t>=</w:t>
            </w:r>
          </w:p>
        </w:tc>
        <w:tc>
          <w:tcPr>
            <w:tcW w:w="900" w:type="dxa"/>
          </w:tcPr>
          <w:p>
            <w:pPr>
              <w:pStyle w:val="TableParagraph"/>
              <w:spacing w:line="184" w:lineRule="exact" w:before="31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0.3671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5"/>
        </w:r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5"/>
        <w:gridCol w:w="1228"/>
        <w:gridCol w:w="1088"/>
        <w:gridCol w:w="804"/>
        <w:gridCol w:w="803"/>
        <w:gridCol w:w="1277"/>
        <w:gridCol w:w="894"/>
      </w:tblGrid>
      <w:tr>
        <w:trPr>
          <w:trHeight w:val="509" w:hRule="atLeast"/>
        </w:trPr>
        <w:tc>
          <w:tcPr>
            <w:tcW w:w="3165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63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illness</w:t>
            </w:r>
          </w:p>
        </w:tc>
        <w:tc>
          <w:tcPr>
            <w:tcW w:w="1228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3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Coef.</w:t>
            </w:r>
          </w:p>
        </w:tc>
        <w:tc>
          <w:tcPr>
            <w:tcW w:w="1088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3"/>
              <w:ind w:left="153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Std.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Err.</w:t>
            </w:r>
          </w:p>
        </w:tc>
        <w:tc>
          <w:tcPr>
            <w:tcW w:w="804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3"/>
              <w:ind w:left="485"/>
              <w:jc w:val="left"/>
              <w:rPr>
                <w:sz w:val="18"/>
              </w:rPr>
            </w:pPr>
            <w:r>
              <w:rPr>
                <w:w w:val="82"/>
                <w:sz w:val="18"/>
              </w:rPr>
              <w:t>z</w:t>
            </w:r>
          </w:p>
        </w:tc>
        <w:tc>
          <w:tcPr>
            <w:tcW w:w="803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3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P&gt;|z|</w:t>
            </w:r>
          </w:p>
        </w:tc>
        <w:tc>
          <w:tcPr>
            <w:tcW w:w="1277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3"/>
              <w:ind w:left="299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[95%</w:t>
            </w:r>
            <w:r>
              <w:rPr>
                <w:spacing w:val="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Conf.</w:t>
            </w:r>
          </w:p>
        </w:tc>
        <w:tc>
          <w:tcPr>
            <w:tcW w:w="894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3"/>
              <w:ind w:right="-29"/>
              <w:rPr>
                <w:sz w:val="18"/>
              </w:rPr>
            </w:pPr>
            <w:r>
              <w:rPr>
                <w:w w:val="85"/>
                <w:sz w:val="18"/>
              </w:rPr>
              <w:t>Interval]</w:t>
            </w:r>
          </w:p>
        </w:tc>
      </w:tr>
      <w:tr>
        <w:trPr>
          <w:trHeight w:val="396" w:hRule="atLeast"/>
        </w:trPr>
        <w:tc>
          <w:tcPr>
            <w:tcW w:w="3165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63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familysize</w:t>
            </w:r>
          </w:p>
        </w:tc>
        <w:tc>
          <w:tcPr>
            <w:tcW w:w="1228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63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.0856641</w:t>
            </w:r>
          </w:p>
        </w:tc>
        <w:tc>
          <w:tcPr>
            <w:tcW w:w="1088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3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.0394254</w:t>
            </w:r>
          </w:p>
        </w:tc>
        <w:tc>
          <w:tcPr>
            <w:tcW w:w="804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3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2.17</w:t>
            </w:r>
          </w:p>
        </w:tc>
        <w:tc>
          <w:tcPr>
            <w:tcW w:w="803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3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0.030</w:t>
            </w:r>
          </w:p>
        </w:tc>
        <w:tc>
          <w:tcPr>
            <w:tcW w:w="1277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3"/>
              <w:ind w:left="29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.0083917</w:t>
            </w:r>
          </w:p>
        </w:tc>
        <w:tc>
          <w:tcPr>
            <w:tcW w:w="894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3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.1629365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hungerorfood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2.012539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.1210452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16.63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9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1.775295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2.249783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gari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.0951838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.1005603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0.95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0.344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-.1019108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.2922784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rice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-.5244322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.1180646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-4.44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-.7558345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85"/>
                <w:sz w:val="18"/>
              </w:rPr>
              <w:t>-.2930298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yamorcassavaormaizeflour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-.1133033</w:t>
            </w:r>
          </w:p>
        </w:tc>
        <w:tc>
          <w:tcPr>
            <w:tcW w:w="1088" w:type="dxa"/>
          </w:tcPr>
          <w:p>
            <w:pPr>
              <w:pStyle w:val="TableParagraph"/>
              <w:spacing w:before="30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.0635668</w:t>
            </w:r>
          </w:p>
        </w:tc>
        <w:tc>
          <w:tcPr>
            <w:tcW w:w="804" w:type="dxa"/>
          </w:tcPr>
          <w:p>
            <w:pPr>
              <w:pStyle w:val="TableParagraph"/>
              <w:spacing w:before="30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-1.78</w:t>
            </w:r>
          </w:p>
        </w:tc>
        <w:tc>
          <w:tcPr>
            <w:tcW w:w="803" w:type="dxa"/>
          </w:tcPr>
          <w:p>
            <w:pPr>
              <w:pStyle w:val="TableParagraph"/>
              <w:spacing w:before="30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0.075</w:t>
            </w:r>
          </w:p>
        </w:tc>
        <w:tc>
          <w:tcPr>
            <w:tcW w:w="1277" w:type="dxa"/>
          </w:tcPr>
          <w:p>
            <w:pPr>
              <w:pStyle w:val="TableParagraph"/>
              <w:spacing w:before="30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-.2378919</w:t>
            </w:r>
          </w:p>
        </w:tc>
        <w:tc>
          <w:tcPr>
            <w:tcW w:w="894" w:type="dxa"/>
          </w:tcPr>
          <w:p>
            <w:pPr>
              <w:pStyle w:val="TableParagraph"/>
              <w:spacing w:before="30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.0112852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beans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-.2175194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.0680171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-3.20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0.001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-.3508305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85"/>
                <w:sz w:val="18"/>
              </w:rPr>
              <w:t>-.0842083</w:t>
            </w:r>
          </w:p>
        </w:tc>
      </w:tr>
      <w:tr>
        <w:trPr>
          <w:trHeight w:val="265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meatorfish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-1.578343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.1450506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0"/>
                <w:sz w:val="18"/>
              </w:rPr>
              <w:t>-10.88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-1.862637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85"/>
                <w:sz w:val="18"/>
              </w:rPr>
              <w:t>-1.294049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mosquitonetpossession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-.7549626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.1361086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-5.55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9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-1.02173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85"/>
                <w:sz w:val="18"/>
              </w:rPr>
              <w:t>-.4881947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primaryeducation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-.1770249</w:t>
            </w:r>
          </w:p>
        </w:tc>
        <w:tc>
          <w:tcPr>
            <w:tcW w:w="1088" w:type="dxa"/>
          </w:tcPr>
          <w:p>
            <w:pPr>
              <w:pStyle w:val="TableParagraph"/>
              <w:spacing w:before="30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.1407048</w:t>
            </w:r>
          </w:p>
        </w:tc>
        <w:tc>
          <w:tcPr>
            <w:tcW w:w="804" w:type="dxa"/>
          </w:tcPr>
          <w:p>
            <w:pPr>
              <w:pStyle w:val="TableParagraph"/>
              <w:spacing w:before="30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-1.26</w:t>
            </w:r>
          </w:p>
        </w:tc>
        <w:tc>
          <w:tcPr>
            <w:tcW w:w="803" w:type="dxa"/>
          </w:tcPr>
          <w:p>
            <w:pPr>
              <w:pStyle w:val="TableParagraph"/>
              <w:spacing w:before="30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0.208</w:t>
            </w:r>
          </w:p>
        </w:tc>
        <w:tc>
          <w:tcPr>
            <w:tcW w:w="1277" w:type="dxa"/>
          </w:tcPr>
          <w:p>
            <w:pPr>
              <w:pStyle w:val="TableParagraph"/>
              <w:spacing w:before="30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-.4528013</w:t>
            </w:r>
          </w:p>
        </w:tc>
        <w:tc>
          <w:tcPr>
            <w:tcW w:w="894" w:type="dxa"/>
          </w:tcPr>
          <w:p>
            <w:pPr>
              <w:pStyle w:val="TableParagraph"/>
              <w:spacing w:before="30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.0987515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secondaryeducation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-.2593364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.3733423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-0.69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0.487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-.9910738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.472401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highercertificate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-.4123223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.0943718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-4.37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-.5972876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85"/>
                <w:sz w:val="18"/>
              </w:rPr>
              <w:t>-.2273569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nobasiceducation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3.33649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342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.04891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68.22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9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3.240628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3.432352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hadelectricity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-.0103272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.0272455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-0.38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0.705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-.0637274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.043073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noeletricity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-.0432992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.0740473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-0.58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0.559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-.1884293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.1018308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pipebornewater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-.1707384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.0152127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0"/>
                <w:sz w:val="18"/>
              </w:rPr>
              <w:t>-11.22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-.2005547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85"/>
                <w:sz w:val="18"/>
              </w:rPr>
              <w:t>-.1409221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boreholeandwell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-.0184377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.0155279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-1.19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0.235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-.0488719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.0119965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riverandspring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.2859885</w:t>
            </w:r>
          </w:p>
        </w:tc>
        <w:tc>
          <w:tcPr>
            <w:tcW w:w="1088" w:type="dxa"/>
          </w:tcPr>
          <w:p>
            <w:pPr>
              <w:pStyle w:val="TableParagraph"/>
              <w:spacing w:before="30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.0619881</w:t>
            </w:r>
          </w:p>
        </w:tc>
        <w:tc>
          <w:tcPr>
            <w:tcW w:w="804" w:type="dxa"/>
          </w:tcPr>
          <w:p>
            <w:pPr>
              <w:pStyle w:val="TableParagraph"/>
              <w:spacing w:before="30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4.61</w:t>
            </w:r>
          </w:p>
        </w:tc>
        <w:tc>
          <w:tcPr>
            <w:tcW w:w="803" w:type="dxa"/>
          </w:tcPr>
          <w:p>
            <w:pPr>
              <w:pStyle w:val="TableParagraph"/>
              <w:spacing w:before="30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30"/>
              <w:ind w:left="29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.1644941</w:t>
            </w:r>
          </w:p>
        </w:tc>
        <w:tc>
          <w:tcPr>
            <w:tcW w:w="894" w:type="dxa"/>
          </w:tcPr>
          <w:p>
            <w:pPr>
              <w:pStyle w:val="TableParagraph"/>
              <w:spacing w:before="30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.4074828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noaccesstowater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-.0511245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.0942467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-0.54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0.588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-.2358446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.1335957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waterandmoderntoilet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-.4789641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.1909482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-2.51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0.012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-.8532157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85"/>
                <w:sz w:val="18"/>
              </w:rPr>
              <w:t>-.1047126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pitorlatrinetoilet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.0011135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.0020193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0.55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0.581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-.0028442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.0050712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notoiletfacility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.0785146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24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.052448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1.50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0.134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-.0242816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.1813107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alcoholicdrinks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.0474871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.0447313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1.06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0.288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-.0401847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.1351589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selfmedication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.4118958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.1255644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3.28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0.001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9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.1657941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.6579974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seekinghealthcare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-.0401902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.0355481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-1.13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0.258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-.1098631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.0294827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others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-.0879268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.3085775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-0.28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0.776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-.6927276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.5168739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wagesandsalaries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-.1416801</w:t>
            </w:r>
          </w:p>
        </w:tc>
        <w:tc>
          <w:tcPr>
            <w:tcW w:w="1088" w:type="dxa"/>
          </w:tcPr>
          <w:p>
            <w:pPr>
              <w:pStyle w:val="TableParagraph"/>
              <w:spacing w:before="30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.0537297</w:t>
            </w:r>
          </w:p>
        </w:tc>
        <w:tc>
          <w:tcPr>
            <w:tcW w:w="804" w:type="dxa"/>
          </w:tcPr>
          <w:p>
            <w:pPr>
              <w:pStyle w:val="TableParagraph"/>
              <w:spacing w:before="30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-2.64</w:t>
            </w:r>
          </w:p>
        </w:tc>
        <w:tc>
          <w:tcPr>
            <w:tcW w:w="803" w:type="dxa"/>
          </w:tcPr>
          <w:p>
            <w:pPr>
              <w:pStyle w:val="TableParagraph"/>
              <w:spacing w:before="30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0.008</w:t>
            </w:r>
          </w:p>
        </w:tc>
        <w:tc>
          <w:tcPr>
            <w:tcW w:w="1277" w:type="dxa"/>
          </w:tcPr>
          <w:p>
            <w:pPr>
              <w:pStyle w:val="TableParagraph"/>
              <w:spacing w:before="30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-.2469883</w:t>
            </w:r>
          </w:p>
        </w:tc>
        <w:tc>
          <w:tcPr>
            <w:tcW w:w="894" w:type="dxa"/>
          </w:tcPr>
          <w:p>
            <w:pPr>
              <w:pStyle w:val="TableParagraph"/>
              <w:spacing w:before="30"/>
              <w:ind w:right="-29"/>
              <w:rPr>
                <w:sz w:val="18"/>
              </w:rPr>
            </w:pPr>
            <w:r>
              <w:rPr>
                <w:w w:val="85"/>
                <w:sz w:val="18"/>
              </w:rPr>
              <w:t>-.0363718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85"/>
                <w:sz w:val="18"/>
              </w:rPr>
              <w:t>businesstradingandenterprises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-.0290868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.0209566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-1.39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0.165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9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-.070161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.0119873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cropandlivestockincomes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-.1235567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.0550118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-2.25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0.025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-.2313777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85"/>
                <w:sz w:val="18"/>
              </w:rPr>
              <w:t>-.0157356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remittances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.087011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.1631512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0.53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0.594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-.2327594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.4067814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85"/>
                <w:sz w:val="18"/>
              </w:rPr>
              <w:t>monetaryandconditionaltransfers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-.0371118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.0243623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-1.52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0.128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-.0848611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.0106375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pension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-.0993822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.0490462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-2.03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0.043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9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-.195511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85"/>
                <w:sz w:val="18"/>
              </w:rPr>
              <w:t>-.0032533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80"/>
                <w:sz w:val="18"/>
              </w:rPr>
              <w:t>dividendfrominterestandinvestmen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.0010919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.1089768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0.01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0.992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-.2124986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.2146825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80"/>
                <w:sz w:val="18"/>
              </w:rPr>
              <w:t>incomesfromrentandpropertiesowne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-.0351093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.0941826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-0.37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0.709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-.2197038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.1494851</w:t>
            </w:r>
          </w:p>
        </w:tc>
      </w:tr>
      <w:tr>
        <w:trPr>
          <w:trHeight w:val="264" w:hRule="atLeast"/>
        </w:trPr>
        <w:tc>
          <w:tcPr>
            <w:tcW w:w="316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ginicoefficient</w:t>
            </w:r>
          </w:p>
        </w:tc>
        <w:tc>
          <w:tcPr>
            <w:tcW w:w="1228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.3438187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.1540182</w:t>
            </w:r>
          </w:p>
        </w:tc>
        <w:tc>
          <w:tcPr>
            <w:tcW w:w="804" w:type="dxa"/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2.23</w:t>
            </w:r>
          </w:p>
        </w:tc>
        <w:tc>
          <w:tcPr>
            <w:tcW w:w="803" w:type="dxa"/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0.026</w:t>
            </w:r>
          </w:p>
        </w:tc>
        <w:tc>
          <w:tcPr>
            <w:tcW w:w="1277" w:type="dxa"/>
          </w:tcPr>
          <w:p>
            <w:pPr>
              <w:pStyle w:val="TableParagraph"/>
              <w:spacing w:before="31"/>
              <w:ind w:left="29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.0419485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.6456888</w:t>
            </w:r>
          </w:p>
        </w:tc>
      </w:tr>
      <w:tr>
        <w:trPr>
          <w:trHeight w:val="377" w:hRule="atLeast"/>
        </w:trPr>
        <w:tc>
          <w:tcPr>
            <w:tcW w:w="3165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31"/>
              <w:ind w:right="129"/>
              <w:rPr>
                <w:sz w:val="18"/>
              </w:rPr>
            </w:pPr>
            <w:r>
              <w:rPr>
                <w:w w:val="95"/>
                <w:sz w:val="18"/>
              </w:rPr>
              <w:t>_cons</w:t>
            </w:r>
          </w:p>
        </w:tc>
        <w:tc>
          <w:tcPr>
            <w:tcW w:w="1228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1.081837</w:t>
            </w:r>
          </w:p>
        </w:tc>
        <w:tc>
          <w:tcPr>
            <w:tcW w:w="1088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.5934495</w:t>
            </w:r>
          </w:p>
        </w:tc>
        <w:tc>
          <w:tcPr>
            <w:tcW w:w="804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right="132"/>
              <w:rPr>
                <w:sz w:val="18"/>
              </w:rPr>
            </w:pPr>
            <w:r>
              <w:rPr>
                <w:w w:val="95"/>
                <w:sz w:val="18"/>
              </w:rPr>
              <w:t>1.82</w:t>
            </w:r>
          </w:p>
        </w:tc>
        <w:tc>
          <w:tcPr>
            <w:tcW w:w="803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left="11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0.068</w:t>
            </w:r>
          </w:p>
        </w:tc>
        <w:tc>
          <w:tcPr>
            <w:tcW w:w="1277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left="20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-.0813022</w:t>
            </w:r>
          </w:p>
        </w:tc>
        <w:tc>
          <w:tcPr>
            <w:tcW w:w="894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1"/>
              <w:ind w:right="-29"/>
              <w:rPr>
                <w:sz w:val="18"/>
              </w:rPr>
            </w:pPr>
            <w:r>
              <w:rPr>
                <w:w w:val="95"/>
                <w:sz w:val="18"/>
              </w:rPr>
              <w:t>2.244977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243" w:right="562"/>
        <w:jc w:val="center"/>
      </w:pPr>
      <w:r>
        <w:rPr/>
        <w:t>TABLE</w:t>
      </w:r>
      <w:r>
        <w:rPr>
          <w:spacing w:val="-2"/>
        </w:rPr>
        <w:t> </w:t>
      </w:r>
      <w:r>
        <w:rPr/>
        <w:t>J3:</w:t>
      </w:r>
      <w:r>
        <w:rPr>
          <w:spacing w:val="-2"/>
        </w:rPr>
        <w:t> </w:t>
      </w:r>
      <w:r>
        <w:rPr/>
        <w:t>FIXED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MODEL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WAVE</w:t>
      </w:r>
      <w:r>
        <w:rPr>
          <w:spacing w:val="5"/>
        </w:rPr>
        <w:t> </w:t>
      </w:r>
      <w:r>
        <w:rPr/>
        <w:t>III</w:t>
      </w: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492"/>
        <w:gridCol w:w="197"/>
        <w:gridCol w:w="2361"/>
        <w:gridCol w:w="1082"/>
        <w:gridCol w:w="394"/>
        <w:gridCol w:w="689"/>
        <w:gridCol w:w="394"/>
        <w:gridCol w:w="345"/>
        <w:gridCol w:w="835"/>
      </w:tblGrid>
      <w:tr>
        <w:trPr>
          <w:trHeight w:val="194" w:hRule="atLeast"/>
        </w:trPr>
        <w:tc>
          <w:tcPr>
            <w:tcW w:w="4032" w:type="dxa"/>
            <w:gridSpan w:val="4"/>
          </w:tcPr>
          <w:p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Fixed-effects</w:t>
            </w:r>
            <w:r>
              <w:rPr>
                <w:spacing w:val="4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(within)</w:t>
            </w:r>
            <w:r>
              <w:rPr>
                <w:spacing w:val="4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regression</w:t>
            </w:r>
          </w:p>
        </w:tc>
        <w:tc>
          <w:tcPr>
            <w:tcW w:w="2559" w:type="dxa"/>
            <w:gridSpan w:val="4"/>
          </w:tcPr>
          <w:p>
            <w:pPr>
              <w:pStyle w:val="TableParagraph"/>
              <w:ind w:left="738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Number</w:t>
            </w:r>
            <w:r>
              <w:rPr>
                <w:spacing w:val="16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of</w:t>
            </w:r>
            <w:r>
              <w:rPr>
                <w:spacing w:val="18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obs</w:t>
            </w:r>
          </w:p>
        </w:tc>
        <w:tc>
          <w:tcPr>
            <w:tcW w:w="345" w:type="dxa"/>
          </w:tcPr>
          <w:p>
            <w:pPr>
              <w:pStyle w:val="TableParagraph"/>
              <w:ind w:left="47"/>
              <w:jc w:val="left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ind w:right="54"/>
              <w:rPr>
                <w:sz w:val="15"/>
              </w:rPr>
            </w:pPr>
            <w:r>
              <w:rPr>
                <w:w w:val="105"/>
                <w:sz w:val="15"/>
              </w:rPr>
              <w:t>26774</w:t>
            </w:r>
          </w:p>
        </w:tc>
      </w:tr>
      <w:tr>
        <w:trPr>
          <w:trHeight w:val="194" w:hRule="atLeast"/>
        </w:trPr>
        <w:tc>
          <w:tcPr>
            <w:tcW w:w="4032" w:type="dxa"/>
            <w:gridSpan w:val="4"/>
          </w:tcPr>
          <w:p>
            <w:pPr>
              <w:pStyle w:val="TableParagraph"/>
              <w:spacing w:line="150" w:lineRule="exact" w:before="24"/>
              <w:ind w:left="5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Group</w:t>
            </w:r>
            <w:r>
              <w:rPr>
                <w:spacing w:val="28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variable:</w:t>
            </w:r>
            <w:r>
              <w:rPr>
                <w:spacing w:val="28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state</w:t>
            </w:r>
          </w:p>
        </w:tc>
        <w:tc>
          <w:tcPr>
            <w:tcW w:w="2559" w:type="dxa"/>
            <w:gridSpan w:val="4"/>
          </w:tcPr>
          <w:p>
            <w:pPr>
              <w:pStyle w:val="TableParagraph"/>
              <w:spacing w:line="150" w:lineRule="exact" w:before="24"/>
              <w:ind w:left="738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Number</w:t>
            </w:r>
            <w:r>
              <w:rPr>
                <w:spacing w:val="2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of</w:t>
            </w:r>
            <w:r>
              <w:rPr>
                <w:spacing w:val="22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groups</w:t>
            </w:r>
          </w:p>
        </w:tc>
        <w:tc>
          <w:tcPr>
            <w:tcW w:w="345" w:type="dxa"/>
          </w:tcPr>
          <w:p>
            <w:pPr>
              <w:pStyle w:val="TableParagraph"/>
              <w:spacing w:line="150" w:lineRule="exact" w:before="24"/>
              <w:ind w:left="47"/>
              <w:jc w:val="left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spacing w:line="150" w:lineRule="exact" w:before="24"/>
              <w:ind w:right="54"/>
              <w:rPr>
                <w:sz w:val="15"/>
              </w:rPr>
            </w:pPr>
            <w:r>
              <w:rPr>
                <w:w w:val="105"/>
                <w:sz w:val="15"/>
              </w:rPr>
              <w:t>37</w:t>
            </w:r>
          </w:p>
        </w:tc>
      </w:tr>
      <w:tr>
        <w:trPr>
          <w:trHeight w:val="462" w:hRule="atLeast"/>
        </w:trPr>
        <w:tc>
          <w:tcPr>
            <w:tcW w:w="1474" w:type="dxa"/>
            <w:gridSpan w:val="2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R-sq: </w:t>
            </w:r>
            <w:r>
              <w:rPr>
                <w:spacing w:val="3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within</w:t>
            </w:r>
          </w:p>
        </w:tc>
        <w:tc>
          <w:tcPr>
            <w:tcW w:w="197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2361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5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0.3469</w:t>
            </w:r>
          </w:p>
        </w:tc>
        <w:tc>
          <w:tcPr>
            <w:tcW w:w="1082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52"/>
              <w:rPr>
                <w:sz w:val="15"/>
              </w:rPr>
            </w:pPr>
            <w:r>
              <w:rPr>
                <w:w w:val="105"/>
                <w:sz w:val="15"/>
              </w:rPr>
              <w:t>Obs</w:t>
            </w:r>
          </w:p>
        </w:tc>
        <w:tc>
          <w:tcPr>
            <w:tcW w:w="394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per</w:t>
            </w:r>
          </w:p>
        </w:tc>
        <w:tc>
          <w:tcPr>
            <w:tcW w:w="689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8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group:</w:t>
            </w:r>
          </w:p>
        </w:tc>
        <w:tc>
          <w:tcPr>
            <w:tcW w:w="394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54"/>
              <w:rPr>
                <w:sz w:val="15"/>
              </w:rPr>
            </w:pPr>
            <w:r>
              <w:rPr>
                <w:w w:val="105"/>
                <w:sz w:val="15"/>
              </w:rPr>
              <w:t>min</w:t>
            </w:r>
          </w:p>
        </w:tc>
        <w:tc>
          <w:tcPr>
            <w:tcW w:w="345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7"/>
              <w:jc w:val="left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54"/>
              <w:rPr>
                <w:sz w:val="15"/>
              </w:rPr>
            </w:pPr>
            <w:r>
              <w:rPr>
                <w:w w:val="102"/>
                <w:sz w:val="15"/>
              </w:rPr>
              <w:t>6</w:t>
            </w:r>
          </w:p>
        </w:tc>
      </w:tr>
      <w:tr>
        <w:trPr>
          <w:trHeight w:val="219" w:hRule="atLeast"/>
        </w:trPr>
        <w:tc>
          <w:tcPr>
            <w:tcW w:w="1474" w:type="dxa"/>
            <w:gridSpan w:val="2"/>
          </w:tcPr>
          <w:p>
            <w:pPr>
              <w:pStyle w:val="TableParagraph"/>
              <w:spacing w:before="24"/>
              <w:ind w:left="738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between</w:t>
            </w:r>
          </w:p>
        </w:tc>
        <w:tc>
          <w:tcPr>
            <w:tcW w:w="197" w:type="dxa"/>
          </w:tcPr>
          <w:p>
            <w:pPr>
              <w:pStyle w:val="TableParagraph"/>
              <w:spacing w:before="24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2361" w:type="dxa"/>
          </w:tcPr>
          <w:p>
            <w:pPr>
              <w:pStyle w:val="TableParagraph"/>
              <w:spacing w:before="24"/>
              <w:ind w:left="5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0.3132</w:t>
            </w:r>
          </w:p>
        </w:tc>
        <w:tc>
          <w:tcPr>
            <w:tcW w:w="108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before="24"/>
              <w:ind w:right="54"/>
              <w:rPr>
                <w:sz w:val="15"/>
              </w:rPr>
            </w:pPr>
            <w:r>
              <w:rPr>
                <w:w w:val="105"/>
                <w:sz w:val="15"/>
              </w:rPr>
              <w:t>avg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7"/>
              <w:jc w:val="left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spacing w:before="24"/>
              <w:ind w:right="54"/>
              <w:rPr>
                <w:sz w:val="15"/>
              </w:rPr>
            </w:pPr>
            <w:r>
              <w:rPr>
                <w:w w:val="105"/>
                <w:sz w:val="15"/>
              </w:rPr>
              <w:t>723.6</w:t>
            </w:r>
          </w:p>
        </w:tc>
      </w:tr>
      <w:tr>
        <w:trPr>
          <w:trHeight w:val="195" w:hRule="atLeast"/>
        </w:trPr>
        <w:tc>
          <w:tcPr>
            <w:tcW w:w="1474" w:type="dxa"/>
            <w:gridSpan w:val="2"/>
          </w:tcPr>
          <w:p>
            <w:pPr>
              <w:pStyle w:val="TableParagraph"/>
              <w:spacing w:line="150" w:lineRule="exact" w:before="25"/>
              <w:ind w:left="738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overall</w:t>
            </w:r>
          </w:p>
        </w:tc>
        <w:tc>
          <w:tcPr>
            <w:tcW w:w="197" w:type="dxa"/>
          </w:tcPr>
          <w:p>
            <w:pPr>
              <w:pStyle w:val="TableParagraph"/>
              <w:spacing w:line="150" w:lineRule="exact" w:before="25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2361" w:type="dxa"/>
          </w:tcPr>
          <w:p>
            <w:pPr>
              <w:pStyle w:val="TableParagraph"/>
              <w:spacing w:line="150" w:lineRule="exact" w:before="25"/>
              <w:ind w:left="5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0.3478</w:t>
            </w:r>
          </w:p>
        </w:tc>
        <w:tc>
          <w:tcPr>
            <w:tcW w:w="108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line="150" w:lineRule="exact" w:before="25"/>
              <w:ind w:right="54"/>
              <w:rPr>
                <w:sz w:val="15"/>
              </w:rPr>
            </w:pPr>
            <w:r>
              <w:rPr>
                <w:w w:val="105"/>
                <w:sz w:val="15"/>
              </w:rPr>
              <w:t>max</w:t>
            </w:r>
          </w:p>
        </w:tc>
        <w:tc>
          <w:tcPr>
            <w:tcW w:w="345" w:type="dxa"/>
          </w:tcPr>
          <w:p>
            <w:pPr>
              <w:pStyle w:val="TableParagraph"/>
              <w:spacing w:line="150" w:lineRule="exact" w:before="25"/>
              <w:ind w:left="47"/>
              <w:jc w:val="left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spacing w:line="150" w:lineRule="exact" w:before="25"/>
              <w:ind w:right="54"/>
              <w:rPr>
                <w:sz w:val="15"/>
              </w:rPr>
            </w:pPr>
            <w:r>
              <w:rPr>
                <w:w w:val="105"/>
                <w:sz w:val="15"/>
              </w:rPr>
              <w:t>1367</w:t>
            </w:r>
          </w:p>
        </w:tc>
      </w:tr>
      <w:tr>
        <w:trPr>
          <w:trHeight w:val="462" w:hRule="atLeast"/>
        </w:trPr>
        <w:tc>
          <w:tcPr>
            <w:tcW w:w="98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65" w:type="dxa"/>
            <w:gridSpan w:val="3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738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F(34,26703)</w:t>
            </w:r>
          </w:p>
        </w:tc>
        <w:tc>
          <w:tcPr>
            <w:tcW w:w="739" w:type="dxa"/>
            <w:gridSpan w:val="2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41"/>
              <w:jc w:val="left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54"/>
              <w:rPr>
                <w:sz w:val="15"/>
              </w:rPr>
            </w:pPr>
            <w:r>
              <w:rPr>
                <w:w w:val="105"/>
                <w:sz w:val="15"/>
              </w:rPr>
              <w:t>417.16</w:t>
            </w:r>
          </w:p>
        </w:tc>
      </w:tr>
      <w:tr>
        <w:trPr>
          <w:trHeight w:val="194" w:hRule="atLeast"/>
        </w:trPr>
        <w:tc>
          <w:tcPr>
            <w:tcW w:w="982" w:type="dxa"/>
          </w:tcPr>
          <w:p>
            <w:pPr>
              <w:pStyle w:val="TableParagraph"/>
              <w:spacing w:line="150" w:lineRule="exact" w:before="24"/>
              <w:ind w:left="5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corr(u_i,</w:t>
            </w:r>
          </w:p>
        </w:tc>
        <w:tc>
          <w:tcPr>
            <w:tcW w:w="492" w:type="dxa"/>
          </w:tcPr>
          <w:p>
            <w:pPr>
              <w:pStyle w:val="TableParagraph"/>
              <w:spacing w:line="150" w:lineRule="exact" w:before="24"/>
              <w:ind w:left="5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Xb)</w:t>
            </w:r>
          </w:p>
        </w:tc>
        <w:tc>
          <w:tcPr>
            <w:tcW w:w="197" w:type="dxa"/>
          </w:tcPr>
          <w:p>
            <w:pPr>
              <w:pStyle w:val="TableParagraph"/>
              <w:spacing w:line="150" w:lineRule="exact" w:before="24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2361" w:type="dxa"/>
          </w:tcPr>
          <w:p>
            <w:pPr>
              <w:pStyle w:val="TableParagraph"/>
              <w:spacing w:line="150" w:lineRule="exact" w:before="24"/>
              <w:ind w:left="5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-0.0400</w:t>
            </w:r>
          </w:p>
        </w:tc>
        <w:tc>
          <w:tcPr>
            <w:tcW w:w="2165" w:type="dxa"/>
            <w:gridSpan w:val="3"/>
          </w:tcPr>
          <w:p>
            <w:pPr>
              <w:pStyle w:val="TableParagraph"/>
              <w:spacing w:line="150" w:lineRule="exact" w:before="24"/>
              <w:ind w:left="738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Prob</w:t>
            </w:r>
            <w:r>
              <w:rPr>
                <w:spacing w:val="11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&gt;</w:t>
            </w:r>
            <w:r>
              <w:rPr>
                <w:spacing w:val="1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F</w:t>
            </w:r>
          </w:p>
        </w:tc>
        <w:tc>
          <w:tcPr>
            <w:tcW w:w="739" w:type="dxa"/>
            <w:gridSpan w:val="2"/>
          </w:tcPr>
          <w:p>
            <w:pPr>
              <w:pStyle w:val="TableParagraph"/>
              <w:spacing w:line="150" w:lineRule="exact" w:before="24"/>
              <w:ind w:left="441"/>
              <w:jc w:val="left"/>
              <w:rPr>
                <w:sz w:val="15"/>
              </w:rPr>
            </w:pPr>
            <w:r>
              <w:rPr>
                <w:w w:val="102"/>
                <w:sz w:val="15"/>
              </w:rPr>
              <w:t>=</w:t>
            </w:r>
          </w:p>
        </w:tc>
        <w:tc>
          <w:tcPr>
            <w:tcW w:w="835" w:type="dxa"/>
          </w:tcPr>
          <w:p>
            <w:pPr>
              <w:pStyle w:val="TableParagraph"/>
              <w:spacing w:line="150" w:lineRule="exact" w:before="24"/>
              <w:ind w:right="54"/>
              <w:rPr>
                <w:sz w:val="15"/>
              </w:rPr>
            </w:pPr>
            <w:r>
              <w:rPr>
                <w:w w:val="105"/>
                <w:sz w:val="15"/>
              </w:rPr>
              <w:t>0.0000</w:t>
            </w:r>
          </w:p>
        </w:tc>
      </w:tr>
    </w:tbl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7"/>
        <w:gridCol w:w="1275"/>
        <w:gridCol w:w="2654"/>
        <w:gridCol w:w="294"/>
        <w:gridCol w:w="1179"/>
        <w:gridCol w:w="929"/>
      </w:tblGrid>
      <w:tr>
        <w:trPr>
          <w:trHeight w:val="422" w:hRule="atLeast"/>
        </w:trPr>
        <w:tc>
          <w:tcPr>
            <w:tcW w:w="3287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illness</w:t>
            </w:r>
          </w:p>
        </w:tc>
        <w:tc>
          <w:tcPr>
            <w:tcW w:w="1275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Coef.</w:t>
            </w:r>
          </w:p>
        </w:tc>
        <w:tc>
          <w:tcPr>
            <w:tcW w:w="2654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tabs>
                <w:tab w:pos="1474" w:val="left" w:leader="none"/>
                <w:tab w:pos="1966" w:val="left" w:leader="none"/>
              </w:tabs>
              <w:spacing w:before="13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Std.</w:t>
            </w:r>
            <w:r>
              <w:rPr>
                <w:spacing w:val="1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Err.</w:t>
              <w:tab/>
              <w:t>t</w:t>
              <w:tab/>
              <w:t>P&gt;|t|</w:t>
            </w:r>
          </w:p>
        </w:tc>
        <w:tc>
          <w:tcPr>
            <w:tcW w:w="294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4"/>
              <w:ind w:left="16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[95%</w:t>
            </w:r>
            <w:r>
              <w:rPr>
                <w:spacing w:val="22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Conf.</w:t>
            </w:r>
          </w:p>
        </w:tc>
        <w:tc>
          <w:tcPr>
            <w:tcW w:w="929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3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Interval]</w:t>
            </w:r>
          </w:p>
        </w:tc>
      </w:tr>
      <w:tr>
        <w:trPr>
          <w:trHeight w:val="329" w:hRule="atLeast"/>
        </w:trPr>
        <w:tc>
          <w:tcPr>
            <w:tcW w:w="3287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5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familysize</w:t>
            </w:r>
          </w:p>
        </w:tc>
        <w:tc>
          <w:tcPr>
            <w:tcW w:w="1275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35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.0046326</w:t>
            </w:r>
          </w:p>
        </w:tc>
        <w:tc>
          <w:tcPr>
            <w:tcW w:w="2654" w:type="dxa"/>
            <w:tcBorders>
              <w:top w:val="dashSmallGap" w:sz="6" w:space="0" w:color="000000"/>
            </w:tcBorders>
          </w:tcPr>
          <w:p>
            <w:pPr>
              <w:pStyle w:val="TableParagraph"/>
              <w:tabs>
                <w:tab w:pos="1278" w:val="left" w:leader="none"/>
                <w:tab w:pos="1966" w:val="left" w:leader="none"/>
              </w:tabs>
              <w:spacing w:before="135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.0028336</w:t>
              <w:tab/>
              <w:t>1.63</w:t>
              <w:tab/>
              <w:t>0.102</w:t>
            </w:r>
          </w:p>
        </w:tc>
        <w:tc>
          <w:tcPr>
            <w:tcW w:w="294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5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-.0009214</w:t>
            </w:r>
          </w:p>
        </w:tc>
        <w:tc>
          <w:tcPr>
            <w:tcW w:w="929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35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.0101865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hungerorfood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.2761334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.0116681</w:t>
              <w:tab/>
              <w:t>23.67</w:t>
              <w:tab/>
              <w:t>0.000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16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.2532633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.2990034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gari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-.003617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.0075719</w:t>
              <w:tab/>
              <w:t>-0.48</w:t>
              <w:tab/>
              <w:t>0.633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-.0184582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.0112243</w:t>
            </w:r>
          </w:p>
        </w:tc>
      </w:tr>
      <w:tr>
        <w:trPr>
          <w:trHeight w:val="219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rice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-.0457531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.0100379</w:t>
              <w:tab/>
              <w:t>-4.56</w:t>
              <w:tab/>
              <w:t>0.000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-.0654279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-.0260783</w:t>
            </w:r>
          </w:p>
        </w:tc>
      </w:tr>
      <w:tr>
        <w:trPr>
          <w:trHeight w:val="219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yamorcassavaormaizeflour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-.0077489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5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.0046348</w:t>
              <w:tab/>
              <w:t>-1.67</w:t>
              <w:tab/>
              <w:t>0.095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5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-.0168333</w:t>
            </w:r>
          </w:p>
        </w:tc>
        <w:tc>
          <w:tcPr>
            <w:tcW w:w="929" w:type="dxa"/>
          </w:tcPr>
          <w:p>
            <w:pPr>
              <w:pStyle w:val="TableParagraph"/>
              <w:spacing w:before="25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.0013355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beans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-.0156073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081" w:val="left" w:leader="none"/>
                <w:tab w:pos="1868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.005239</w:t>
              <w:tab/>
              <w:t>-2.98</w:t>
              <w:tab/>
              <w:t>0.003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16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-.025876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-.0053385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meatorfish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-.1508555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081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.0113616</w:t>
              <w:tab/>
              <w:t>-13.28</w:t>
              <w:tab/>
              <w:t>0.000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-.1731247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-.1285862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mosquitonetpossession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-.0955178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081" w:val="left" w:leader="none"/>
                <w:tab w:pos="1868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.012335</w:t>
              <w:tab/>
              <w:t>-7.74</w:t>
              <w:tab/>
              <w:t>0.000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16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-.119695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-.0713406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primaryeducation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-.0363731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.0126213</w:t>
              <w:tab/>
              <w:t>-2.88</w:t>
              <w:tab/>
              <w:t>0.004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-.0611115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-.0116347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secondaryeducation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.0051986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868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.028958</w:t>
              <w:tab/>
              <w:t>0.18</w:t>
              <w:tab/>
              <w:t>0.858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-.0515606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.0619578</w:t>
            </w:r>
          </w:p>
        </w:tc>
      </w:tr>
      <w:tr>
        <w:trPr>
          <w:trHeight w:val="219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highercertificate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-.065758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081" w:val="left" w:leader="none"/>
                <w:tab w:pos="1868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.008992</w:t>
              <w:tab/>
              <w:t>-7.31</w:t>
              <w:tab/>
              <w:t>0.000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-.0833829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-.0481331</w:t>
            </w:r>
          </w:p>
        </w:tc>
      </w:tr>
      <w:tr>
        <w:trPr>
          <w:trHeight w:val="219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nobasiceducation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.4523943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081" w:val="left" w:leader="none"/>
                <w:tab w:pos="1966" w:val="left" w:leader="none"/>
              </w:tabs>
              <w:spacing w:before="25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.0043927</w:t>
              <w:tab/>
              <w:t>102.99</w:t>
              <w:tab/>
              <w:t>0.000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5"/>
              <w:ind w:left="16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.4437843</w:t>
            </w:r>
          </w:p>
        </w:tc>
        <w:tc>
          <w:tcPr>
            <w:tcW w:w="929" w:type="dxa"/>
          </w:tcPr>
          <w:p>
            <w:pPr>
              <w:pStyle w:val="TableParagraph"/>
              <w:spacing w:before="25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.4610043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hadelectricity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-.0011514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.0019398</w:t>
              <w:tab/>
              <w:t>-0.59</w:t>
              <w:tab/>
              <w:t>0.553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-.0049535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.0026508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noeletricity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.0086349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278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.0055902</w:t>
              <w:tab/>
              <w:t>1.54</w:t>
              <w:tab/>
              <w:t>0.122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-.0023221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.019592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pipebornewater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-.0130772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081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.0012023</w:t>
              <w:tab/>
              <w:t>-10.88</w:t>
              <w:tab/>
              <w:t>0.000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-.0154337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-.0107206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boreholeandwell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-.0020066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.0011679</w:t>
              <w:tab/>
              <w:t>-1.72</w:t>
              <w:tab/>
              <w:t>0.086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-.0042959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.0002826</w:t>
            </w:r>
          </w:p>
        </w:tc>
      </w:tr>
      <w:tr>
        <w:trPr>
          <w:trHeight w:val="219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riverandspring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.0201492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278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.0045637</w:t>
              <w:tab/>
              <w:t>4.42</w:t>
              <w:tab/>
              <w:t>0.000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16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.0112041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.0290944</w:t>
            </w:r>
          </w:p>
        </w:tc>
      </w:tr>
      <w:tr>
        <w:trPr>
          <w:trHeight w:val="219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noaccesstowater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.0048841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278" w:val="left" w:leader="none"/>
                <w:tab w:pos="1966" w:val="left" w:leader="none"/>
              </w:tabs>
              <w:spacing w:before="25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.0070106</w:t>
              <w:tab/>
              <w:t>0.70</w:t>
              <w:tab/>
              <w:t>0.486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5"/>
              <w:ind w:left="16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-.008857</w:t>
            </w:r>
          </w:p>
        </w:tc>
        <w:tc>
          <w:tcPr>
            <w:tcW w:w="929" w:type="dxa"/>
          </w:tcPr>
          <w:p>
            <w:pPr>
              <w:pStyle w:val="TableParagraph"/>
              <w:spacing w:before="25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.0186252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waterandmoderntoilet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-.0110709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.0196354</w:t>
              <w:tab/>
              <w:t>-0.56</w:t>
              <w:tab/>
              <w:t>0.573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-.0495572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.0274155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pitorlatrinetoilet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.0001187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278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.0001573</w:t>
              <w:tab/>
              <w:t>0.75</w:t>
              <w:tab/>
              <w:t>0.450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-.0001896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.0004271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notoiletfacility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.0077865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081" w:val="left" w:leader="none"/>
                <w:tab w:pos="1770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.00393</w:t>
              <w:tab/>
              <w:t>1.98</w:t>
              <w:tab/>
              <w:t>0.048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16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.0000835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.0154896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alcoholicdrinks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.0045465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278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.0034537</w:t>
              <w:tab/>
              <w:t>1.32</w:t>
              <w:tab/>
              <w:t>0.188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-.0022229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.0113159</w:t>
            </w:r>
          </w:p>
        </w:tc>
      </w:tr>
      <w:tr>
        <w:trPr>
          <w:trHeight w:val="219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selfmedication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.0037677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278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.0161575</w:t>
              <w:tab/>
              <w:t>0.23</w:t>
              <w:tab/>
              <w:t>0.816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-.0279019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.0354372</w:t>
            </w:r>
          </w:p>
        </w:tc>
      </w:tr>
      <w:tr>
        <w:trPr>
          <w:trHeight w:val="219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seekinghealthcare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-.0050197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5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.0026769</w:t>
              <w:tab/>
              <w:t>-1.88</w:t>
              <w:tab/>
              <w:t>0.061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5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-.0102666</w:t>
            </w:r>
          </w:p>
        </w:tc>
        <w:tc>
          <w:tcPr>
            <w:tcW w:w="929" w:type="dxa"/>
          </w:tcPr>
          <w:p>
            <w:pPr>
              <w:pStyle w:val="TableParagraph"/>
              <w:spacing w:before="25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.0002271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others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-.0051327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.0208027</w:t>
              <w:tab/>
              <w:t>-0.25</w:t>
              <w:tab/>
              <w:t>0.805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-.0459071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.0356417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wagesandsalaries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-.0084856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.0039803</w:t>
              <w:tab/>
              <w:t>-2.13</w:t>
              <w:tab/>
              <w:t>0.033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-.0162872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-.0006839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businesstradingandenterprises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-.002475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.0014822</w:t>
              <w:tab/>
              <w:t>-1.67</w:t>
              <w:tab/>
              <w:t>0.095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-.0053802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.0004302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cropandlivestockincomes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-.0093921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.0040519</w:t>
              <w:tab/>
              <w:t>-2.32</w:t>
              <w:tab/>
              <w:t>0.020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16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-.017334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-.0014502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remittances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.0037569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868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.012139</w:t>
              <w:tab/>
              <w:t>0.31</w:t>
              <w:tab/>
              <w:t>0.757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-.0200362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.0275501</w:t>
            </w:r>
          </w:p>
        </w:tc>
      </w:tr>
      <w:tr>
        <w:trPr>
          <w:trHeight w:val="219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monetaryandconditionaltransfers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-.0025638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.0017405</w:t>
              <w:tab/>
              <w:t>-1.47</w:t>
              <w:tab/>
              <w:t>0.141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-.0059753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.0008476</w:t>
            </w:r>
          </w:p>
        </w:tc>
      </w:tr>
      <w:tr>
        <w:trPr>
          <w:trHeight w:val="219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5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pension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5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-.0024933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5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.0039634</w:t>
              <w:tab/>
              <w:t>-0.63</w:t>
              <w:tab/>
              <w:t>0.529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5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-.0102618</w:t>
            </w:r>
          </w:p>
        </w:tc>
        <w:tc>
          <w:tcPr>
            <w:tcW w:w="929" w:type="dxa"/>
          </w:tcPr>
          <w:p>
            <w:pPr>
              <w:pStyle w:val="TableParagraph"/>
              <w:spacing w:before="25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.0052752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sz w:val="15"/>
              </w:rPr>
              <w:t>dividendfrominterestandinvestmen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-.0051712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.0103478</w:t>
              <w:tab/>
              <w:t>-0.50</w:t>
              <w:tab/>
              <w:t>0.617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-.0254534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.0151111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sz w:val="15"/>
              </w:rPr>
              <w:t>incomesfromrentandpropertiesowne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-.0023942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179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.0114555</w:t>
              <w:tab/>
              <w:t>-0.21</w:t>
              <w:tab/>
              <w:t>0.834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-.0248476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.0200591</w:t>
            </w: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ginicoefficient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.0264401</w:t>
            </w:r>
          </w:p>
        </w:tc>
        <w:tc>
          <w:tcPr>
            <w:tcW w:w="2654" w:type="dxa"/>
          </w:tcPr>
          <w:p>
            <w:pPr>
              <w:pStyle w:val="TableParagraph"/>
              <w:tabs>
                <w:tab w:pos="1278" w:val="left" w:leader="none"/>
                <w:tab w:pos="1966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.0134898</w:t>
              <w:tab/>
              <w:t>1.96</w:t>
              <w:tab/>
              <w:t>0.050</w:t>
            </w: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-5.93e-07</w:t>
            </w:r>
          </w:p>
        </w:tc>
        <w:tc>
          <w:tcPr>
            <w:tcW w:w="929" w:type="dxa"/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.0528807</w:t>
            </w:r>
          </w:p>
        </w:tc>
      </w:tr>
      <w:tr>
        <w:trPr>
          <w:trHeight w:val="313" w:hRule="atLeast"/>
        </w:trPr>
        <w:tc>
          <w:tcPr>
            <w:tcW w:w="3287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_cons</w:t>
            </w:r>
          </w:p>
        </w:tc>
        <w:tc>
          <w:tcPr>
            <w:tcW w:w="1275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.449631</w:t>
            </w:r>
          </w:p>
        </w:tc>
        <w:tc>
          <w:tcPr>
            <w:tcW w:w="2654" w:type="dxa"/>
            <w:tcBorders>
              <w:bottom w:val="dashSmallGap" w:sz="6" w:space="0" w:color="000000"/>
            </w:tcBorders>
          </w:tcPr>
          <w:p>
            <w:pPr>
              <w:pStyle w:val="TableParagraph"/>
              <w:tabs>
                <w:tab w:pos="1081" w:val="left" w:leader="none"/>
                <w:tab w:pos="1770" w:val="left" w:leader="none"/>
              </w:tabs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.04578</w:t>
              <w:tab/>
              <w:t>9.82</w:t>
              <w:tab/>
              <w:t>0.000</w:t>
            </w:r>
          </w:p>
        </w:tc>
        <w:tc>
          <w:tcPr>
            <w:tcW w:w="294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left="16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.3598999</w:t>
            </w:r>
          </w:p>
        </w:tc>
        <w:tc>
          <w:tcPr>
            <w:tcW w:w="929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.5393621</w:t>
            </w:r>
          </w:p>
        </w:tc>
      </w:tr>
      <w:tr>
        <w:trPr>
          <w:trHeight w:val="328" w:hRule="atLeast"/>
        </w:trPr>
        <w:tc>
          <w:tcPr>
            <w:tcW w:w="3287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3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sigma_u</w:t>
            </w:r>
          </w:p>
        </w:tc>
        <w:tc>
          <w:tcPr>
            <w:tcW w:w="1275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3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.04611648</w:t>
            </w:r>
          </w:p>
        </w:tc>
        <w:tc>
          <w:tcPr>
            <w:tcW w:w="2654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4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29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32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sigma_e</w:t>
            </w:r>
          </w:p>
        </w:tc>
        <w:tc>
          <w:tcPr>
            <w:tcW w:w="127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.26940088</w:t>
            </w:r>
          </w:p>
        </w:tc>
        <w:tc>
          <w:tcPr>
            <w:tcW w:w="265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12" w:hRule="atLeast"/>
        </w:trPr>
        <w:tc>
          <w:tcPr>
            <w:tcW w:w="3287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5"/>
              </w:rPr>
            </w:pPr>
            <w:r>
              <w:rPr>
                <w:w w:val="105"/>
                <w:sz w:val="15"/>
              </w:rPr>
              <w:t>rho</w:t>
            </w:r>
          </w:p>
        </w:tc>
        <w:tc>
          <w:tcPr>
            <w:tcW w:w="1275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right="140"/>
              <w:rPr>
                <w:sz w:val="15"/>
              </w:rPr>
            </w:pPr>
            <w:r>
              <w:rPr>
                <w:w w:val="105"/>
                <w:sz w:val="15"/>
              </w:rPr>
              <w:t>.02846892</w:t>
            </w:r>
          </w:p>
        </w:tc>
        <w:tc>
          <w:tcPr>
            <w:tcW w:w="2654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right="40"/>
              <w:rPr>
                <w:sz w:val="15"/>
              </w:rPr>
            </w:pPr>
            <w:r>
              <w:rPr>
                <w:w w:val="105"/>
                <w:sz w:val="15"/>
              </w:rPr>
              <w:t>(fraction</w:t>
            </w:r>
            <w:r>
              <w:rPr>
                <w:spacing w:val="2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of</w:t>
            </w:r>
            <w:r>
              <w:rPr>
                <w:spacing w:val="23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variance</w:t>
            </w:r>
            <w:r>
              <w:rPr>
                <w:spacing w:val="24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due</w:t>
            </w:r>
          </w:p>
        </w:tc>
        <w:tc>
          <w:tcPr>
            <w:tcW w:w="294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to</w:t>
            </w:r>
          </w:p>
        </w:tc>
        <w:tc>
          <w:tcPr>
            <w:tcW w:w="1179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left="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u_i)</w:t>
            </w:r>
          </w:p>
        </w:tc>
        <w:tc>
          <w:tcPr>
            <w:tcW w:w="929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2817" w:val="left" w:leader="none"/>
          <w:tab w:pos="4587" w:val="left" w:leader="none"/>
          <w:tab w:pos="6160" w:val="left" w:leader="none"/>
        </w:tabs>
        <w:spacing w:before="135"/>
        <w:ind w:left="162" w:right="0" w:firstLine="0"/>
        <w:jc w:val="left"/>
        <w:rPr>
          <w:rFonts w:ascii="Courier New"/>
          <w:sz w:val="15"/>
        </w:rPr>
      </w:pPr>
      <w:r>
        <w:rPr>
          <w:rFonts w:ascii="Courier New"/>
          <w:w w:val="105"/>
          <w:sz w:val="15"/>
        </w:rPr>
        <w:t>F</w:t>
      </w:r>
      <w:r>
        <w:rPr>
          <w:rFonts w:ascii="Courier New"/>
          <w:spacing w:val="16"/>
          <w:w w:val="105"/>
          <w:sz w:val="15"/>
        </w:rPr>
        <w:t> </w:t>
      </w:r>
      <w:r>
        <w:rPr>
          <w:rFonts w:ascii="Courier New"/>
          <w:w w:val="105"/>
          <w:sz w:val="15"/>
        </w:rPr>
        <w:t>test</w:t>
      </w:r>
      <w:r>
        <w:rPr>
          <w:rFonts w:ascii="Courier New"/>
          <w:spacing w:val="16"/>
          <w:w w:val="105"/>
          <w:sz w:val="15"/>
        </w:rPr>
        <w:t> </w:t>
      </w:r>
      <w:r>
        <w:rPr>
          <w:rFonts w:ascii="Courier New"/>
          <w:w w:val="105"/>
          <w:sz w:val="15"/>
        </w:rPr>
        <w:t>that</w:t>
      </w:r>
      <w:r>
        <w:rPr>
          <w:rFonts w:ascii="Courier New"/>
          <w:spacing w:val="17"/>
          <w:w w:val="105"/>
          <w:sz w:val="15"/>
        </w:rPr>
        <w:t> </w:t>
      </w:r>
      <w:r>
        <w:rPr>
          <w:rFonts w:ascii="Courier New"/>
          <w:w w:val="105"/>
          <w:sz w:val="15"/>
        </w:rPr>
        <w:t>all</w:t>
      </w:r>
      <w:r>
        <w:rPr>
          <w:rFonts w:ascii="Courier New"/>
          <w:spacing w:val="15"/>
          <w:w w:val="105"/>
          <w:sz w:val="15"/>
        </w:rPr>
        <w:t> </w:t>
      </w:r>
      <w:r>
        <w:rPr>
          <w:rFonts w:ascii="Courier New"/>
          <w:w w:val="105"/>
          <w:sz w:val="15"/>
        </w:rPr>
        <w:t>u_i=0:</w:t>
        <w:tab/>
        <w:t>F(36,</w:t>
      </w:r>
      <w:r>
        <w:rPr>
          <w:rFonts w:ascii="Courier New"/>
          <w:spacing w:val="18"/>
          <w:w w:val="105"/>
          <w:sz w:val="15"/>
        </w:rPr>
        <w:t> </w:t>
      </w:r>
      <w:r>
        <w:rPr>
          <w:rFonts w:ascii="Courier New"/>
          <w:w w:val="105"/>
          <w:sz w:val="15"/>
        </w:rPr>
        <w:t>26703)</w:t>
      </w:r>
      <w:r>
        <w:rPr>
          <w:rFonts w:ascii="Courier New"/>
          <w:spacing w:val="17"/>
          <w:w w:val="105"/>
          <w:sz w:val="15"/>
        </w:rPr>
        <w:t> </w:t>
      </w:r>
      <w:r>
        <w:rPr>
          <w:rFonts w:ascii="Courier New"/>
          <w:w w:val="105"/>
          <w:sz w:val="15"/>
        </w:rPr>
        <w:t>=</w:t>
        <w:tab/>
        <w:t>12.91</w:t>
        <w:tab/>
        <w:t>Prob</w:t>
      </w:r>
      <w:r>
        <w:rPr>
          <w:rFonts w:ascii="Courier New"/>
          <w:spacing w:val="12"/>
          <w:w w:val="105"/>
          <w:sz w:val="15"/>
        </w:rPr>
        <w:t> </w:t>
      </w:r>
      <w:r>
        <w:rPr>
          <w:rFonts w:ascii="Courier New"/>
          <w:w w:val="105"/>
          <w:sz w:val="15"/>
        </w:rPr>
        <w:t>&gt;</w:t>
      </w:r>
      <w:r>
        <w:rPr>
          <w:rFonts w:ascii="Courier New"/>
          <w:spacing w:val="14"/>
          <w:w w:val="105"/>
          <w:sz w:val="15"/>
        </w:rPr>
        <w:t> </w:t>
      </w:r>
      <w:r>
        <w:rPr>
          <w:rFonts w:ascii="Courier New"/>
          <w:w w:val="105"/>
          <w:sz w:val="15"/>
        </w:rPr>
        <w:t>F</w:t>
      </w:r>
      <w:r>
        <w:rPr>
          <w:rFonts w:ascii="Courier New"/>
          <w:spacing w:val="12"/>
          <w:w w:val="105"/>
          <w:sz w:val="15"/>
        </w:rPr>
        <w:t> </w:t>
      </w:r>
      <w:r>
        <w:rPr>
          <w:rFonts w:ascii="Courier New"/>
          <w:w w:val="105"/>
          <w:sz w:val="15"/>
        </w:rPr>
        <w:t>=</w:t>
      </w:r>
      <w:r>
        <w:rPr>
          <w:rFonts w:ascii="Courier New"/>
          <w:spacing w:val="12"/>
          <w:w w:val="105"/>
          <w:sz w:val="15"/>
        </w:rPr>
        <w:t> </w:t>
      </w:r>
      <w:r>
        <w:rPr>
          <w:rFonts w:ascii="Courier New"/>
          <w:w w:val="105"/>
          <w:sz w:val="15"/>
        </w:rPr>
        <w:t>0.0000</w:t>
      </w:r>
    </w:p>
    <w:p>
      <w:pPr>
        <w:spacing w:after="0"/>
        <w:jc w:val="left"/>
        <w:rPr>
          <w:rFonts w:ascii="Courier New"/>
          <w:sz w:val="15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243" w:right="562"/>
        <w:jc w:val="center"/>
      </w:pPr>
      <w:r>
        <w:rPr/>
        <w:t>TABLE</w:t>
      </w:r>
      <w:r>
        <w:rPr>
          <w:spacing w:val="-2"/>
        </w:rPr>
        <w:t> </w:t>
      </w:r>
      <w:r>
        <w:rPr/>
        <w:t>J4:</w:t>
      </w:r>
      <w:r>
        <w:rPr>
          <w:spacing w:val="-1"/>
        </w:rPr>
        <w:t> </w:t>
      </w:r>
      <w:r>
        <w:rPr/>
        <w:t>RANDOM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REGRESSION MODEL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WAVE III</w: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6"/>
        <w:gridCol w:w="2431"/>
        <w:gridCol w:w="286"/>
        <w:gridCol w:w="858"/>
      </w:tblGrid>
      <w:tr>
        <w:trPr>
          <w:trHeight w:val="183" w:hRule="atLeast"/>
        </w:trPr>
        <w:tc>
          <w:tcPr>
            <w:tcW w:w="3956" w:type="dxa"/>
          </w:tcPr>
          <w:p>
            <w:pPr>
              <w:pStyle w:val="TableParagraph"/>
              <w:spacing w:before="1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Random-effects </w:t>
            </w:r>
            <w:r>
              <w:rPr>
                <w:spacing w:val="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logistic </w:t>
            </w:r>
            <w:r>
              <w:rPr>
                <w:spacing w:val="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regression</w:t>
            </w:r>
          </w:p>
        </w:tc>
        <w:tc>
          <w:tcPr>
            <w:tcW w:w="2431" w:type="dxa"/>
          </w:tcPr>
          <w:p>
            <w:pPr>
              <w:pStyle w:val="TableParagraph"/>
              <w:spacing w:before="1"/>
              <w:ind w:left="67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Number</w:t>
            </w:r>
            <w:r>
              <w:rPr>
                <w:spacing w:val="3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of</w:t>
            </w:r>
            <w:r>
              <w:rPr>
                <w:spacing w:val="3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obs</w:t>
            </w:r>
          </w:p>
        </w:tc>
        <w:tc>
          <w:tcPr>
            <w:tcW w:w="286" w:type="dxa"/>
          </w:tcPr>
          <w:p>
            <w:pPr>
              <w:pStyle w:val="TableParagraph"/>
              <w:spacing w:before="1"/>
              <w:ind w:left="50"/>
              <w:jc w:val="left"/>
              <w:rPr>
                <w:sz w:val="14"/>
              </w:rPr>
            </w:pPr>
            <w:r>
              <w:rPr>
                <w:w w:val="106"/>
                <w:sz w:val="1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1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26774</w:t>
            </w:r>
          </w:p>
        </w:tc>
      </w:tr>
      <w:tr>
        <w:trPr>
          <w:trHeight w:val="309" w:hRule="atLeast"/>
        </w:trPr>
        <w:tc>
          <w:tcPr>
            <w:tcW w:w="3956" w:type="dxa"/>
          </w:tcPr>
          <w:p>
            <w:pPr>
              <w:pStyle w:val="TableParagraph"/>
              <w:spacing w:before="24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Group</w:t>
            </w:r>
            <w:r>
              <w:rPr>
                <w:spacing w:val="5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variable:</w:t>
            </w:r>
            <w:r>
              <w:rPr>
                <w:spacing w:val="5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state</w:t>
            </w:r>
          </w:p>
        </w:tc>
        <w:tc>
          <w:tcPr>
            <w:tcW w:w="2431" w:type="dxa"/>
          </w:tcPr>
          <w:p>
            <w:pPr>
              <w:pStyle w:val="TableParagraph"/>
              <w:spacing w:before="24"/>
              <w:ind w:left="67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Number</w:t>
            </w:r>
            <w:r>
              <w:rPr>
                <w:spacing w:val="4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of</w:t>
            </w:r>
            <w:r>
              <w:rPr>
                <w:spacing w:val="4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groups</w:t>
            </w:r>
          </w:p>
        </w:tc>
        <w:tc>
          <w:tcPr>
            <w:tcW w:w="286" w:type="dxa"/>
          </w:tcPr>
          <w:p>
            <w:pPr>
              <w:pStyle w:val="TableParagraph"/>
              <w:spacing w:before="24"/>
              <w:ind w:left="50"/>
              <w:jc w:val="left"/>
              <w:rPr>
                <w:sz w:val="14"/>
              </w:rPr>
            </w:pPr>
            <w:r>
              <w:rPr>
                <w:w w:val="106"/>
                <w:sz w:val="1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24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37</w:t>
            </w:r>
          </w:p>
        </w:tc>
      </w:tr>
      <w:tr>
        <w:trPr>
          <w:trHeight w:val="309" w:hRule="atLeast"/>
        </w:trPr>
        <w:tc>
          <w:tcPr>
            <w:tcW w:w="3956" w:type="dxa"/>
          </w:tcPr>
          <w:p>
            <w:pPr>
              <w:pStyle w:val="TableParagraph"/>
              <w:spacing w:before="128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Random</w:t>
            </w:r>
            <w:r>
              <w:rPr>
                <w:spacing w:val="4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effects</w:t>
            </w:r>
            <w:r>
              <w:rPr>
                <w:spacing w:val="4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u_i</w:t>
            </w:r>
            <w:r>
              <w:rPr>
                <w:spacing w:val="4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~</w:t>
            </w:r>
            <w:r>
              <w:rPr>
                <w:spacing w:val="4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Gaussian</w:t>
            </w:r>
          </w:p>
        </w:tc>
        <w:tc>
          <w:tcPr>
            <w:tcW w:w="2431" w:type="dxa"/>
          </w:tcPr>
          <w:p>
            <w:pPr>
              <w:pStyle w:val="TableParagraph"/>
              <w:spacing w:before="128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Obs</w:t>
            </w:r>
            <w:r>
              <w:rPr>
                <w:spacing w:val="3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3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group:</w:t>
            </w:r>
            <w:r>
              <w:rPr>
                <w:spacing w:val="3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min</w:t>
            </w:r>
          </w:p>
        </w:tc>
        <w:tc>
          <w:tcPr>
            <w:tcW w:w="286" w:type="dxa"/>
          </w:tcPr>
          <w:p>
            <w:pPr>
              <w:pStyle w:val="TableParagraph"/>
              <w:spacing w:before="128"/>
              <w:ind w:left="50"/>
              <w:jc w:val="left"/>
              <w:rPr>
                <w:sz w:val="14"/>
              </w:rPr>
            </w:pPr>
            <w:r>
              <w:rPr>
                <w:w w:val="106"/>
                <w:sz w:val="1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128"/>
              <w:ind w:right="48"/>
              <w:rPr>
                <w:sz w:val="14"/>
              </w:rPr>
            </w:pPr>
            <w:r>
              <w:rPr>
                <w:w w:val="106"/>
                <w:sz w:val="14"/>
              </w:rPr>
              <w:t>6</w:t>
            </w:r>
          </w:p>
        </w:tc>
      </w:tr>
      <w:tr>
        <w:trPr>
          <w:trHeight w:val="206" w:hRule="atLeast"/>
        </w:trPr>
        <w:tc>
          <w:tcPr>
            <w:tcW w:w="39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spacing w:before="24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avg</w:t>
            </w:r>
          </w:p>
        </w:tc>
        <w:tc>
          <w:tcPr>
            <w:tcW w:w="286" w:type="dxa"/>
          </w:tcPr>
          <w:p>
            <w:pPr>
              <w:pStyle w:val="TableParagraph"/>
              <w:spacing w:before="24"/>
              <w:ind w:left="50"/>
              <w:jc w:val="left"/>
              <w:rPr>
                <w:sz w:val="14"/>
              </w:rPr>
            </w:pPr>
            <w:r>
              <w:rPr>
                <w:w w:val="106"/>
                <w:sz w:val="1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24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723.6</w:t>
            </w:r>
          </w:p>
        </w:tc>
      </w:tr>
      <w:tr>
        <w:trPr>
          <w:trHeight w:val="309" w:hRule="atLeast"/>
        </w:trPr>
        <w:tc>
          <w:tcPr>
            <w:tcW w:w="39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spacing w:before="24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max</w:t>
            </w:r>
          </w:p>
        </w:tc>
        <w:tc>
          <w:tcPr>
            <w:tcW w:w="286" w:type="dxa"/>
          </w:tcPr>
          <w:p>
            <w:pPr>
              <w:pStyle w:val="TableParagraph"/>
              <w:spacing w:before="24"/>
              <w:ind w:left="50"/>
              <w:jc w:val="left"/>
              <w:rPr>
                <w:sz w:val="14"/>
              </w:rPr>
            </w:pPr>
            <w:r>
              <w:rPr>
                <w:w w:val="106"/>
                <w:sz w:val="1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24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1367</w:t>
            </w:r>
          </w:p>
        </w:tc>
      </w:tr>
      <w:tr>
        <w:trPr>
          <w:trHeight w:val="413" w:hRule="atLeast"/>
        </w:trPr>
        <w:tc>
          <w:tcPr>
            <w:tcW w:w="395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Integration</w:t>
            </w:r>
            <w:r>
              <w:rPr>
                <w:spacing w:val="8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method:</w:t>
            </w:r>
            <w:r>
              <w:rPr>
                <w:spacing w:val="8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mvaghermite</w:t>
            </w:r>
          </w:p>
        </w:tc>
        <w:tc>
          <w:tcPr>
            <w:tcW w:w="2431" w:type="dxa"/>
          </w:tcPr>
          <w:p>
            <w:pPr>
              <w:pStyle w:val="TableParagraph"/>
              <w:spacing w:before="127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Integration</w:t>
            </w:r>
            <w:r>
              <w:rPr>
                <w:spacing w:val="8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points</w:t>
            </w:r>
          </w:p>
        </w:tc>
        <w:tc>
          <w:tcPr>
            <w:tcW w:w="28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14"/>
              </w:rPr>
            </w:pPr>
            <w:r>
              <w:rPr>
                <w:w w:val="106"/>
                <w:sz w:val="1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127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</w:tr>
      <w:tr>
        <w:trPr>
          <w:trHeight w:val="309" w:hRule="atLeast"/>
        </w:trPr>
        <w:tc>
          <w:tcPr>
            <w:tcW w:w="395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spacing w:before="128"/>
              <w:ind w:left="67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Wald</w:t>
            </w:r>
            <w:r>
              <w:rPr>
                <w:spacing w:val="6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chi2(34)</w:t>
            </w:r>
          </w:p>
        </w:tc>
        <w:tc>
          <w:tcPr>
            <w:tcW w:w="286" w:type="dxa"/>
          </w:tcPr>
          <w:p>
            <w:pPr>
              <w:pStyle w:val="TableParagraph"/>
              <w:spacing w:before="128"/>
              <w:ind w:left="50"/>
              <w:jc w:val="left"/>
              <w:rPr>
                <w:sz w:val="14"/>
              </w:rPr>
            </w:pPr>
            <w:r>
              <w:rPr>
                <w:w w:val="106"/>
                <w:sz w:val="1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128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4926.55</w:t>
            </w:r>
          </w:p>
        </w:tc>
      </w:tr>
      <w:tr>
        <w:trPr>
          <w:trHeight w:val="183" w:hRule="atLeast"/>
        </w:trPr>
        <w:tc>
          <w:tcPr>
            <w:tcW w:w="3956" w:type="dxa"/>
          </w:tcPr>
          <w:p>
            <w:pPr>
              <w:pStyle w:val="TableParagraph"/>
              <w:spacing w:line="139" w:lineRule="exact" w:before="24"/>
              <w:ind w:left="5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Log</w:t>
            </w:r>
            <w:r>
              <w:rPr>
                <w:spacing w:val="4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likelihood </w:t>
            </w:r>
            <w:r>
              <w:rPr>
                <w:spacing w:val="8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4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-6433.7957</w:t>
            </w:r>
          </w:p>
        </w:tc>
        <w:tc>
          <w:tcPr>
            <w:tcW w:w="2431" w:type="dxa"/>
          </w:tcPr>
          <w:p>
            <w:pPr>
              <w:pStyle w:val="TableParagraph"/>
              <w:spacing w:line="139" w:lineRule="exact" w:before="24"/>
              <w:ind w:left="67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Prob</w:t>
            </w:r>
            <w:r>
              <w:rPr>
                <w:spacing w:val="3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&gt;</w:t>
            </w:r>
            <w:r>
              <w:rPr>
                <w:spacing w:val="2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chi2</w:t>
            </w:r>
          </w:p>
        </w:tc>
        <w:tc>
          <w:tcPr>
            <w:tcW w:w="286" w:type="dxa"/>
          </w:tcPr>
          <w:p>
            <w:pPr>
              <w:pStyle w:val="TableParagraph"/>
              <w:spacing w:line="139" w:lineRule="exact" w:before="24"/>
              <w:ind w:left="50"/>
              <w:jc w:val="left"/>
              <w:rPr>
                <w:sz w:val="14"/>
              </w:rPr>
            </w:pPr>
            <w:r>
              <w:rPr>
                <w:w w:val="106"/>
                <w:sz w:val="14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line="139" w:lineRule="exact" w:before="24"/>
              <w:ind w:right="48"/>
              <w:rPr>
                <w:sz w:val="14"/>
              </w:rPr>
            </w:pPr>
            <w:r>
              <w:rPr>
                <w:w w:val="105"/>
                <w:sz w:val="14"/>
              </w:rPr>
              <w:t>0.0000</w:t>
            </w:r>
          </w:p>
        </w:tc>
      </w:tr>
    </w:tbl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7"/>
        <w:gridCol w:w="1237"/>
        <w:gridCol w:w="1096"/>
        <w:gridCol w:w="810"/>
        <w:gridCol w:w="809"/>
        <w:gridCol w:w="1286"/>
        <w:gridCol w:w="900"/>
      </w:tblGrid>
      <w:tr>
        <w:trPr>
          <w:trHeight w:val="398" w:hRule="atLeast"/>
        </w:trPr>
        <w:tc>
          <w:tcPr>
            <w:tcW w:w="3187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7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illness</w:t>
            </w:r>
          </w:p>
        </w:tc>
        <w:tc>
          <w:tcPr>
            <w:tcW w:w="1237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7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Coef.</w:t>
            </w:r>
          </w:p>
        </w:tc>
        <w:tc>
          <w:tcPr>
            <w:tcW w:w="109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7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Std.</w:t>
            </w:r>
            <w:r>
              <w:rPr>
                <w:spacing w:val="4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Err.</w:t>
            </w:r>
          </w:p>
        </w:tc>
        <w:tc>
          <w:tcPr>
            <w:tcW w:w="810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7"/>
              <w:ind w:left="486"/>
              <w:jc w:val="left"/>
              <w:rPr>
                <w:sz w:val="14"/>
              </w:rPr>
            </w:pPr>
            <w:r>
              <w:rPr>
                <w:w w:val="106"/>
                <w:sz w:val="14"/>
              </w:rPr>
              <w:t>z</w:t>
            </w:r>
          </w:p>
        </w:tc>
        <w:tc>
          <w:tcPr>
            <w:tcW w:w="809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7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P&gt;|z|</w:t>
            </w:r>
          </w:p>
        </w:tc>
        <w:tc>
          <w:tcPr>
            <w:tcW w:w="128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7"/>
              <w:ind w:left="2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[95%</w:t>
            </w:r>
            <w:r>
              <w:rPr>
                <w:spacing w:val="4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Conf.</w:t>
            </w:r>
          </w:p>
        </w:tc>
        <w:tc>
          <w:tcPr>
            <w:tcW w:w="900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7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Interval]</w:t>
            </w:r>
          </w:p>
        </w:tc>
      </w:tr>
      <w:tr>
        <w:trPr>
          <w:trHeight w:val="309" w:hRule="atLeast"/>
        </w:trPr>
        <w:tc>
          <w:tcPr>
            <w:tcW w:w="3187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8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familysize</w:t>
            </w:r>
          </w:p>
        </w:tc>
        <w:tc>
          <w:tcPr>
            <w:tcW w:w="1237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28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.0730176</w:t>
            </w:r>
          </w:p>
        </w:tc>
        <w:tc>
          <w:tcPr>
            <w:tcW w:w="1096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8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.0402185</w:t>
            </w:r>
          </w:p>
        </w:tc>
        <w:tc>
          <w:tcPr>
            <w:tcW w:w="810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8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1.82</w:t>
            </w:r>
          </w:p>
        </w:tc>
        <w:tc>
          <w:tcPr>
            <w:tcW w:w="809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8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0.069</w:t>
            </w:r>
          </w:p>
        </w:tc>
        <w:tc>
          <w:tcPr>
            <w:tcW w:w="1286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8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-.0058092</w:t>
            </w:r>
          </w:p>
        </w:tc>
        <w:tc>
          <w:tcPr>
            <w:tcW w:w="900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8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.1518445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hungerorfood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2.066238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.1232832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16.76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1.824607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2.307868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gari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-.0487604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.1038455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-0.47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0.639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-.2522939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.1547731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rice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-.5198573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.1205585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-4.31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-.7561476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-.283567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yamorcassavaormaizeflour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-.1088638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.0653639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-1.67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0.096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-.2369747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.0192471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beans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-.1856169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.0690693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-2.69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0.007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-.3209902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-.0502435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meatorfish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-1.605512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.1465904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-10.95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-1.892824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-1.3182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mosquitonetpossession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-.8287445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.1388754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-5.97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-1.100935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-.5565538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primaryeducation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-.1407379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.1428332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-0.99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0.324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-.4206858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.13921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secondaryeducation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-.0032129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.3848574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-0.01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0.993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-.7575195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.7510936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highercertificate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-.4545063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.0956131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-4.75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-.6419045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-.2671081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nobasiceducation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3.434006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.0515201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66.65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3.333029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3.534984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hadelectricity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-.0133298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.0282576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-0.47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0.637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-.0687137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.0420541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noeletricity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.1027423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.0771057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1.33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0.183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-.0483822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.2538667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pipebornewater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-.158993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.0162468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-9.79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-.1908361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-.1271498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boreholeandwell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-.0221113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.0159529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-1.39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0.166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-.0533784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.0091558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riverandspring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.2894305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.0633433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4.57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48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.16528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.413581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noaccesstowater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.0531793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.0965928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0.55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0.582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-.136139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.2424976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waterandmoderntoilet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-.1765948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24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.232998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-0.76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0.448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-.6332625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.2800729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pitorlatrinetoilet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.0020015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.0021417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0.93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0.350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-.0021961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.0061992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notoiletfacility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.1011831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.0538813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1.88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0.060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-.0044223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.2067884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alcoholicdrinks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.0621704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.0455662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1.36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0.172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-.0271377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.1514785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selfmedication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.0973168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24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.179923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0.54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0.589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-.2553259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.4499595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seekinghealthcare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-.06243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.0373073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-1.67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0.094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-.1355509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.0106909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others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-.1448384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.3178582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-0.46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0.649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-.7678291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.4781522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wagesandsalaries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-.129727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.0556495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-2.33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0.020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-.238798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-.020656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businesstradingandenterprises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-.0299376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.0219261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-1.37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0.172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-.072912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.0130368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cropandlivestockincomes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-.1311607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.0570292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-2.30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0.021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-.2429358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-.0193855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remittances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.0731043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.1669724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0.44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0.662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-.2541556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.4003642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monetaryandconditionaltransfers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-.0337019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.0250413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-1.35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0.178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-.0827819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.015378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pension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-.0253367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.0547965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-0.46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0.644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-.132736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.0820625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dividendfrominterestandinvestmen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-.0083833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.1378245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-0.06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0.951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-.2785144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.2617478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incomesfromrentandpropertiesowne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.075829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.1438847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0.53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0.598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-.2061798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.3578377</w:t>
            </w:r>
          </w:p>
        </w:tc>
      </w:tr>
      <w:tr>
        <w:trPr>
          <w:trHeight w:val="206" w:hRule="atLeast"/>
        </w:trPr>
        <w:tc>
          <w:tcPr>
            <w:tcW w:w="318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ginicoefficient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.3341064</w:t>
            </w:r>
          </w:p>
        </w:tc>
        <w:tc>
          <w:tcPr>
            <w:tcW w:w="1096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.1569505</w:t>
            </w:r>
          </w:p>
        </w:tc>
        <w:tc>
          <w:tcPr>
            <w:tcW w:w="810" w:type="dxa"/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2.13</w:t>
            </w:r>
          </w:p>
        </w:tc>
        <w:tc>
          <w:tcPr>
            <w:tcW w:w="809" w:type="dxa"/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0.033</w:t>
            </w:r>
          </w:p>
        </w:tc>
        <w:tc>
          <w:tcPr>
            <w:tcW w:w="1286" w:type="dxa"/>
          </w:tcPr>
          <w:p>
            <w:pPr>
              <w:pStyle w:val="TableParagraph"/>
              <w:spacing w:before="24"/>
              <w:ind w:left="2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.0264891</w:t>
            </w:r>
          </w:p>
        </w:tc>
        <w:tc>
          <w:tcPr>
            <w:tcW w:w="900" w:type="dxa"/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.6417237</w:t>
            </w:r>
          </w:p>
        </w:tc>
      </w:tr>
      <w:tr>
        <w:trPr>
          <w:trHeight w:val="295" w:hRule="atLeast"/>
        </w:trPr>
        <w:tc>
          <w:tcPr>
            <w:tcW w:w="3187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_cons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.3512731</w:t>
            </w:r>
          </w:p>
        </w:tc>
        <w:tc>
          <w:tcPr>
            <w:tcW w:w="109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.6282118</w:t>
            </w:r>
          </w:p>
        </w:tc>
        <w:tc>
          <w:tcPr>
            <w:tcW w:w="810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right="136"/>
              <w:rPr>
                <w:sz w:val="14"/>
              </w:rPr>
            </w:pPr>
            <w:r>
              <w:rPr>
                <w:w w:val="105"/>
                <w:sz w:val="14"/>
              </w:rPr>
              <w:t>0.56</w:t>
            </w:r>
          </w:p>
        </w:tc>
        <w:tc>
          <w:tcPr>
            <w:tcW w:w="809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0.576</w:t>
            </w:r>
          </w:p>
        </w:tc>
        <w:tc>
          <w:tcPr>
            <w:tcW w:w="128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-.8799993</w:t>
            </w:r>
          </w:p>
        </w:tc>
        <w:tc>
          <w:tcPr>
            <w:tcW w:w="900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1.582546</w:t>
            </w:r>
          </w:p>
        </w:tc>
      </w:tr>
      <w:tr>
        <w:trPr>
          <w:trHeight w:val="398" w:hRule="atLeast"/>
        </w:trPr>
        <w:tc>
          <w:tcPr>
            <w:tcW w:w="3187" w:type="dxa"/>
            <w:tcBorders>
              <w:top w:val="dashSmallGap" w:sz="6" w:space="0" w:color="000000"/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8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/lnsig2u</w:t>
            </w:r>
          </w:p>
        </w:tc>
        <w:tc>
          <w:tcPr>
            <w:tcW w:w="1237" w:type="dxa"/>
            <w:tcBorders>
              <w:top w:val="dashSmallGap" w:sz="6" w:space="0" w:color="000000"/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8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-1.657429</w:t>
            </w:r>
          </w:p>
        </w:tc>
        <w:tc>
          <w:tcPr>
            <w:tcW w:w="109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8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.2707696</w:t>
            </w:r>
          </w:p>
        </w:tc>
        <w:tc>
          <w:tcPr>
            <w:tcW w:w="810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8"/>
              <w:ind w:left="20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-2.188128</w:t>
            </w:r>
          </w:p>
        </w:tc>
        <w:tc>
          <w:tcPr>
            <w:tcW w:w="900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128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-1.126731</w:t>
            </w:r>
          </w:p>
        </w:tc>
      </w:tr>
      <w:tr>
        <w:trPr>
          <w:trHeight w:val="309" w:hRule="atLeast"/>
        </w:trPr>
        <w:tc>
          <w:tcPr>
            <w:tcW w:w="3187" w:type="dxa"/>
            <w:tcBorders>
              <w:top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128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sigma_u</w:t>
            </w:r>
          </w:p>
        </w:tc>
        <w:tc>
          <w:tcPr>
            <w:tcW w:w="1237" w:type="dxa"/>
            <w:tcBorders>
              <w:top w:val="dashSmallGap" w:sz="6" w:space="0" w:color="000000"/>
              <w:left w:val="dashed" w:sz="6" w:space="0" w:color="000000"/>
            </w:tcBorders>
          </w:tcPr>
          <w:p>
            <w:pPr>
              <w:pStyle w:val="TableParagraph"/>
              <w:spacing w:before="128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.4366101</w:t>
            </w:r>
          </w:p>
        </w:tc>
        <w:tc>
          <w:tcPr>
            <w:tcW w:w="1096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8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.0591104</w:t>
            </w:r>
          </w:p>
        </w:tc>
        <w:tc>
          <w:tcPr>
            <w:tcW w:w="810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top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8"/>
              <w:ind w:left="29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.3348529</w:t>
            </w:r>
          </w:p>
        </w:tc>
        <w:tc>
          <w:tcPr>
            <w:tcW w:w="900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28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.56929</w:t>
            </w:r>
          </w:p>
        </w:tc>
      </w:tr>
      <w:tr>
        <w:trPr>
          <w:trHeight w:val="294" w:hRule="atLeast"/>
        </w:trPr>
        <w:tc>
          <w:tcPr>
            <w:tcW w:w="3187" w:type="dxa"/>
            <w:tcBorders>
              <w:bottom w:val="dashSmallGap" w:sz="6" w:space="0" w:color="000000"/>
              <w:right w:val="dashed" w:sz="6" w:space="0" w:color="000000"/>
            </w:tcBorders>
          </w:tcPr>
          <w:p>
            <w:pPr>
              <w:pStyle w:val="TableParagraph"/>
              <w:spacing w:before="24"/>
              <w:ind w:right="132"/>
              <w:rPr>
                <w:sz w:val="14"/>
              </w:rPr>
            </w:pPr>
            <w:r>
              <w:rPr>
                <w:w w:val="105"/>
                <w:sz w:val="14"/>
              </w:rPr>
              <w:t>rho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>.0547705</w:t>
            </w:r>
          </w:p>
        </w:tc>
        <w:tc>
          <w:tcPr>
            <w:tcW w:w="109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left="15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.0140179</w:t>
            </w:r>
          </w:p>
        </w:tc>
        <w:tc>
          <w:tcPr>
            <w:tcW w:w="810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bottom w:val="dashSmallGap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left="39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.032959</w:t>
            </w:r>
          </w:p>
        </w:tc>
        <w:tc>
          <w:tcPr>
            <w:tcW w:w="900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right="-15"/>
              <w:rPr>
                <w:sz w:val="14"/>
              </w:rPr>
            </w:pPr>
            <w:r>
              <w:rPr>
                <w:w w:val="105"/>
                <w:sz w:val="14"/>
              </w:rPr>
              <w:t>.0896776</w:t>
            </w:r>
          </w:p>
        </w:tc>
      </w:tr>
    </w:tbl>
    <w:p>
      <w:pPr>
        <w:tabs>
          <w:tab w:pos="4736" w:val="left" w:leader="none"/>
        </w:tabs>
        <w:spacing w:before="129"/>
        <w:ind w:left="160" w:right="0" w:firstLine="0"/>
        <w:jc w:val="left"/>
        <w:rPr>
          <w:rFonts w:ascii="Courier New"/>
          <w:sz w:val="14"/>
        </w:rPr>
      </w:pPr>
      <w:r>
        <w:rPr>
          <w:rFonts w:ascii="Courier New"/>
          <w:w w:val="105"/>
          <w:sz w:val="14"/>
        </w:rPr>
        <w:t>Likelihood-ratio</w:t>
      </w:r>
      <w:r>
        <w:rPr>
          <w:rFonts w:ascii="Courier New"/>
          <w:spacing w:val="53"/>
          <w:w w:val="105"/>
          <w:sz w:val="14"/>
        </w:rPr>
        <w:t> </w:t>
      </w:r>
      <w:r>
        <w:rPr>
          <w:rFonts w:ascii="Courier New"/>
          <w:w w:val="105"/>
          <w:sz w:val="14"/>
        </w:rPr>
        <w:t>test</w:t>
      </w:r>
      <w:r>
        <w:rPr>
          <w:rFonts w:ascii="Courier New"/>
          <w:spacing w:val="54"/>
          <w:w w:val="105"/>
          <w:sz w:val="14"/>
        </w:rPr>
        <w:t> </w:t>
      </w:r>
      <w:r>
        <w:rPr>
          <w:rFonts w:ascii="Courier New"/>
          <w:w w:val="105"/>
          <w:sz w:val="14"/>
        </w:rPr>
        <w:t>of</w:t>
      </w:r>
      <w:r>
        <w:rPr>
          <w:rFonts w:ascii="Courier New"/>
          <w:spacing w:val="52"/>
          <w:w w:val="105"/>
          <w:sz w:val="14"/>
        </w:rPr>
        <w:t> </w:t>
      </w:r>
      <w:r>
        <w:rPr>
          <w:rFonts w:ascii="Courier New"/>
          <w:w w:val="105"/>
          <w:sz w:val="14"/>
        </w:rPr>
        <w:t>rho=0:</w:t>
      </w:r>
      <w:r>
        <w:rPr>
          <w:rFonts w:ascii="Courier New"/>
          <w:spacing w:val="54"/>
          <w:w w:val="105"/>
          <w:sz w:val="14"/>
        </w:rPr>
        <w:t> </w:t>
      </w:r>
      <w:r>
        <w:rPr>
          <w:rFonts w:ascii="Courier New"/>
          <w:w w:val="105"/>
          <w:sz w:val="14"/>
        </w:rPr>
        <w:t>chibar2(01)</w:t>
      </w:r>
      <w:r>
        <w:rPr>
          <w:rFonts w:ascii="Courier New"/>
          <w:spacing w:val="52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  <w:tab/>
        <w:t>232.28</w:t>
      </w:r>
      <w:r>
        <w:rPr>
          <w:rFonts w:ascii="Courier New"/>
          <w:spacing w:val="37"/>
          <w:w w:val="105"/>
          <w:sz w:val="14"/>
        </w:rPr>
        <w:t> </w:t>
      </w:r>
      <w:r>
        <w:rPr>
          <w:rFonts w:ascii="Courier New"/>
          <w:w w:val="105"/>
          <w:sz w:val="14"/>
        </w:rPr>
        <w:t>Prob</w:t>
      </w:r>
      <w:r>
        <w:rPr>
          <w:rFonts w:ascii="Courier New"/>
          <w:spacing w:val="36"/>
          <w:w w:val="105"/>
          <w:sz w:val="14"/>
        </w:rPr>
        <w:t> </w:t>
      </w:r>
      <w:r>
        <w:rPr>
          <w:rFonts w:ascii="Courier New"/>
          <w:w w:val="105"/>
          <w:sz w:val="14"/>
        </w:rPr>
        <w:t>&gt;=</w:t>
      </w:r>
      <w:r>
        <w:rPr>
          <w:rFonts w:ascii="Courier New"/>
          <w:spacing w:val="38"/>
          <w:w w:val="105"/>
          <w:sz w:val="14"/>
        </w:rPr>
        <w:t> </w:t>
      </w:r>
      <w:r>
        <w:rPr>
          <w:rFonts w:ascii="Courier New"/>
          <w:w w:val="105"/>
          <w:sz w:val="14"/>
        </w:rPr>
        <w:t>chibar2</w:t>
      </w:r>
      <w:r>
        <w:rPr>
          <w:rFonts w:ascii="Courier New"/>
          <w:spacing w:val="37"/>
          <w:w w:val="105"/>
          <w:sz w:val="14"/>
        </w:rPr>
        <w:t> </w:t>
      </w:r>
      <w:r>
        <w:rPr>
          <w:rFonts w:ascii="Courier New"/>
          <w:w w:val="105"/>
          <w:sz w:val="14"/>
        </w:rPr>
        <w:t>=</w:t>
      </w:r>
      <w:r>
        <w:rPr>
          <w:rFonts w:ascii="Courier New"/>
          <w:spacing w:val="38"/>
          <w:w w:val="105"/>
          <w:sz w:val="14"/>
        </w:rPr>
        <w:t> </w:t>
      </w:r>
      <w:r>
        <w:rPr>
          <w:rFonts w:ascii="Courier New"/>
          <w:w w:val="105"/>
          <w:sz w:val="14"/>
        </w:rPr>
        <w:t>0.000</w:t>
      </w:r>
    </w:p>
    <w:p>
      <w:pPr>
        <w:spacing w:after="0"/>
        <w:jc w:val="left"/>
        <w:rPr>
          <w:rFonts w:ascii="Courier New"/>
          <w:sz w:val="14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6" w:right="518"/>
        <w:jc w:val="center"/>
      </w:pPr>
      <w:r>
        <w:rPr/>
        <w:t>TABLE</w:t>
      </w:r>
      <w:r>
        <w:rPr>
          <w:spacing w:val="-2"/>
        </w:rPr>
        <w:t> </w:t>
      </w:r>
      <w:r>
        <w:rPr/>
        <w:t>J5:</w:t>
      </w:r>
      <w:r>
        <w:rPr>
          <w:spacing w:val="-2"/>
        </w:rPr>
        <w:t> </w:t>
      </w:r>
      <w:r>
        <w:rPr/>
        <w:t>HOMOGENEITY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WAVE</w:t>
      </w:r>
      <w:r>
        <w:rPr>
          <w:spacing w:val="-1"/>
        </w:rPr>
        <w:t> </w:t>
      </w:r>
      <w:r>
        <w:rPr/>
        <w:t>III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spacing w:before="4"/>
        <w:rPr>
          <w:sz w:val="12"/>
        </w:rPr>
      </w:pPr>
    </w:p>
    <w:p>
      <w:pPr>
        <w:spacing w:before="104"/>
        <w:ind w:left="163" w:right="0" w:firstLine="0"/>
        <w:jc w:val="left"/>
        <w:rPr>
          <w:rFonts w:ascii="Courier New"/>
          <w:sz w:val="14"/>
        </w:rPr>
      </w:pPr>
      <w:r>
        <w:rPr>
          <w:rFonts w:ascii="Courier New"/>
          <w:w w:val="115"/>
          <w:sz w:val="14"/>
        </w:rPr>
        <w:t>Breusch</w:t>
      </w:r>
      <w:r>
        <w:rPr>
          <w:rFonts w:ascii="Courier New"/>
          <w:spacing w:val="43"/>
          <w:w w:val="115"/>
          <w:sz w:val="14"/>
        </w:rPr>
        <w:t> </w:t>
      </w:r>
      <w:r>
        <w:rPr>
          <w:rFonts w:ascii="Courier New"/>
          <w:w w:val="115"/>
          <w:sz w:val="14"/>
        </w:rPr>
        <w:t>and</w:t>
      </w:r>
      <w:r>
        <w:rPr>
          <w:rFonts w:ascii="Courier New"/>
          <w:spacing w:val="43"/>
          <w:w w:val="115"/>
          <w:sz w:val="14"/>
        </w:rPr>
        <w:t> </w:t>
      </w:r>
      <w:r>
        <w:rPr>
          <w:rFonts w:ascii="Courier New"/>
          <w:w w:val="115"/>
          <w:sz w:val="14"/>
        </w:rPr>
        <w:t>Pagan</w:t>
      </w:r>
      <w:r>
        <w:rPr>
          <w:rFonts w:ascii="Courier New"/>
          <w:spacing w:val="43"/>
          <w:w w:val="115"/>
          <w:sz w:val="14"/>
        </w:rPr>
        <w:t> </w:t>
      </w:r>
      <w:r>
        <w:rPr>
          <w:rFonts w:ascii="Courier New"/>
          <w:w w:val="115"/>
          <w:sz w:val="14"/>
        </w:rPr>
        <w:t>Lagrangian</w:t>
      </w:r>
      <w:r>
        <w:rPr>
          <w:rFonts w:ascii="Courier New"/>
          <w:spacing w:val="43"/>
          <w:w w:val="115"/>
          <w:sz w:val="14"/>
        </w:rPr>
        <w:t> </w:t>
      </w:r>
      <w:r>
        <w:rPr>
          <w:rFonts w:ascii="Courier New"/>
          <w:w w:val="115"/>
          <w:sz w:val="14"/>
        </w:rPr>
        <w:t>multiplier</w:t>
      </w:r>
      <w:r>
        <w:rPr>
          <w:rFonts w:ascii="Courier New"/>
          <w:spacing w:val="43"/>
          <w:w w:val="115"/>
          <w:sz w:val="14"/>
        </w:rPr>
        <w:t> </w:t>
      </w:r>
      <w:r>
        <w:rPr>
          <w:rFonts w:ascii="Courier New"/>
          <w:w w:val="115"/>
          <w:sz w:val="14"/>
        </w:rPr>
        <w:t>test</w:t>
      </w:r>
      <w:r>
        <w:rPr>
          <w:rFonts w:ascii="Courier New"/>
          <w:spacing w:val="43"/>
          <w:w w:val="115"/>
          <w:sz w:val="14"/>
        </w:rPr>
        <w:t> </w:t>
      </w:r>
      <w:r>
        <w:rPr>
          <w:rFonts w:ascii="Courier New"/>
          <w:w w:val="115"/>
          <w:sz w:val="14"/>
        </w:rPr>
        <w:t>for</w:t>
      </w:r>
      <w:r>
        <w:rPr>
          <w:rFonts w:ascii="Courier New"/>
          <w:spacing w:val="43"/>
          <w:w w:val="115"/>
          <w:sz w:val="14"/>
        </w:rPr>
        <w:t> </w:t>
      </w:r>
      <w:r>
        <w:rPr>
          <w:rFonts w:ascii="Courier New"/>
          <w:w w:val="115"/>
          <w:sz w:val="14"/>
        </w:rPr>
        <w:t>random</w:t>
      </w:r>
      <w:r>
        <w:rPr>
          <w:rFonts w:ascii="Courier New"/>
          <w:spacing w:val="43"/>
          <w:w w:val="115"/>
          <w:sz w:val="14"/>
        </w:rPr>
        <w:t> </w:t>
      </w:r>
      <w:r>
        <w:rPr>
          <w:rFonts w:ascii="Courier New"/>
          <w:w w:val="115"/>
          <w:sz w:val="14"/>
        </w:rPr>
        <w:t>effects</w:t>
      </w:r>
    </w:p>
    <w:p>
      <w:pPr>
        <w:pStyle w:val="BodyText"/>
        <w:rPr>
          <w:rFonts w:ascii="Courier New"/>
          <w:sz w:val="14"/>
        </w:rPr>
      </w:pPr>
    </w:p>
    <w:p>
      <w:pPr>
        <w:spacing w:before="104"/>
        <w:ind w:left="986" w:right="0" w:firstLine="0"/>
        <w:jc w:val="left"/>
        <w:rPr>
          <w:rFonts w:ascii="Courier New"/>
          <w:sz w:val="14"/>
        </w:rPr>
      </w:pPr>
      <w:r>
        <w:rPr>
          <w:rFonts w:ascii="Courier New"/>
          <w:w w:val="115"/>
          <w:sz w:val="14"/>
        </w:rPr>
        <w:t>illness[state,t]</w:t>
      </w:r>
      <w:r>
        <w:rPr>
          <w:rFonts w:ascii="Courier New"/>
          <w:spacing w:val="40"/>
          <w:w w:val="115"/>
          <w:sz w:val="14"/>
        </w:rPr>
        <w:t> </w:t>
      </w:r>
      <w:r>
        <w:rPr>
          <w:rFonts w:ascii="Courier New"/>
          <w:w w:val="115"/>
          <w:sz w:val="14"/>
        </w:rPr>
        <w:t>=</w:t>
      </w:r>
      <w:r>
        <w:rPr>
          <w:rFonts w:ascii="Courier New"/>
          <w:spacing w:val="40"/>
          <w:w w:val="115"/>
          <w:sz w:val="14"/>
        </w:rPr>
        <w:t> </w:t>
      </w:r>
      <w:r>
        <w:rPr>
          <w:rFonts w:ascii="Courier New"/>
          <w:w w:val="115"/>
          <w:sz w:val="14"/>
        </w:rPr>
        <w:t>Xb</w:t>
      </w:r>
      <w:r>
        <w:rPr>
          <w:rFonts w:ascii="Courier New"/>
          <w:spacing w:val="41"/>
          <w:w w:val="115"/>
          <w:sz w:val="14"/>
        </w:rPr>
        <w:t> </w:t>
      </w:r>
      <w:r>
        <w:rPr>
          <w:rFonts w:ascii="Courier New"/>
          <w:w w:val="115"/>
          <w:sz w:val="14"/>
        </w:rPr>
        <w:t>+</w:t>
      </w:r>
      <w:r>
        <w:rPr>
          <w:rFonts w:ascii="Courier New"/>
          <w:spacing w:val="40"/>
          <w:w w:val="115"/>
          <w:sz w:val="14"/>
        </w:rPr>
        <w:t> </w:t>
      </w:r>
      <w:r>
        <w:rPr>
          <w:rFonts w:ascii="Courier New"/>
          <w:w w:val="115"/>
          <w:sz w:val="14"/>
        </w:rPr>
        <w:t>u[state]</w:t>
      </w:r>
      <w:r>
        <w:rPr>
          <w:rFonts w:ascii="Courier New"/>
          <w:spacing w:val="40"/>
          <w:w w:val="115"/>
          <w:sz w:val="14"/>
        </w:rPr>
        <w:t> </w:t>
      </w:r>
      <w:r>
        <w:rPr>
          <w:rFonts w:ascii="Courier New"/>
          <w:w w:val="115"/>
          <w:sz w:val="14"/>
        </w:rPr>
        <w:t>+</w:t>
      </w:r>
      <w:r>
        <w:rPr>
          <w:rFonts w:ascii="Courier New"/>
          <w:spacing w:val="41"/>
          <w:w w:val="115"/>
          <w:sz w:val="14"/>
        </w:rPr>
        <w:t> </w:t>
      </w:r>
      <w:r>
        <w:rPr>
          <w:rFonts w:ascii="Courier New"/>
          <w:w w:val="115"/>
          <w:sz w:val="14"/>
        </w:rPr>
        <w:t>e[state,t]</w:t>
      </w:r>
    </w:p>
    <w:p>
      <w:pPr>
        <w:pStyle w:val="BodyText"/>
        <w:spacing w:before="11"/>
        <w:rPr>
          <w:rFonts w:ascii="Courier New"/>
          <w:sz w:val="13"/>
        </w:rPr>
      </w:pPr>
    </w:p>
    <w:p>
      <w:pPr>
        <w:spacing w:before="104"/>
        <w:ind w:left="986" w:right="0" w:firstLine="0"/>
        <w:jc w:val="left"/>
        <w:rPr>
          <w:rFonts w:ascii="Courier New"/>
          <w:sz w:val="14"/>
        </w:rPr>
      </w:pPr>
      <w:r>
        <w:rPr/>
        <w:pict>
          <v:group style="position:absolute;margin-left:156.774048pt;margin-top:14.653927pt;width:200.8pt;height:51.95pt;mso-position-horizontal-relative:page;mso-position-vertical-relative:paragraph;z-index:-15664640;mso-wrap-distance-left:0;mso-wrap-distance-right:0" coordorigin="3135,293" coordsize="4016,1039">
            <v:shape style="position:absolute;left:4097;top:713;width:15;height:619" coordorigin="4097,714" coordsize="15,619" path="m4112,1134l4097,1134,4097,1332,4112,1332,4112,1134xm4112,924l4097,924,4097,1121,4112,1121,4112,924xm4112,714l4097,714,4097,911,4112,911,4112,714xe" filled="true" fillcolor="#000000" stroked="false">
              <v:path arrowok="t"/>
              <v:fill type="solid"/>
            </v:shape>
            <v:line style="position:absolute" from="3135,595" to="4149,595" stroked="true" strokeweight=".660276pt" strokecolor="#000000">
              <v:stroke dashstyle="shortdash"/>
            </v:line>
            <v:shape style="position:absolute;left:4097;top:503;width:155;height:198" coordorigin="4097,503" coordsize="155,198" path="m4112,503l4097,503,4097,701,4112,701,4112,503xm4252,589l4163,589,4163,602,4252,602,4252,589xe" filled="true" fillcolor="#000000" stroked="false">
              <v:path arrowok="t"/>
              <v:fill type="solid"/>
            </v:shape>
            <v:line style="position:absolute" from="4266,595" to="7129,595" stroked="true" strokeweight=".660276pt" strokecolor="#000000">
              <v:stroke dashstyle="shortdash"/>
            </v:line>
            <v:rect style="position:absolute;left:4097;top:293;width:15;height:197" filled="true" fillcolor="#000000" stroked="false">
              <v:fill type="solid"/>
            </v:rect>
            <v:shape style="position:absolute;left:4875;top:310;width:323;height:16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15"/>
                        <w:sz w:val="14"/>
                      </w:rPr>
                      <w:t>Var</w:t>
                    </w:r>
                  </w:p>
                </w:txbxContent>
              </v:textbox>
              <w10:wrap type="none"/>
            </v:shape>
            <v:shape style="position:absolute;left:5697;top:310;width:1454;height:16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15"/>
                        <w:sz w:val="14"/>
                      </w:rPr>
                      <w:t>sd</w:t>
                    </w:r>
                    <w:r>
                      <w:rPr>
                        <w:rFonts w:ascii="Courier New"/>
                        <w:spacing w:val="35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ourier New"/>
                        <w:w w:val="115"/>
                        <w:sz w:val="14"/>
                      </w:rPr>
                      <w:t>=</w:t>
                    </w:r>
                    <w:r>
                      <w:rPr>
                        <w:rFonts w:ascii="Courier New"/>
                        <w:spacing w:val="36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ourier New"/>
                        <w:w w:val="115"/>
                        <w:sz w:val="14"/>
                      </w:rPr>
                      <w:t>sqrt(Var)</w:t>
                    </w:r>
                  </w:p>
                </w:txbxContent>
              </v:textbox>
              <w10:wrap type="none"/>
            </v:shape>
            <v:shape style="position:absolute;left:3231;top:731;width:734;height:585" type="#_x0000_t202" filled="false" stroked="false">
              <v:textbox inset="0,0,0,0">
                <w:txbxContent>
                  <w:p>
                    <w:pPr>
                      <w:spacing w:before="3"/>
                      <w:ind w:left="0" w:right="18" w:firstLine="0"/>
                      <w:jc w:val="righ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15"/>
                        <w:sz w:val="14"/>
                      </w:rPr>
                      <w:t>illness</w:t>
                    </w:r>
                  </w:p>
                  <w:p>
                    <w:pPr>
                      <w:spacing w:line="210" w:lineRule="atLeast" w:before="1"/>
                      <w:ind w:left="542" w:right="18" w:firstLine="0"/>
                      <w:jc w:val="righ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15"/>
                        <w:sz w:val="14"/>
                      </w:rPr>
                      <w:t>e</w:t>
                    </w:r>
                    <w:r>
                      <w:rPr>
                        <w:rFonts w:ascii="Courier New"/>
                        <w:spacing w:val="-94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ourier New"/>
                        <w:w w:val="115"/>
                        <w:sz w:val="14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4464;top:731;width:837;height:585" type="#_x0000_t202" filled="false" stroked="false">
              <v:textbox inset="0,0,0,0">
                <w:txbxContent>
                  <w:p>
                    <w:pPr>
                      <w:spacing w:before="3"/>
                      <w:ind w:left="0" w:right="18" w:firstLine="0"/>
                      <w:jc w:val="righ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15"/>
                        <w:sz w:val="14"/>
                      </w:rPr>
                      <w:t>.11317</w:t>
                    </w:r>
                  </w:p>
                  <w:p>
                    <w:pPr>
                      <w:spacing w:before="52"/>
                      <w:ind w:left="0" w:right="18" w:firstLine="0"/>
                      <w:jc w:val="righ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15"/>
                        <w:sz w:val="14"/>
                      </w:rPr>
                      <w:t>.0725663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15"/>
                        <w:sz w:val="14"/>
                      </w:rPr>
                      <w:t>.000431</w:t>
                    </w:r>
                  </w:p>
                </w:txbxContent>
              </v:textbox>
              <w10:wrap type="none"/>
            </v:shape>
            <v:shape style="position:absolute;left:6006;top:731;width:529;height:16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w w:val="115"/>
                        <w:sz w:val="14"/>
                      </w:rPr>
                      <w:t>.3364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Courier New"/>
          <w:w w:val="115"/>
          <w:sz w:val="14"/>
        </w:rPr>
        <w:t>Estimated</w:t>
      </w:r>
      <w:r>
        <w:rPr>
          <w:rFonts w:ascii="Courier New"/>
          <w:spacing w:val="70"/>
          <w:w w:val="115"/>
          <w:sz w:val="14"/>
        </w:rPr>
        <w:t> </w:t>
      </w:r>
      <w:r>
        <w:rPr>
          <w:rFonts w:ascii="Courier New"/>
          <w:w w:val="115"/>
          <w:sz w:val="14"/>
        </w:rPr>
        <w:t>results:</w:t>
      </w:r>
    </w:p>
    <w:p>
      <w:pPr>
        <w:pStyle w:val="BodyText"/>
        <w:spacing w:before="10"/>
        <w:rPr>
          <w:rFonts w:ascii="Courier New"/>
          <w:sz w:val="9"/>
        </w:rPr>
      </w:pPr>
    </w:p>
    <w:p>
      <w:pPr>
        <w:tabs>
          <w:tab w:pos="1808" w:val="left" w:leader="none"/>
        </w:tabs>
        <w:spacing w:before="104"/>
        <w:ind w:left="986" w:right="0" w:firstLine="0"/>
        <w:jc w:val="left"/>
        <w:rPr>
          <w:rFonts w:ascii="Courier New"/>
          <w:sz w:val="14"/>
        </w:rPr>
      </w:pPr>
      <w:r>
        <w:rPr>
          <w:rFonts w:ascii="Courier New"/>
          <w:w w:val="115"/>
          <w:sz w:val="14"/>
        </w:rPr>
        <w:t>Test:</w:t>
        <w:tab/>
        <w:t>Var(u)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spacing w:before="8"/>
        <w:rPr>
          <w:rFonts w:ascii="Courier New"/>
          <w:sz w:val="19"/>
        </w:rPr>
      </w:pPr>
    </w:p>
    <w:p>
      <w:pPr>
        <w:spacing w:before="0"/>
        <w:ind w:left="165" w:right="0" w:firstLine="0"/>
        <w:jc w:val="left"/>
        <w:rPr>
          <w:rFonts w:ascii="Courier New"/>
          <w:sz w:val="12"/>
        </w:rPr>
      </w:pPr>
      <w:r>
        <w:rPr>
          <w:rFonts w:ascii="Courier New"/>
          <w:w w:val="140"/>
          <w:sz w:val="12"/>
        </w:rPr>
        <w:t>.</w:t>
      </w:r>
      <w:r>
        <w:rPr>
          <w:rFonts w:ascii="Courier New"/>
          <w:spacing w:val="16"/>
          <w:w w:val="140"/>
          <w:sz w:val="12"/>
        </w:rPr>
        <w:t> </w:t>
      </w:r>
      <w:r>
        <w:rPr>
          <w:rFonts w:ascii="Courier New"/>
          <w:w w:val="140"/>
          <w:sz w:val="12"/>
        </w:rPr>
        <w:t>hausman</w:t>
      </w:r>
      <w:r>
        <w:rPr>
          <w:rFonts w:ascii="Courier New"/>
          <w:spacing w:val="17"/>
          <w:w w:val="140"/>
          <w:sz w:val="12"/>
        </w:rPr>
        <w:t> </w:t>
      </w:r>
      <w:r>
        <w:rPr>
          <w:rFonts w:ascii="Courier New"/>
          <w:w w:val="140"/>
          <w:sz w:val="12"/>
        </w:rPr>
        <w:t>fe</w:t>
      </w:r>
      <w:r>
        <w:rPr>
          <w:rFonts w:ascii="Courier New"/>
          <w:spacing w:val="17"/>
          <w:w w:val="140"/>
          <w:sz w:val="12"/>
        </w:rPr>
        <w:t> </w:t>
      </w:r>
      <w:r>
        <w:rPr>
          <w:rFonts w:ascii="Courier New"/>
          <w:w w:val="140"/>
          <w:sz w:val="12"/>
        </w:rPr>
        <w:t>re</w:t>
      </w:r>
    </w:p>
    <w:p>
      <w:pPr>
        <w:pStyle w:val="BodyText"/>
        <w:rPr>
          <w:rFonts w:ascii="Courier New"/>
          <w:sz w:val="21"/>
        </w:rPr>
      </w:pPr>
      <w:r>
        <w:rPr/>
        <w:br w:type="column"/>
      </w:r>
      <w:r>
        <w:rPr>
          <w:rFonts w:ascii="Courier New"/>
          <w:sz w:val="21"/>
        </w:rPr>
      </w:r>
    </w:p>
    <w:p>
      <w:pPr>
        <w:pStyle w:val="BodyText"/>
        <w:ind w:left="165"/>
      </w:pPr>
      <w:r>
        <w:rPr/>
        <w:t>TABLE</w:t>
      </w:r>
      <w:r>
        <w:rPr>
          <w:spacing w:val="-2"/>
        </w:rPr>
        <w:t> </w:t>
      </w:r>
      <w:r>
        <w:rPr/>
        <w:t>J6:</w:t>
      </w:r>
      <w:r>
        <w:rPr>
          <w:spacing w:val="-1"/>
        </w:rPr>
        <w:t> </w:t>
      </w:r>
      <w:r>
        <w:rPr/>
        <w:t>HAUSMAN 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WAVE III</w:t>
      </w:r>
    </w:p>
    <w:p>
      <w:pPr>
        <w:spacing w:after="0"/>
        <w:sectPr>
          <w:type w:val="continuous"/>
          <w:pgSz w:w="12240" w:h="15840"/>
          <w:pgMar w:top="1380" w:bottom="280" w:left="1320" w:right="1000"/>
          <w:cols w:num="2" w:equalWidth="0">
            <w:col w:w="1780" w:space="543"/>
            <w:col w:w="7597"/>
          </w:cols>
        </w:sectPr>
      </w:pPr>
    </w:p>
    <w:p>
      <w:pPr>
        <w:pStyle w:val="BodyText"/>
        <w:spacing w:before="9"/>
        <w:rPr>
          <w:sz w:val="9"/>
        </w:rPr>
      </w:pPr>
    </w:p>
    <w:p>
      <w:pPr>
        <w:spacing w:before="99" w:after="24"/>
        <w:ind w:left="2482" w:right="0" w:firstLine="0"/>
        <w:jc w:val="left"/>
        <w:rPr>
          <w:rFonts w:ascii="Courier New"/>
          <w:sz w:val="12"/>
        </w:rPr>
      </w:pPr>
      <w:r>
        <w:rPr/>
        <w:pict>
          <v:shape style="position:absolute;margin-left:164.174942pt;margin-top:8.033337pt;width:20.350pt;height:.1pt;mso-position-horizontal-relative:page;mso-position-vertical-relative:paragraph;z-index:15793152" coordorigin="3283,161" coordsize="407,0" path="m3283,161l3374,161m3389,161l3479,161m3494,161l3584,161m3599,161l3690,161e" filled="false" stroked="true" strokeweight=".65363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58.966309pt;margin-top:8.033337pt;width:20.350pt;height:.1pt;mso-position-horizontal-relative:page;mso-position-vertical-relative:paragraph;z-index:15793664" coordorigin="5179,161" coordsize="407,0" path="m5179,161l5270,161m5285,161l5375,161m5390,161l5480,161m5496,161l5586,161e" filled="false" stroked="true" strokeweight=".653632pt" strokecolor="#000000">
            <v:path arrowok="t"/>
            <v:stroke dashstyle="solid"/>
            <w10:wrap type="none"/>
          </v:shape>
        </w:pict>
      </w:r>
      <w:r>
        <w:rPr>
          <w:rFonts w:ascii="Courier New"/>
          <w:w w:val="140"/>
          <w:sz w:val="12"/>
        </w:rPr>
        <w:t>Coefficients</w:t>
      </w:r>
    </w:p>
    <w:tbl>
      <w:tblPr>
        <w:tblW w:w="0" w:type="auto"/>
        <w:jc w:val="left"/>
        <w:tblInd w:w="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5"/>
        <w:gridCol w:w="1525"/>
        <w:gridCol w:w="1476"/>
        <w:gridCol w:w="1528"/>
        <w:gridCol w:w="2261"/>
      </w:tblGrid>
      <w:tr>
        <w:trPr>
          <w:trHeight w:val="416" w:hRule="atLeast"/>
        </w:trPr>
        <w:tc>
          <w:tcPr>
            <w:tcW w:w="1415" w:type="dxa"/>
            <w:tcBorders>
              <w:bottom w:val="dashed" w:sz="6" w:space="0" w:color="000000"/>
              <w:right w:val="dashed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01" w:type="dxa"/>
            <w:gridSpan w:val="2"/>
            <w:tcBorders>
              <w:left w:val="dashed" w:sz="8" w:space="0" w:color="000000"/>
              <w:bottom w:val="dashed" w:sz="6" w:space="0" w:color="000000"/>
            </w:tcBorders>
          </w:tcPr>
          <w:p>
            <w:pPr>
              <w:pStyle w:val="TableParagraph"/>
              <w:tabs>
                <w:tab w:pos="1369" w:val="left" w:leader="none"/>
              </w:tabs>
              <w:spacing w:before="14"/>
              <w:ind w:right="629"/>
              <w:rPr>
                <w:sz w:val="12"/>
              </w:rPr>
            </w:pPr>
            <w:r>
              <w:rPr>
                <w:w w:val="140"/>
                <w:sz w:val="12"/>
              </w:rPr>
              <w:t>(b)</w:t>
              <w:tab/>
              <w:t>(B)</w:t>
            </w:r>
          </w:p>
          <w:p>
            <w:pPr>
              <w:pStyle w:val="TableParagraph"/>
              <w:tabs>
                <w:tab w:pos="1369" w:val="left" w:leader="none"/>
              </w:tabs>
              <w:spacing w:before="38"/>
              <w:ind w:right="629"/>
              <w:rPr>
                <w:sz w:val="12"/>
              </w:rPr>
            </w:pPr>
            <w:r>
              <w:rPr>
                <w:w w:val="140"/>
                <w:sz w:val="12"/>
              </w:rPr>
              <w:t>fe</w:t>
              <w:tab/>
              <w:t>re</w:t>
            </w:r>
          </w:p>
        </w:tc>
        <w:tc>
          <w:tcPr>
            <w:tcW w:w="1528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14"/>
              <w:ind w:left="638"/>
              <w:jc w:val="left"/>
              <w:rPr>
                <w:sz w:val="12"/>
              </w:rPr>
            </w:pPr>
            <w:r>
              <w:rPr>
                <w:w w:val="140"/>
                <w:sz w:val="12"/>
              </w:rPr>
              <w:t>(b-B)</w:t>
            </w:r>
          </w:p>
          <w:p>
            <w:pPr>
              <w:pStyle w:val="TableParagraph"/>
              <w:spacing w:before="38"/>
              <w:ind w:left="322"/>
              <w:jc w:val="left"/>
              <w:rPr>
                <w:sz w:val="12"/>
              </w:rPr>
            </w:pPr>
            <w:r>
              <w:rPr>
                <w:w w:val="140"/>
                <w:sz w:val="12"/>
              </w:rPr>
              <w:t>Difference</w:t>
            </w:r>
          </w:p>
        </w:tc>
        <w:tc>
          <w:tcPr>
            <w:tcW w:w="2261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line="307" w:lineRule="auto" w:before="14"/>
              <w:ind w:left="901" w:hanging="738"/>
              <w:jc w:val="left"/>
              <w:rPr>
                <w:sz w:val="12"/>
              </w:rPr>
            </w:pPr>
            <w:r>
              <w:rPr>
                <w:w w:val="135"/>
                <w:sz w:val="12"/>
              </w:rPr>
              <w:t>sqrt(diag(V_b-V_B))</w:t>
            </w:r>
            <w:r>
              <w:rPr>
                <w:spacing w:val="1"/>
                <w:w w:val="135"/>
                <w:sz w:val="12"/>
              </w:rPr>
              <w:t> </w:t>
            </w:r>
            <w:r>
              <w:rPr>
                <w:w w:val="140"/>
                <w:sz w:val="12"/>
              </w:rPr>
              <w:t>S.E.</w:t>
            </w:r>
          </w:p>
        </w:tc>
      </w:tr>
      <w:tr>
        <w:trPr>
          <w:trHeight w:val="259" w:hRule="atLeast"/>
        </w:trPr>
        <w:tc>
          <w:tcPr>
            <w:tcW w:w="1415" w:type="dxa"/>
            <w:tcBorders>
              <w:top w:val="dashed" w:sz="6" w:space="0" w:color="000000"/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04"/>
              <w:ind w:right="146"/>
              <w:rPr>
                <w:sz w:val="12"/>
              </w:rPr>
            </w:pPr>
            <w:r>
              <w:rPr>
                <w:w w:val="140"/>
                <w:sz w:val="12"/>
              </w:rPr>
              <w:t>familysize</w:t>
            </w:r>
          </w:p>
        </w:tc>
        <w:tc>
          <w:tcPr>
            <w:tcW w:w="1525" w:type="dxa"/>
            <w:tcBorders>
              <w:top w:val="dashed" w:sz="6" w:space="0" w:color="000000"/>
              <w:left w:val="dashed" w:sz="8" w:space="0" w:color="000000"/>
            </w:tcBorders>
          </w:tcPr>
          <w:p>
            <w:pPr>
              <w:pStyle w:val="TableParagraph"/>
              <w:spacing w:line="135" w:lineRule="exact" w:before="104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-.0035997</w:t>
            </w:r>
          </w:p>
        </w:tc>
        <w:tc>
          <w:tcPr>
            <w:tcW w:w="1476" w:type="dxa"/>
            <w:tcBorders>
              <w:top w:val="dashed" w:sz="6" w:space="0" w:color="000000"/>
            </w:tcBorders>
          </w:tcPr>
          <w:p>
            <w:pPr>
              <w:pStyle w:val="TableParagraph"/>
              <w:spacing w:line="135" w:lineRule="exact" w:before="104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-.0019365</w:t>
            </w:r>
          </w:p>
        </w:tc>
        <w:tc>
          <w:tcPr>
            <w:tcW w:w="1528" w:type="dxa"/>
            <w:tcBorders>
              <w:top w:val="dashed" w:sz="6" w:space="0" w:color="000000"/>
            </w:tcBorders>
          </w:tcPr>
          <w:p>
            <w:pPr>
              <w:pStyle w:val="TableParagraph"/>
              <w:spacing w:line="135" w:lineRule="exact" w:before="104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-.0016631</w:t>
            </w:r>
          </w:p>
        </w:tc>
        <w:tc>
          <w:tcPr>
            <w:tcW w:w="2261" w:type="dxa"/>
            <w:tcBorders>
              <w:top w:val="dashed" w:sz="6" w:space="0" w:color="000000"/>
            </w:tcBorders>
          </w:tcPr>
          <w:p>
            <w:pPr>
              <w:pStyle w:val="TableParagraph"/>
              <w:spacing w:line="135" w:lineRule="exact" w:before="104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.0005441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hungerorfood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.2758063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.2754148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.0003915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37"/>
                <w:sz w:val="12"/>
              </w:rPr>
              <w:t>.</w:t>
            </w:r>
          </w:p>
        </w:tc>
      </w:tr>
      <w:tr>
        <w:trPr>
          <w:trHeight w:val="173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40"/>
                <w:sz w:val="12"/>
              </w:rPr>
              <w:t>gari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.0263661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.0267951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-.000429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37"/>
                <w:sz w:val="12"/>
              </w:rPr>
              <w:t>.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40"/>
                <w:sz w:val="12"/>
              </w:rPr>
              <w:t>rice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-.0455929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-.0459452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.0003524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37"/>
                <w:sz w:val="12"/>
              </w:rPr>
              <w:t>.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yamorcassa~r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-.0076937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-.0072381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-.0004555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.000263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40"/>
                <w:sz w:val="12"/>
              </w:rPr>
              <w:t>beans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-.0155396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-.0153964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-.0001432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.0003625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40"/>
                <w:sz w:val="12"/>
              </w:rPr>
              <w:t>meatorfish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-.150947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-.1501279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-.000819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37"/>
                <w:sz w:val="12"/>
              </w:rPr>
              <w:t>.</w:t>
            </w:r>
          </w:p>
        </w:tc>
      </w:tr>
      <w:tr>
        <w:trPr>
          <w:trHeight w:val="173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mosquitone~n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-.0955961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-.0942025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-.0013936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37"/>
                <w:sz w:val="12"/>
              </w:rPr>
              <w:t>.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primaryedu~n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-.0361661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-.037301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.0011349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37"/>
                <w:sz w:val="12"/>
              </w:rPr>
              <w:t>.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secondarye~n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.005359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.001034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.0043249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37"/>
                <w:sz w:val="12"/>
              </w:rPr>
              <w:t>.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highercert~e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-.0658415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-.0655135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-.0003279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37"/>
                <w:sz w:val="12"/>
              </w:rPr>
              <w:t>.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nobasicedu~n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.4524457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.4510552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.0013905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.0003816</w:t>
            </w:r>
          </w:p>
        </w:tc>
      </w:tr>
      <w:tr>
        <w:trPr>
          <w:trHeight w:val="173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hadelectri~y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-.0012789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-.001064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-.0002149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.0001622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noeletricity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.0087122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.0065122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.0021999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.0002704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pipebornew~r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-.0130373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-.0131667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.0001293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.0002019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boreholean~l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-.0019985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-.0019704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-.0000281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.0000446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riverandsp~g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.0200687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.0199414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.0001273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.0001024</w:t>
            </w:r>
          </w:p>
        </w:tc>
      </w:tr>
      <w:tr>
        <w:trPr>
          <w:trHeight w:val="173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noaccessto~r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.0049791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.0037569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.0012222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.0004174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waterandmo~t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-.0150274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-.0341014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.019074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.0112911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pitorlatri~t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.0001156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.000144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-.0000284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.0000261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notoiletfa~y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.007754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.007646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.0001079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.0000501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alcoholicd~s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.0046403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.0050401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-.0003998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.0001012</w:t>
            </w:r>
          </w:p>
        </w:tc>
      </w:tr>
      <w:tr>
        <w:trPr>
          <w:trHeight w:val="173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selfmedica~n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.0062278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.0250148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-.018787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.0111484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seekinghea~e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-.005066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-.0044012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-.0006648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.0003099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40"/>
                <w:sz w:val="12"/>
              </w:rPr>
              <w:t>others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-.0046812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-.0042922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-.0003891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37"/>
                <w:sz w:val="12"/>
              </w:rPr>
              <w:t>.</w:t>
            </w:r>
          </w:p>
        </w:tc>
      </w:tr>
      <w:tr>
        <w:trPr>
          <w:trHeight w:val="173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wagesandsa~s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-.0082373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-.0089842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.0007469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.0003694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businessan~g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-.0023802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-.0023738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-6.35e-06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.0001124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cropandliv~s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-.0098043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-.0101577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.0003534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.000372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40"/>
                <w:sz w:val="12"/>
              </w:rPr>
              <w:t>remittances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.003704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.0042016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-.0004976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.0002319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monetaryan~s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-.0021967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-.0023235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.0001268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37"/>
                <w:sz w:val="12"/>
              </w:rPr>
              <w:t>.</w:t>
            </w:r>
          </w:p>
        </w:tc>
      </w:tr>
      <w:tr>
        <w:trPr>
          <w:trHeight w:val="173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40"/>
                <w:sz w:val="12"/>
              </w:rPr>
              <w:t>pension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-.0025684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-.0052934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.002725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.0008904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dividendfr~n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-.0035756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-.0022732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-.0013024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.0043314</w:t>
            </w:r>
          </w:p>
        </w:tc>
      </w:tr>
      <w:tr>
        <w:trPr>
          <w:trHeight w:val="174" w:hRule="atLeast"/>
        </w:trPr>
        <w:tc>
          <w:tcPr>
            <w:tcW w:w="1415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incomesfro~e</w:t>
            </w:r>
          </w:p>
        </w:tc>
        <w:tc>
          <w:tcPr>
            <w:tcW w:w="152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line="135" w:lineRule="exact"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-.0018051</w:t>
            </w:r>
          </w:p>
        </w:tc>
        <w:tc>
          <w:tcPr>
            <w:tcW w:w="1476" w:type="dxa"/>
          </w:tcPr>
          <w:p>
            <w:pPr>
              <w:pStyle w:val="TableParagraph"/>
              <w:spacing w:line="135" w:lineRule="exact"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.0075053</w:t>
            </w:r>
          </w:p>
        </w:tc>
        <w:tc>
          <w:tcPr>
            <w:tcW w:w="1528" w:type="dxa"/>
          </w:tcPr>
          <w:p>
            <w:pPr>
              <w:pStyle w:val="TableParagraph"/>
              <w:spacing w:line="135" w:lineRule="exact"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-.0093104</w:t>
            </w:r>
          </w:p>
        </w:tc>
        <w:tc>
          <w:tcPr>
            <w:tcW w:w="2261" w:type="dxa"/>
          </w:tcPr>
          <w:p>
            <w:pPr>
              <w:pStyle w:val="TableParagraph"/>
              <w:spacing w:line="135" w:lineRule="exact"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.0065084</w:t>
            </w:r>
          </w:p>
        </w:tc>
      </w:tr>
      <w:tr>
        <w:trPr>
          <w:trHeight w:val="247" w:hRule="atLeast"/>
        </w:trPr>
        <w:tc>
          <w:tcPr>
            <w:tcW w:w="1415" w:type="dxa"/>
            <w:tcBorders>
              <w:bottom w:val="dashed" w:sz="6" w:space="0" w:color="000000"/>
              <w:right w:val="dashed" w:sz="8" w:space="0" w:color="000000"/>
            </w:tcBorders>
          </w:tcPr>
          <w:p>
            <w:pPr>
              <w:pStyle w:val="TableParagraph"/>
              <w:spacing w:before="19"/>
              <w:ind w:right="146"/>
              <w:rPr>
                <w:sz w:val="12"/>
              </w:rPr>
            </w:pPr>
            <w:r>
              <w:rPr>
                <w:w w:val="135"/>
                <w:sz w:val="12"/>
              </w:rPr>
              <w:t>ginicoeffi~t</w:t>
            </w:r>
          </w:p>
        </w:tc>
        <w:tc>
          <w:tcPr>
            <w:tcW w:w="1525" w:type="dxa"/>
            <w:tcBorders>
              <w:left w:val="dashed" w:sz="8" w:space="0" w:color="000000"/>
              <w:bottom w:val="dashed" w:sz="6" w:space="0" w:color="000000"/>
            </w:tcBorders>
          </w:tcPr>
          <w:p>
            <w:pPr>
              <w:pStyle w:val="TableParagraph"/>
              <w:spacing w:before="19"/>
              <w:ind w:right="207"/>
              <w:rPr>
                <w:sz w:val="12"/>
              </w:rPr>
            </w:pPr>
            <w:r>
              <w:rPr>
                <w:w w:val="140"/>
                <w:sz w:val="12"/>
              </w:rPr>
              <w:t>.011607</w:t>
            </w:r>
          </w:p>
        </w:tc>
        <w:tc>
          <w:tcPr>
            <w:tcW w:w="1476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19"/>
              <w:ind w:right="313"/>
              <w:rPr>
                <w:sz w:val="12"/>
              </w:rPr>
            </w:pPr>
            <w:r>
              <w:rPr>
                <w:w w:val="140"/>
                <w:sz w:val="12"/>
              </w:rPr>
              <w:t>.0123054</w:t>
            </w:r>
          </w:p>
        </w:tc>
        <w:tc>
          <w:tcPr>
            <w:tcW w:w="1528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19"/>
              <w:ind w:right="155"/>
              <w:rPr>
                <w:sz w:val="12"/>
              </w:rPr>
            </w:pPr>
            <w:r>
              <w:rPr>
                <w:w w:val="140"/>
                <w:sz w:val="12"/>
              </w:rPr>
              <w:t>-.0006984</w:t>
            </w:r>
          </w:p>
        </w:tc>
        <w:tc>
          <w:tcPr>
            <w:tcW w:w="2261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before="19"/>
              <w:ind w:right="731"/>
              <w:rPr>
                <w:sz w:val="12"/>
              </w:rPr>
            </w:pPr>
            <w:r>
              <w:rPr>
                <w:w w:val="140"/>
                <w:sz w:val="12"/>
              </w:rPr>
              <w:t>.0004394</w:t>
            </w:r>
          </w:p>
        </w:tc>
      </w:tr>
    </w:tbl>
    <w:p>
      <w:pPr>
        <w:spacing w:line="307" w:lineRule="auto" w:before="106"/>
        <w:ind w:left="1429" w:right="1491" w:firstLine="1580"/>
        <w:jc w:val="left"/>
        <w:rPr>
          <w:rFonts w:ascii="Courier New"/>
          <w:sz w:val="12"/>
        </w:rPr>
      </w:pPr>
      <w:r>
        <w:rPr>
          <w:rFonts w:ascii="Courier New"/>
          <w:w w:val="140"/>
          <w:sz w:val="12"/>
        </w:rPr>
        <w:t>b</w:t>
      </w:r>
      <w:r>
        <w:rPr>
          <w:rFonts w:ascii="Courier New"/>
          <w:spacing w:val="21"/>
          <w:w w:val="140"/>
          <w:sz w:val="12"/>
        </w:rPr>
        <w:t> </w:t>
      </w:r>
      <w:r>
        <w:rPr>
          <w:rFonts w:ascii="Courier New"/>
          <w:w w:val="140"/>
          <w:sz w:val="12"/>
        </w:rPr>
        <w:t>=</w:t>
      </w:r>
      <w:r>
        <w:rPr>
          <w:rFonts w:ascii="Courier New"/>
          <w:spacing w:val="22"/>
          <w:w w:val="140"/>
          <w:sz w:val="12"/>
        </w:rPr>
        <w:t> </w:t>
      </w:r>
      <w:r>
        <w:rPr>
          <w:rFonts w:ascii="Courier New"/>
          <w:w w:val="140"/>
          <w:sz w:val="12"/>
        </w:rPr>
        <w:t>consistent</w:t>
      </w:r>
      <w:r>
        <w:rPr>
          <w:rFonts w:ascii="Courier New"/>
          <w:spacing w:val="22"/>
          <w:w w:val="140"/>
          <w:sz w:val="12"/>
        </w:rPr>
        <w:t> </w:t>
      </w:r>
      <w:r>
        <w:rPr>
          <w:rFonts w:ascii="Courier New"/>
          <w:w w:val="140"/>
          <w:sz w:val="12"/>
        </w:rPr>
        <w:t>under</w:t>
      </w:r>
      <w:r>
        <w:rPr>
          <w:rFonts w:ascii="Courier New"/>
          <w:spacing w:val="22"/>
          <w:w w:val="140"/>
          <w:sz w:val="12"/>
        </w:rPr>
        <w:t> </w:t>
      </w:r>
      <w:r>
        <w:rPr>
          <w:rFonts w:ascii="Courier New"/>
          <w:w w:val="140"/>
          <w:sz w:val="12"/>
        </w:rPr>
        <w:t>Ho</w:t>
      </w:r>
      <w:r>
        <w:rPr>
          <w:rFonts w:ascii="Courier New"/>
          <w:spacing w:val="22"/>
          <w:w w:val="140"/>
          <w:sz w:val="12"/>
        </w:rPr>
        <w:t> </w:t>
      </w:r>
      <w:r>
        <w:rPr>
          <w:rFonts w:ascii="Courier New"/>
          <w:w w:val="140"/>
          <w:sz w:val="12"/>
        </w:rPr>
        <w:t>and</w:t>
      </w:r>
      <w:r>
        <w:rPr>
          <w:rFonts w:ascii="Courier New"/>
          <w:spacing w:val="22"/>
          <w:w w:val="140"/>
          <w:sz w:val="12"/>
        </w:rPr>
        <w:t> </w:t>
      </w:r>
      <w:r>
        <w:rPr>
          <w:rFonts w:ascii="Courier New"/>
          <w:w w:val="140"/>
          <w:sz w:val="12"/>
        </w:rPr>
        <w:t>Ha;</w:t>
      </w:r>
      <w:r>
        <w:rPr>
          <w:rFonts w:ascii="Courier New"/>
          <w:spacing w:val="22"/>
          <w:w w:val="140"/>
          <w:sz w:val="12"/>
        </w:rPr>
        <w:t> </w:t>
      </w:r>
      <w:r>
        <w:rPr>
          <w:rFonts w:ascii="Courier New"/>
          <w:w w:val="140"/>
          <w:sz w:val="12"/>
        </w:rPr>
        <w:t>obtained</w:t>
      </w:r>
      <w:r>
        <w:rPr>
          <w:rFonts w:ascii="Courier New"/>
          <w:spacing w:val="22"/>
          <w:w w:val="140"/>
          <w:sz w:val="12"/>
        </w:rPr>
        <w:t> </w:t>
      </w:r>
      <w:r>
        <w:rPr>
          <w:rFonts w:ascii="Courier New"/>
          <w:w w:val="140"/>
          <w:sz w:val="12"/>
        </w:rPr>
        <w:t>from</w:t>
      </w:r>
      <w:r>
        <w:rPr>
          <w:rFonts w:ascii="Courier New"/>
          <w:spacing w:val="22"/>
          <w:w w:val="140"/>
          <w:sz w:val="12"/>
        </w:rPr>
        <w:t> </w:t>
      </w:r>
      <w:r>
        <w:rPr>
          <w:rFonts w:ascii="Courier New"/>
          <w:w w:val="140"/>
          <w:sz w:val="12"/>
        </w:rPr>
        <w:t>xtreg</w:t>
      </w:r>
      <w:r>
        <w:rPr>
          <w:rFonts w:ascii="Courier New"/>
          <w:spacing w:val="-97"/>
          <w:w w:val="140"/>
          <w:sz w:val="12"/>
        </w:rPr>
        <w:t> </w:t>
      </w:r>
      <w:r>
        <w:rPr>
          <w:rFonts w:ascii="Courier New"/>
          <w:w w:val="140"/>
          <w:sz w:val="12"/>
        </w:rPr>
        <w:t>B</w:t>
      </w:r>
      <w:r>
        <w:rPr>
          <w:rFonts w:ascii="Courier New"/>
          <w:spacing w:val="25"/>
          <w:w w:val="140"/>
          <w:sz w:val="12"/>
        </w:rPr>
        <w:t> </w:t>
      </w:r>
      <w:r>
        <w:rPr>
          <w:rFonts w:ascii="Courier New"/>
          <w:w w:val="140"/>
          <w:sz w:val="12"/>
        </w:rPr>
        <w:t>=</w:t>
      </w:r>
      <w:r>
        <w:rPr>
          <w:rFonts w:ascii="Courier New"/>
          <w:spacing w:val="26"/>
          <w:w w:val="140"/>
          <w:sz w:val="12"/>
        </w:rPr>
        <w:t> </w:t>
      </w:r>
      <w:r>
        <w:rPr>
          <w:rFonts w:ascii="Courier New"/>
          <w:w w:val="140"/>
          <w:sz w:val="12"/>
        </w:rPr>
        <w:t>inconsistent</w:t>
      </w:r>
      <w:r>
        <w:rPr>
          <w:rFonts w:ascii="Courier New"/>
          <w:spacing w:val="26"/>
          <w:w w:val="140"/>
          <w:sz w:val="12"/>
        </w:rPr>
        <w:t> </w:t>
      </w:r>
      <w:r>
        <w:rPr>
          <w:rFonts w:ascii="Courier New"/>
          <w:w w:val="140"/>
          <w:sz w:val="12"/>
        </w:rPr>
        <w:t>under</w:t>
      </w:r>
      <w:r>
        <w:rPr>
          <w:rFonts w:ascii="Courier New"/>
          <w:spacing w:val="25"/>
          <w:w w:val="140"/>
          <w:sz w:val="12"/>
        </w:rPr>
        <w:t> </w:t>
      </w:r>
      <w:r>
        <w:rPr>
          <w:rFonts w:ascii="Courier New"/>
          <w:w w:val="140"/>
          <w:sz w:val="12"/>
        </w:rPr>
        <w:t>Ha,</w:t>
      </w:r>
      <w:r>
        <w:rPr>
          <w:rFonts w:ascii="Courier New"/>
          <w:spacing w:val="26"/>
          <w:w w:val="140"/>
          <w:sz w:val="12"/>
        </w:rPr>
        <w:t> </w:t>
      </w:r>
      <w:r>
        <w:rPr>
          <w:rFonts w:ascii="Courier New"/>
          <w:w w:val="140"/>
          <w:sz w:val="12"/>
        </w:rPr>
        <w:t>efficient</w:t>
      </w:r>
      <w:r>
        <w:rPr>
          <w:rFonts w:ascii="Courier New"/>
          <w:spacing w:val="26"/>
          <w:w w:val="140"/>
          <w:sz w:val="12"/>
        </w:rPr>
        <w:t> </w:t>
      </w:r>
      <w:r>
        <w:rPr>
          <w:rFonts w:ascii="Courier New"/>
          <w:w w:val="140"/>
          <w:sz w:val="12"/>
        </w:rPr>
        <w:t>under</w:t>
      </w:r>
      <w:r>
        <w:rPr>
          <w:rFonts w:ascii="Courier New"/>
          <w:spacing w:val="25"/>
          <w:w w:val="140"/>
          <w:sz w:val="12"/>
        </w:rPr>
        <w:t> </w:t>
      </w:r>
      <w:r>
        <w:rPr>
          <w:rFonts w:ascii="Courier New"/>
          <w:w w:val="140"/>
          <w:sz w:val="12"/>
        </w:rPr>
        <w:t>Ho;</w:t>
      </w:r>
      <w:r>
        <w:rPr>
          <w:rFonts w:ascii="Courier New"/>
          <w:spacing w:val="26"/>
          <w:w w:val="140"/>
          <w:sz w:val="12"/>
        </w:rPr>
        <w:t> </w:t>
      </w:r>
      <w:r>
        <w:rPr>
          <w:rFonts w:ascii="Courier New"/>
          <w:w w:val="140"/>
          <w:sz w:val="12"/>
        </w:rPr>
        <w:t>obtained</w:t>
      </w:r>
      <w:r>
        <w:rPr>
          <w:rFonts w:ascii="Courier New"/>
          <w:spacing w:val="26"/>
          <w:w w:val="140"/>
          <w:sz w:val="12"/>
        </w:rPr>
        <w:t> </w:t>
      </w:r>
      <w:r>
        <w:rPr>
          <w:rFonts w:ascii="Courier New"/>
          <w:w w:val="140"/>
          <w:sz w:val="12"/>
        </w:rPr>
        <w:t>from</w:t>
      </w:r>
      <w:r>
        <w:rPr>
          <w:rFonts w:ascii="Courier New"/>
          <w:spacing w:val="25"/>
          <w:w w:val="140"/>
          <w:sz w:val="12"/>
        </w:rPr>
        <w:t> </w:t>
      </w:r>
      <w:r>
        <w:rPr>
          <w:rFonts w:ascii="Courier New"/>
          <w:w w:val="140"/>
          <w:sz w:val="12"/>
        </w:rPr>
        <w:t>xtreg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tabs>
          <w:tab w:pos="1323" w:val="left" w:leader="none"/>
          <w:tab w:pos="1850" w:val="left" w:leader="none"/>
        </w:tabs>
        <w:spacing w:before="0"/>
        <w:ind w:left="586" w:right="0" w:firstLine="0"/>
        <w:jc w:val="left"/>
        <w:rPr>
          <w:rFonts w:ascii="Courier New"/>
          <w:sz w:val="12"/>
        </w:rPr>
      </w:pPr>
      <w:r>
        <w:rPr>
          <w:rFonts w:ascii="Courier New"/>
          <w:w w:val="140"/>
          <w:sz w:val="12"/>
        </w:rPr>
        <w:t>Test:</w:t>
        <w:tab/>
        <w:t>Ho:</w:t>
        <w:tab/>
        <w:t>difference</w:t>
      </w:r>
      <w:r>
        <w:rPr>
          <w:rFonts w:ascii="Courier New"/>
          <w:spacing w:val="37"/>
          <w:w w:val="140"/>
          <w:sz w:val="12"/>
        </w:rPr>
        <w:t> </w:t>
      </w:r>
      <w:r>
        <w:rPr>
          <w:rFonts w:ascii="Courier New"/>
          <w:w w:val="140"/>
          <w:sz w:val="12"/>
        </w:rPr>
        <w:t>in</w:t>
      </w:r>
      <w:r>
        <w:rPr>
          <w:rFonts w:ascii="Courier New"/>
          <w:spacing w:val="37"/>
          <w:w w:val="140"/>
          <w:sz w:val="12"/>
        </w:rPr>
        <w:t> </w:t>
      </w:r>
      <w:r>
        <w:rPr>
          <w:rFonts w:ascii="Courier New"/>
          <w:w w:val="140"/>
          <w:sz w:val="12"/>
        </w:rPr>
        <w:t>coefficients</w:t>
      </w:r>
      <w:r>
        <w:rPr>
          <w:rFonts w:ascii="Courier New"/>
          <w:spacing w:val="37"/>
          <w:w w:val="140"/>
          <w:sz w:val="12"/>
        </w:rPr>
        <w:t> </w:t>
      </w:r>
      <w:r>
        <w:rPr>
          <w:rFonts w:ascii="Courier New"/>
          <w:w w:val="140"/>
          <w:sz w:val="12"/>
        </w:rPr>
        <w:t>not</w:t>
      </w:r>
      <w:r>
        <w:rPr>
          <w:rFonts w:ascii="Courier New"/>
          <w:spacing w:val="37"/>
          <w:w w:val="140"/>
          <w:sz w:val="12"/>
        </w:rPr>
        <w:t> </w:t>
      </w:r>
      <w:r>
        <w:rPr>
          <w:rFonts w:ascii="Courier New"/>
          <w:w w:val="140"/>
          <w:sz w:val="12"/>
        </w:rPr>
        <w:t>systematic</w:t>
      </w:r>
    </w:p>
    <w:p>
      <w:pPr>
        <w:pStyle w:val="BodyText"/>
        <w:spacing w:before="11"/>
        <w:rPr>
          <w:rFonts w:ascii="Courier New"/>
          <w:sz w:val="9"/>
        </w:rPr>
      </w:pPr>
    </w:p>
    <w:p>
      <w:pPr>
        <w:spacing w:before="100"/>
        <w:ind w:left="1956" w:right="0" w:firstLine="0"/>
        <w:jc w:val="left"/>
        <w:rPr>
          <w:rFonts w:ascii="Courier New"/>
          <w:sz w:val="12"/>
        </w:rPr>
      </w:pPr>
      <w:r>
        <w:rPr>
          <w:rFonts w:ascii="Courier New"/>
          <w:w w:val="140"/>
          <w:sz w:val="12"/>
        </w:rPr>
        <w:t>chi2(34)</w:t>
      </w:r>
      <w:r>
        <w:rPr>
          <w:rFonts w:ascii="Courier New"/>
          <w:spacing w:val="62"/>
          <w:w w:val="140"/>
          <w:sz w:val="12"/>
        </w:rPr>
        <w:t> </w:t>
      </w:r>
      <w:r>
        <w:rPr>
          <w:rFonts w:ascii="Courier New"/>
          <w:w w:val="140"/>
          <w:sz w:val="12"/>
        </w:rPr>
        <w:t>=</w:t>
      </w:r>
      <w:r>
        <w:rPr>
          <w:rFonts w:ascii="Courier New"/>
          <w:spacing w:val="63"/>
          <w:w w:val="140"/>
          <w:sz w:val="12"/>
        </w:rPr>
        <w:t> </w:t>
      </w:r>
      <w:r>
        <w:rPr>
          <w:rFonts w:ascii="Courier New"/>
          <w:w w:val="140"/>
          <w:sz w:val="12"/>
        </w:rPr>
        <w:t>(b-B)'[(V_b-V_B)^(-1)](b-B)</w:t>
      </w:r>
    </w:p>
    <w:p>
      <w:pPr>
        <w:tabs>
          <w:tab w:pos="3641" w:val="left" w:leader="none"/>
        </w:tabs>
        <w:spacing w:before="38"/>
        <w:ind w:left="2903" w:right="0" w:firstLine="0"/>
        <w:jc w:val="left"/>
        <w:rPr>
          <w:rFonts w:ascii="Courier New"/>
          <w:sz w:val="12"/>
        </w:rPr>
      </w:pPr>
      <w:r>
        <w:rPr>
          <w:rFonts w:ascii="Courier New"/>
          <w:w w:val="140"/>
          <w:sz w:val="12"/>
        </w:rPr>
        <w:t>=</w:t>
        <w:tab/>
        <w:t>271.18</w:t>
      </w:r>
    </w:p>
    <w:p>
      <w:pPr>
        <w:tabs>
          <w:tab w:pos="3641" w:val="left" w:leader="none"/>
        </w:tabs>
        <w:spacing w:before="38"/>
        <w:ind w:left="1850" w:right="0" w:firstLine="0"/>
        <w:jc w:val="left"/>
        <w:rPr>
          <w:rFonts w:ascii="Courier New"/>
          <w:sz w:val="12"/>
        </w:rPr>
      </w:pPr>
      <w:r>
        <w:rPr>
          <w:rFonts w:ascii="Courier New"/>
          <w:w w:val="140"/>
          <w:sz w:val="12"/>
        </w:rPr>
        <w:t>Prob&gt;chi2</w:t>
      </w:r>
      <w:r>
        <w:rPr>
          <w:rFonts w:ascii="Courier New"/>
          <w:spacing w:val="28"/>
          <w:w w:val="140"/>
          <w:sz w:val="12"/>
        </w:rPr>
        <w:t> </w:t>
      </w:r>
      <w:r>
        <w:rPr>
          <w:rFonts w:ascii="Courier New"/>
          <w:w w:val="140"/>
          <w:sz w:val="12"/>
        </w:rPr>
        <w:t>=</w:t>
        <w:tab/>
        <w:t>0.0000</w:t>
      </w:r>
    </w:p>
    <w:p>
      <w:pPr>
        <w:spacing w:before="38"/>
        <w:ind w:left="1850" w:right="0" w:firstLine="0"/>
        <w:jc w:val="left"/>
        <w:rPr>
          <w:rFonts w:ascii="Courier New"/>
          <w:sz w:val="12"/>
        </w:rPr>
      </w:pPr>
      <w:r>
        <w:rPr>
          <w:rFonts w:ascii="Courier New"/>
          <w:w w:val="140"/>
          <w:sz w:val="12"/>
        </w:rPr>
        <w:t>(V_b-V_B</w:t>
      </w:r>
      <w:r>
        <w:rPr>
          <w:rFonts w:ascii="Courier New"/>
          <w:spacing w:val="30"/>
          <w:w w:val="140"/>
          <w:sz w:val="12"/>
        </w:rPr>
        <w:t> </w:t>
      </w:r>
      <w:r>
        <w:rPr>
          <w:rFonts w:ascii="Courier New"/>
          <w:w w:val="140"/>
          <w:sz w:val="12"/>
        </w:rPr>
        <w:t>is</w:t>
      </w:r>
      <w:r>
        <w:rPr>
          <w:rFonts w:ascii="Courier New"/>
          <w:spacing w:val="31"/>
          <w:w w:val="140"/>
          <w:sz w:val="12"/>
        </w:rPr>
        <w:t> </w:t>
      </w:r>
      <w:r>
        <w:rPr>
          <w:rFonts w:ascii="Courier New"/>
          <w:w w:val="140"/>
          <w:sz w:val="12"/>
        </w:rPr>
        <w:t>not</w:t>
      </w:r>
      <w:r>
        <w:rPr>
          <w:rFonts w:ascii="Courier New"/>
          <w:spacing w:val="31"/>
          <w:w w:val="140"/>
          <w:sz w:val="12"/>
        </w:rPr>
        <w:t> </w:t>
      </w:r>
      <w:r>
        <w:rPr>
          <w:rFonts w:ascii="Courier New"/>
          <w:w w:val="140"/>
          <w:sz w:val="12"/>
        </w:rPr>
        <w:t>positive</w:t>
      </w:r>
      <w:r>
        <w:rPr>
          <w:rFonts w:ascii="Courier New"/>
          <w:spacing w:val="31"/>
          <w:w w:val="140"/>
          <w:sz w:val="12"/>
        </w:rPr>
        <w:t> </w:t>
      </w:r>
      <w:r>
        <w:rPr>
          <w:rFonts w:ascii="Courier New"/>
          <w:w w:val="140"/>
          <w:sz w:val="12"/>
        </w:rPr>
        <w:t>definite)</w:t>
      </w:r>
    </w:p>
    <w:p>
      <w:pPr>
        <w:spacing w:after="0"/>
        <w:jc w:val="left"/>
        <w:rPr>
          <w:rFonts w:ascii="Courier New"/>
          <w:sz w:val="12"/>
        </w:rPr>
        <w:sectPr>
          <w:type w:val="continuous"/>
          <w:pgSz w:w="12240" w:h="15840"/>
          <w:pgMar w:top="1380" w:bottom="280" w:left="1320" w:right="1000"/>
        </w:sectPr>
      </w:pPr>
    </w:p>
    <w:p>
      <w:pPr>
        <w:spacing w:before="74"/>
        <w:ind w:left="672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5"/>
          <w:sz w:val="22"/>
        </w:rPr>
        <w:t> </w:t>
      </w:r>
      <w:r>
        <w:rPr>
          <w:sz w:val="22"/>
        </w:rPr>
        <w:t>J7:</w:t>
      </w:r>
      <w:r>
        <w:rPr>
          <w:spacing w:val="-1"/>
          <w:sz w:val="22"/>
        </w:rPr>
        <w:t> </w:t>
      </w:r>
      <w:r>
        <w:rPr>
          <w:sz w:val="22"/>
        </w:rPr>
        <w:t>ROBUSTNESS</w:t>
      </w:r>
      <w:r>
        <w:rPr>
          <w:spacing w:val="-1"/>
          <w:sz w:val="22"/>
        </w:rPr>
        <w:t> </w:t>
      </w:r>
      <w:r>
        <w:rPr>
          <w:sz w:val="22"/>
        </w:rPr>
        <w:t>CHECK: MULTILEVEL</w:t>
      </w:r>
      <w:r>
        <w:rPr>
          <w:spacing w:val="-5"/>
          <w:sz w:val="22"/>
        </w:rPr>
        <w:t> </w:t>
      </w:r>
      <w:r>
        <w:rPr>
          <w:sz w:val="22"/>
        </w:rPr>
        <w:t>LOGIT REG.</w:t>
      </w:r>
      <w:r>
        <w:rPr>
          <w:spacing w:val="-1"/>
          <w:sz w:val="22"/>
        </w:rPr>
        <w:t> </w:t>
      </w:r>
      <w:r>
        <w:rPr>
          <w:sz w:val="22"/>
        </w:rPr>
        <w:t>MODEL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WAVE</w:t>
      </w:r>
      <w:r>
        <w:rPr>
          <w:spacing w:val="-1"/>
          <w:sz w:val="22"/>
        </w:rPr>
        <w:t> </w:t>
      </w:r>
      <w:r>
        <w:rPr>
          <w:sz w:val="22"/>
        </w:rPr>
        <w:t>3</w: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2"/>
        <w:gridCol w:w="2391"/>
        <w:gridCol w:w="276"/>
        <w:gridCol w:w="829"/>
      </w:tblGrid>
      <w:tr>
        <w:trPr>
          <w:trHeight w:val="200" w:hRule="atLeast"/>
        </w:trPr>
        <w:tc>
          <w:tcPr>
            <w:tcW w:w="3772" w:type="dxa"/>
          </w:tcPr>
          <w:p>
            <w:pPr>
              <w:pStyle w:val="TableParagraph"/>
              <w:spacing w:before="4"/>
              <w:ind w:left="50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Mixed-effects</w:t>
            </w:r>
            <w:r>
              <w:rPr>
                <w:spacing w:val="81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logistic</w:t>
            </w:r>
            <w:r>
              <w:rPr>
                <w:spacing w:val="81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regression</w:t>
            </w:r>
          </w:p>
        </w:tc>
        <w:tc>
          <w:tcPr>
            <w:tcW w:w="2391" w:type="dxa"/>
          </w:tcPr>
          <w:p>
            <w:pPr>
              <w:pStyle w:val="TableParagraph"/>
              <w:spacing w:before="4"/>
              <w:ind w:left="691"/>
              <w:jc w:val="left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obs</w:t>
            </w:r>
          </w:p>
        </w:tc>
        <w:tc>
          <w:tcPr>
            <w:tcW w:w="276" w:type="dxa"/>
          </w:tcPr>
          <w:p>
            <w:pPr>
              <w:pStyle w:val="TableParagraph"/>
              <w:spacing w:before="4"/>
              <w:ind w:right="91"/>
              <w:jc w:val="center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4"/>
              <w:ind w:right="49"/>
              <w:rPr>
                <w:sz w:val="15"/>
              </w:rPr>
            </w:pPr>
            <w:r>
              <w:rPr>
                <w:sz w:val="15"/>
              </w:rPr>
              <w:t>26774</w:t>
            </w:r>
          </w:p>
        </w:tc>
      </w:tr>
      <w:tr>
        <w:trPr>
          <w:trHeight w:val="339" w:hRule="atLeast"/>
        </w:trPr>
        <w:tc>
          <w:tcPr>
            <w:tcW w:w="3772" w:type="dxa"/>
          </w:tcPr>
          <w:p>
            <w:pPr>
              <w:pStyle w:val="TableParagraph"/>
              <w:tabs>
                <w:tab w:pos="1980" w:val="left" w:leader="none"/>
              </w:tabs>
              <w:spacing w:before="29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Group</w:t>
            </w:r>
            <w:r>
              <w:rPr>
                <w:spacing w:val="14"/>
                <w:sz w:val="15"/>
              </w:rPr>
              <w:t> </w:t>
            </w:r>
            <w:r>
              <w:rPr>
                <w:sz w:val="15"/>
              </w:rPr>
              <w:t>variable:</w:t>
              <w:tab/>
              <w:t>state_gini</w:t>
            </w:r>
          </w:p>
        </w:tc>
        <w:tc>
          <w:tcPr>
            <w:tcW w:w="2391" w:type="dxa"/>
          </w:tcPr>
          <w:p>
            <w:pPr>
              <w:pStyle w:val="TableParagraph"/>
              <w:spacing w:before="29"/>
              <w:ind w:left="691"/>
              <w:jc w:val="left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groups</w:t>
            </w:r>
          </w:p>
        </w:tc>
        <w:tc>
          <w:tcPr>
            <w:tcW w:w="276" w:type="dxa"/>
          </w:tcPr>
          <w:p>
            <w:pPr>
              <w:pStyle w:val="TableParagraph"/>
              <w:spacing w:before="29"/>
              <w:ind w:right="91"/>
              <w:jc w:val="center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29"/>
              <w:ind w:right="49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</w:tr>
      <w:tr>
        <w:trPr>
          <w:trHeight w:val="339" w:hRule="atLeast"/>
        </w:trPr>
        <w:tc>
          <w:tcPr>
            <w:tcW w:w="377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before="142"/>
              <w:ind w:right="47"/>
              <w:rPr>
                <w:sz w:val="15"/>
              </w:rPr>
            </w:pPr>
            <w:r>
              <w:rPr>
                <w:sz w:val="15"/>
              </w:rPr>
              <w:t>Obs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per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group: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min</w:t>
            </w:r>
          </w:p>
        </w:tc>
        <w:tc>
          <w:tcPr>
            <w:tcW w:w="276" w:type="dxa"/>
          </w:tcPr>
          <w:p>
            <w:pPr>
              <w:pStyle w:val="TableParagraph"/>
              <w:spacing w:before="142"/>
              <w:ind w:right="91"/>
              <w:jc w:val="center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142"/>
              <w:ind w:right="49"/>
              <w:rPr>
                <w:sz w:val="15"/>
              </w:rPr>
            </w:pPr>
            <w:r>
              <w:rPr>
                <w:w w:val="96"/>
                <w:sz w:val="15"/>
              </w:rPr>
              <w:t>6</w:t>
            </w:r>
          </w:p>
        </w:tc>
      </w:tr>
      <w:tr>
        <w:trPr>
          <w:trHeight w:val="226" w:hRule="atLeast"/>
        </w:trPr>
        <w:tc>
          <w:tcPr>
            <w:tcW w:w="377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before="29"/>
              <w:ind w:right="47"/>
              <w:rPr>
                <w:sz w:val="15"/>
              </w:rPr>
            </w:pPr>
            <w:r>
              <w:rPr>
                <w:sz w:val="15"/>
              </w:rPr>
              <w:t>avg</w:t>
            </w:r>
          </w:p>
        </w:tc>
        <w:tc>
          <w:tcPr>
            <w:tcW w:w="276" w:type="dxa"/>
          </w:tcPr>
          <w:p>
            <w:pPr>
              <w:pStyle w:val="TableParagraph"/>
              <w:spacing w:before="29"/>
              <w:ind w:right="91"/>
              <w:jc w:val="center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29"/>
              <w:ind w:right="49"/>
              <w:rPr>
                <w:sz w:val="15"/>
              </w:rPr>
            </w:pPr>
            <w:r>
              <w:rPr>
                <w:sz w:val="15"/>
              </w:rPr>
              <w:t>723.6</w:t>
            </w:r>
          </w:p>
        </w:tc>
      </w:tr>
      <w:tr>
        <w:trPr>
          <w:trHeight w:val="339" w:hRule="atLeast"/>
        </w:trPr>
        <w:tc>
          <w:tcPr>
            <w:tcW w:w="377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before="29"/>
              <w:ind w:right="47"/>
              <w:rPr>
                <w:sz w:val="15"/>
              </w:rPr>
            </w:pPr>
            <w:r>
              <w:rPr>
                <w:sz w:val="15"/>
              </w:rPr>
              <w:t>max</w:t>
            </w:r>
          </w:p>
        </w:tc>
        <w:tc>
          <w:tcPr>
            <w:tcW w:w="276" w:type="dxa"/>
          </w:tcPr>
          <w:p>
            <w:pPr>
              <w:pStyle w:val="TableParagraph"/>
              <w:spacing w:before="29"/>
              <w:ind w:right="91"/>
              <w:jc w:val="center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29"/>
              <w:ind w:right="49"/>
              <w:rPr>
                <w:sz w:val="15"/>
              </w:rPr>
            </w:pPr>
            <w:r>
              <w:rPr>
                <w:sz w:val="15"/>
              </w:rPr>
              <w:t>1367</w:t>
            </w:r>
          </w:p>
        </w:tc>
      </w:tr>
      <w:tr>
        <w:trPr>
          <w:trHeight w:val="452" w:hRule="atLeast"/>
        </w:trPr>
        <w:tc>
          <w:tcPr>
            <w:tcW w:w="3772" w:type="dxa"/>
          </w:tcPr>
          <w:p>
            <w:pPr>
              <w:pStyle w:val="TableParagraph"/>
              <w:spacing w:before="142"/>
              <w:ind w:left="50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Integration</w:t>
            </w:r>
            <w:r>
              <w:rPr>
                <w:spacing w:val="76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method:</w:t>
            </w:r>
            <w:r>
              <w:rPr>
                <w:spacing w:val="77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mvaghermite</w:t>
            </w:r>
          </w:p>
        </w:tc>
        <w:tc>
          <w:tcPr>
            <w:tcW w:w="2391" w:type="dxa"/>
          </w:tcPr>
          <w:p>
            <w:pPr>
              <w:pStyle w:val="TableParagraph"/>
              <w:spacing w:before="142"/>
              <w:ind w:right="47"/>
              <w:rPr>
                <w:sz w:val="15"/>
              </w:rPr>
            </w:pPr>
            <w:r>
              <w:rPr>
                <w:w w:val="95"/>
                <w:sz w:val="15"/>
              </w:rPr>
              <w:t>Integration</w:t>
            </w:r>
            <w:r>
              <w:rPr>
                <w:spacing w:val="73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points</w:t>
            </w:r>
          </w:p>
        </w:tc>
        <w:tc>
          <w:tcPr>
            <w:tcW w:w="276" w:type="dxa"/>
          </w:tcPr>
          <w:p>
            <w:pPr>
              <w:pStyle w:val="TableParagraph"/>
              <w:spacing w:before="142"/>
              <w:ind w:right="91"/>
              <w:jc w:val="center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142"/>
              <w:ind w:right="49"/>
              <w:rPr>
                <w:sz w:val="15"/>
              </w:rPr>
            </w:pPr>
            <w:r>
              <w:rPr>
                <w:w w:val="96"/>
                <w:sz w:val="15"/>
              </w:rPr>
              <w:t>7</w:t>
            </w:r>
          </w:p>
        </w:tc>
      </w:tr>
      <w:tr>
        <w:trPr>
          <w:trHeight w:val="339" w:hRule="atLeast"/>
        </w:trPr>
        <w:tc>
          <w:tcPr>
            <w:tcW w:w="377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before="142"/>
              <w:ind w:left="691"/>
              <w:jc w:val="left"/>
              <w:rPr>
                <w:sz w:val="15"/>
              </w:rPr>
            </w:pPr>
            <w:r>
              <w:rPr>
                <w:sz w:val="15"/>
              </w:rPr>
              <w:t>Wald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chi2(33)</w:t>
            </w:r>
          </w:p>
        </w:tc>
        <w:tc>
          <w:tcPr>
            <w:tcW w:w="276" w:type="dxa"/>
          </w:tcPr>
          <w:p>
            <w:pPr>
              <w:pStyle w:val="TableParagraph"/>
              <w:spacing w:before="142"/>
              <w:ind w:right="91"/>
              <w:jc w:val="center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before="142"/>
              <w:ind w:right="49"/>
              <w:rPr>
                <w:sz w:val="15"/>
              </w:rPr>
            </w:pPr>
            <w:r>
              <w:rPr>
                <w:sz w:val="15"/>
              </w:rPr>
              <w:t>4925.53</w:t>
            </w:r>
          </w:p>
        </w:tc>
      </w:tr>
      <w:tr>
        <w:trPr>
          <w:trHeight w:val="201" w:hRule="atLeast"/>
        </w:trPr>
        <w:tc>
          <w:tcPr>
            <w:tcW w:w="3772" w:type="dxa"/>
          </w:tcPr>
          <w:p>
            <w:pPr>
              <w:pStyle w:val="TableParagraph"/>
              <w:spacing w:line="152" w:lineRule="exact" w:before="29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Log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likelihood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-6436.0611</w:t>
            </w:r>
          </w:p>
        </w:tc>
        <w:tc>
          <w:tcPr>
            <w:tcW w:w="2391" w:type="dxa"/>
          </w:tcPr>
          <w:p>
            <w:pPr>
              <w:pStyle w:val="TableParagraph"/>
              <w:spacing w:line="152" w:lineRule="exact" w:before="29"/>
              <w:ind w:left="691"/>
              <w:jc w:val="left"/>
              <w:rPr>
                <w:sz w:val="15"/>
              </w:rPr>
            </w:pPr>
            <w:r>
              <w:rPr>
                <w:sz w:val="15"/>
              </w:rPr>
              <w:t>Prob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&gt;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chi2</w:t>
            </w:r>
          </w:p>
        </w:tc>
        <w:tc>
          <w:tcPr>
            <w:tcW w:w="276" w:type="dxa"/>
          </w:tcPr>
          <w:p>
            <w:pPr>
              <w:pStyle w:val="TableParagraph"/>
              <w:spacing w:line="152" w:lineRule="exact" w:before="29"/>
              <w:ind w:right="91"/>
              <w:jc w:val="center"/>
              <w:rPr>
                <w:sz w:val="15"/>
              </w:rPr>
            </w:pPr>
            <w:r>
              <w:rPr>
                <w:w w:val="96"/>
                <w:sz w:val="15"/>
              </w:rPr>
              <w:t>=</w:t>
            </w:r>
          </w:p>
        </w:tc>
        <w:tc>
          <w:tcPr>
            <w:tcW w:w="829" w:type="dxa"/>
          </w:tcPr>
          <w:p>
            <w:pPr>
              <w:pStyle w:val="TableParagraph"/>
              <w:spacing w:line="152" w:lineRule="exact" w:before="29"/>
              <w:ind w:right="49"/>
              <w:rPr>
                <w:sz w:val="15"/>
              </w:rPr>
            </w:pPr>
            <w:r>
              <w:rPr>
                <w:sz w:val="15"/>
              </w:rPr>
              <w:t>0.0000</w:t>
            </w:r>
          </w:p>
        </w:tc>
      </w:tr>
    </w:tbl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166" w:type="dxa"/>
        <w:tblBorders>
          <w:top w:val="dashSmallGap" w:sz="6" w:space="0" w:color="000000"/>
          <w:left w:val="dashSmallGap" w:sz="6" w:space="0" w:color="000000"/>
          <w:bottom w:val="dashSmallGap" w:sz="6" w:space="0" w:color="000000"/>
          <w:right w:val="dashSmallGap" w:sz="6" w:space="0" w:color="000000"/>
          <w:insideH w:val="dashSmallGap" w:sz="6" w:space="0" w:color="000000"/>
          <w:insideV w:val="dashSmallGap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8"/>
        <w:gridCol w:w="1193"/>
        <w:gridCol w:w="1058"/>
        <w:gridCol w:w="782"/>
        <w:gridCol w:w="782"/>
        <w:gridCol w:w="1241"/>
        <w:gridCol w:w="869"/>
      </w:tblGrid>
      <w:tr>
        <w:trPr>
          <w:trHeight w:val="437" w:hRule="atLeast"/>
        </w:trPr>
        <w:tc>
          <w:tcPr>
            <w:tcW w:w="3258" w:type="dxa"/>
            <w:tcBorders>
              <w:left w:val="nil"/>
              <w:right w:val="dashed" w:sz="6" w:space="0" w:color="000000"/>
            </w:tcBorders>
          </w:tcPr>
          <w:p>
            <w:pPr>
              <w:pStyle w:val="TableParagraph"/>
              <w:spacing w:before="143"/>
              <w:ind w:right="126"/>
              <w:rPr>
                <w:sz w:val="15"/>
              </w:rPr>
            </w:pPr>
            <w:r>
              <w:rPr>
                <w:sz w:val="15"/>
              </w:rPr>
              <w:t>illness</w:t>
            </w:r>
          </w:p>
        </w:tc>
        <w:tc>
          <w:tcPr>
            <w:tcW w:w="1193" w:type="dxa"/>
            <w:tcBorders>
              <w:left w:val="dashed" w:sz="6" w:space="0" w:color="000000"/>
              <w:right w:val="nil"/>
            </w:tcBorders>
          </w:tcPr>
          <w:p>
            <w:pPr>
              <w:pStyle w:val="TableParagraph"/>
              <w:spacing w:before="143"/>
              <w:ind w:right="131"/>
              <w:rPr>
                <w:sz w:val="15"/>
              </w:rPr>
            </w:pPr>
            <w:r>
              <w:rPr>
                <w:sz w:val="15"/>
              </w:rPr>
              <w:t>Coef.</w:t>
            </w:r>
          </w:p>
        </w:tc>
        <w:tc>
          <w:tcPr>
            <w:tcW w:w="10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3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Std.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Err.</w:t>
            </w:r>
          </w:p>
        </w:tc>
        <w:tc>
          <w:tcPr>
            <w:tcW w:w="7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3"/>
              <w:ind w:left="468"/>
              <w:jc w:val="left"/>
              <w:rPr>
                <w:sz w:val="15"/>
              </w:rPr>
            </w:pPr>
            <w:r>
              <w:rPr>
                <w:w w:val="96"/>
                <w:sz w:val="15"/>
              </w:rPr>
              <w:t>z</w:t>
            </w:r>
          </w:p>
        </w:tc>
        <w:tc>
          <w:tcPr>
            <w:tcW w:w="7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3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P&gt;|z|</w:t>
            </w:r>
          </w:p>
        </w:tc>
        <w:tc>
          <w:tcPr>
            <w:tcW w:w="124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3"/>
              <w:ind w:left="265" w:right="24"/>
              <w:jc w:val="center"/>
              <w:rPr>
                <w:sz w:val="15"/>
              </w:rPr>
            </w:pPr>
            <w:r>
              <w:rPr>
                <w:sz w:val="15"/>
              </w:rPr>
              <w:t>[95%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Conf.</w:t>
            </w:r>
          </w:p>
        </w:tc>
        <w:tc>
          <w:tcPr>
            <w:tcW w:w="86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3"/>
              <w:ind w:right="-15"/>
              <w:rPr>
                <w:sz w:val="15"/>
              </w:rPr>
            </w:pPr>
            <w:r>
              <w:rPr>
                <w:sz w:val="15"/>
              </w:rPr>
              <w:t>Interval]</w:t>
            </w:r>
          </w:p>
        </w:tc>
      </w:tr>
      <w:tr>
        <w:trPr>
          <w:trHeight w:val="7902" w:hRule="atLeast"/>
        </w:trPr>
        <w:tc>
          <w:tcPr>
            <w:tcW w:w="3258" w:type="dxa"/>
            <w:tcBorders>
              <w:left w:val="nil"/>
              <w:right w:val="dashed" w:sz="6" w:space="0" w:color="000000"/>
            </w:tcBorders>
          </w:tcPr>
          <w:p>
            <w:pPr>
              <w:pStyle w:val="TableParagraph"/>
              <w:spacing w:line="319" w:lineRule="auto" w:before="143"/>
              <w:ind w:left="2023" w:right="126" w:firstLine="183"/>
              <w:rPr>
                <w:sz w:val="15"/>
              </w:rPr>
            </w:pPr>
            <w:r>
              <w:rPr>
                <w:w w:val="95"/>
                <w:sz w:val="15"/>
              </w:rPr>
              <w:t>familysize</w:t>
            </w:r>
            <w:r>
              <w:rPr>
                <w:spacing w:val="-83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hungerorfood</w:t>
            </w:r>
          </w:p>
          <w:p>
            <w:pPr>
              <w:pStyle w:val="TableParagraph"/>
              <w:spacing w:line="319" w:lineRule="auto"/>
              <w:ind w:left="920" w:right="126" w:firstLine="1839"/>
              <w:rPr>
                <w:sz w:val="15"/>
              </w:rPr>
            </w:pPr>
            <w:r>
              <w:rPr>
                <w:w w:val="95"/>
                <w:sz w:val="15"/>
              </w:rPr>
              <w:t>gari</w:t>
            </w:r>
            <w:r>
              <w:rPr>
                <w:spacing w:val="-83"/>
                <w:w w:val="95"/>
                <w:sz w:val="15"/>
              </w:rPr>
              <w:t> </w:t>
            </w:r>
            <w:r>
              <w:rPr>
                <w:sz w:val="15"/>
              </w:rPr>
              <w:t>             rice</w:t>
            </w:r>
            <w:r>
              <w:rPr>
                <w:spacing w:val="1"/>
                <w:sz w:val="15"/>
              </w:rPr>
              <w:t> </w:t>
            </w:r>
            <w:r>
              <w:rPr>
                <w:w w:val="95"/>
                <w:sz w:val="15"/>
              </w:rPr>
              <w:t>yamorcassavaormaizeflour</w:t>
            </w:r>
          </w:p>
          <w:p>
            <w:pPr>
              <w:pStyle w:val="TableParagraph"/>
              <w:spacing w:line="319" w:lineRule="auto" w:before="1"/>
              <w:ind w:left="1196" w:right="126" w:firstLine="1471"/>
              <w:rPr>
                <w:sz w:val="15"/>
              </w:rPr>
            </w:pPr>
            <w:r>
              <w:rPr>
                <w:w w:val="95"/>
                <w:sz w:val="15"/>
              </w:rPr>
              <w:t>beans</w:t>
            </w:r>
            <w:r>
              <w:rPr>
                <w:spacing w:val="-83"/>
                <w:w w:val="95"/>
                <w:sz w:val="15"/>
              </w:rPr>
              <w:t> </w:t>
            </w:r>
            <w:r>
              <w:rPr>
                <w:sz w:val="15"/>
              </w:rPr>
              <w:t>meatorfish</w:t>
            </w:r>
            <w:r>
              <w:rPr>
                <w:spacing w:val="1"/>
                <w:sz w:val="15"/>
              </w:rPr>
              <w:t> </w:t>
            </w:r>
            <w:r>
              <w:rPr>
                <w:w w:val="95"/>
                <w:sz w:val="15"/>
              </w:rPr>
              <w:t>mosquitonetpossession</w:t>
            </w:r>
            <w:r>
              <w:rPr>
                <w:spacing w:val="1"/>
                <w:w w:val="95"/>
                <w:sz w:val="15"/>
              </w:rPr>
              <w:t> </w:t>
            </w:r>
            <w:r>
              <w:rPr>
                <w:sz w:val="15"/>
              </w:rPr>
              <w:t>primaryeducation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secondaryeducation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highercertificate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nobasiceducation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hadelectricity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noeletricity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pipebornewater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boreholeandwell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riverandspring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noaccesstowater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waterandmoderntoilet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pitorlatrinetoilet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notoiletfacility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alcoholicdrinks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selfmedication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seekinghealthcare</w:t>
            </w:r>
          </w:p>
          <w:p>
            <w:pPr>
              <w:pStyle w:val="TableParagraph"/>
              <w:spacing w:line="319" w:lineRule="auto" w:before="4"/>
              <w:ind w:left="460" w:right="126" w:firstLine="2115"/>
              <w:rPr>
                <w:sz w:val="15"/>
              </w:rPr>
            </w:pPr>
            <w:r>
              <w:rPr>
                <w:w w:val="95"/>
                <w:sz w:val="15"/>
              </w:rPr>
              <w:t>others</w:t>
            </w:r>
            <w:r>
              <w:rPr>
                <w:spacing w:val="-83"/>
                <w:w w:val="95"/>
                <w:sz w:val="15"/>
              </w:rPr>
              <w:t> </w:t>
            </w:r>
            <w:r>
              <w:rPr>
                <w:sz w:val="15"/>
              </w:rPr>
              <w:t>wagesandsalaries</w:t>
            </w:r>
            <w:r>
              <w:rPr>
                <w:spacing w:val="1"/>
                <w:sz w:val="15"/>
              </w:rPr>
              <w:t> </w:t>
            </w:r>
            <w:r>
              <w:rPr>
                <w:w w:val="95"/>
                <w:sz w:val="15"/>
              </w:rPr>
              <w:t>businesstradingandenterprises</w:t>
            </w:r>
            <w:r>
              <w:rPr>
                <w:spacing w:val="1"/>
                <w:w w:val="95"/>
                <w:sz w:val="15"/>
              </w:rPr>
              <w:t> </w:t>
            </w:r>
            <w:r>
              <w:rPr>
                <w:sz w:val="15"/>
              </w:rPr>
              <w:t>cropandlivestockincomes</w:t>
            </w:r>
          </w:p>
          <w:p>
            <w:pPr>
              <w:pStyle w:val="TableParagraph"/>
              <w:spacing w:line="319" w:lineRule="auto" w:before="1"/>
              <w:ind w:left="276" w:right="126" w:firstLine="1839"/>
              <w:rPr>
                <w:sz w:val="15"/>
              </w:rPr>
            </w:pPr>
            <w:r>
              <w:rPr>
                <w:w w:val="95"/>
                <w:sz w:val="15"/>
              </w:rPr>
              <w:t>remittances</w:t>
            </w:r>
            <w:r>
              <w:rPr>
                <w:spacing w:val="-83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monetaryandconditionaltransfers</w:t>
            </w:r>
          </w:p>
          <w:p>
            <w:pPr>
              <w:pStyle w:val="TableParagraph"/>
              <w:spacing w:line="319" w:lineRule="auto" w:before="1"/>
              <w:ind w:left="184" w:right="126" w:firstLine="2298"/>
              <w:jc w:val="both"/>
              <w:rPr>
                <w:sz w:val="15"/>
              </w:rPr>
            </w:pPr>
            <w:r>
              <w:rPr>
                <w:w w:val="95"/>
                <w:sz w:val="15"/>
              </w:rPr>
              <w:t>pension</w:t>
            </w:r>
            <w:r>
              <w:rPr>
                <w:spacing w:val="-84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dividendfrominterestandinvestmen</w:t>
            </w:r>
            <w:r>
              <w:rPr>
                <w:spacing w:val="1"/>
                <w:w w:val="95"/>
                <w:sz w:val="15"/>
              </w:rPr>
              <w:t> </w:t>
            </w:r>
            <w:r>
              <w:rPr>
                <w:w w:val="95"/>
                <w:sz w:val="15"/>
              </w:rPr>
              <w:t>incomesfromrentandpropertiesowne</w:t>
            </w:r>
          </w:p>
          <w:p>
            <w:pPr>
              <w:pStyle w:val="TableParagraph"/>
              <w:ind w:right="126"/>
              <w:rPr>
                <w:sz w:val="15"/>
              </w:rPr>
            </w:pPr>
            <w:r>
              <w:rPr>
                <w:sz w:val="15"/>
              </w:rPr>
              <w:t>_cons</w:t>
            </w:r>
          </w:p>
        </w:tc>
        <w:tc>
          <w:tcPr>
            <w:tcW w:w="1193" w:type="dxa"/>
            <w:tcBorders>
              <w:left w:val="dashed" w:sz="6" w:space="0" w:color="000000"/>
              <w:right w:val="nil"/>
            </w:tcBorders>
          </w:tcPr>
          <w:p>
            <w:pPr>
              <w:pStyle w:val="TableParagraph"/>
              <w:spacing w:before="143"/>
              <w:ind w:left="321"/>
              <w:jc w:val="left"/>
              <w:rPr>
                <w:sz w:val="15"/>
              </w:rPr>
            </w:pPr>
            <w:r>
              <w:rPr>
                <w:sz w:val="15"/>
              </w:rPr>
              <w:t>.0731075</w:t>
            </w:r>
          </w:p>
          <w:p>
            <w:pPr>
              <w:pStyle w:val="TableParagraph"/>
              <w:spacing w:before="56"/>
              <w:ind w:left="321"/>
              <w:jc w:val="left"/>
              <w:rPr>
                <w:sz w:val="15"/>
              </w:rPr>
            </w:pPr>
            <w:r>
              <w:rPr>
                <w:sz w:val="15"/>
              </w:rPr>
              <w:t>2.067995</w:t>
            </w:r>
          </w:p>
          <w:p>
            <w:pPr>
              <w:pStyle w:val="TableParagraph"/>
              <w:spacing w:before="56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-.0463714</w:t>
            </w:r>
          </w:p>
          <w:p>
            <w:pPr>
              <w:pStyle w:val="TableParagraph"/>
              <w:spacing w:before="57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-.3591095</w:t>
            </w:r>
          </w:p>
          <w:p>
            <w:pPr>
              <w:pStyle w:val="TableParagraph"/>
              <w:spacing w:before="56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-.1072563</w:t>
            </w:r>
          </w:p>
          <w:p>
            <w:pPr>
              <w:pStyle w:val="TableParagraph"/>
              <w:spacing w:before="57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-.1835751</w:t>
            </w:r>
          </w:p>
          <w:p>
            <w:pPr>
              <w:pStyle w:val="TableParagraph"/>
              <w:spacing w:before="56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-1.594696</w:t>
            </w:r>
          </w:p>
          <w:p>
            <w:pPr>
              <w:pStyle w:val="TableParagraph"/>
              <w:spacing w:before="56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-.7432208</w:t>
            </w:r>
          </w:p>
          <w:p>
            <w:pPr>
              <w:pStyle w:val="TableParagraph"/>
              <w:spacing w:before="57"/>
              <w:ind w:left="321"/>
              <w:jc w:val="left"/>
              <w:rPr>
                <w:sz w:val="15"/>
              </w:rPr>
            </w:pPr>
            <w:r>
              <w:rPr>
                <w:sz w:val="15"/>
              </w:rPr>
              <w:t>-.065025</w:t>
            </w:r>
          </w:p>
          <w:p>
            <w:pPr>
              <w:pStyle w:val="TableParagraph"/>
              <w:spacing w:before="55"/>
              <w:ind w:left="413"/>
              <w:jc w:val="left"/>
              <w:rPr>
                <w:sz w:val="15"/>
              </w:rPr>
            </w:pPr>
            <w:r>
              <w:rPr>
                <w:sz w:val="15"/>
              </w:rPr>
              <w:t>-.00659</w:t>
            </w:r>
          </w:p>
          <w:p>
            <w:pPr>
              <w:pStyle w:val="TableParagraph"/>
              <w:spacing w:before="57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-.4540799</w:t>
            </w:r>
          </w:p>
          <w:p>
            <w:pPr>
              <w:pStyle w:val="TableParagraph"/>
              <w:spacing w:before="56"/>
              <w:ind w:left="321"/>
              <w:jc w:val="left"/>
              <w:rPr>
                <w:sz w:val="15"/>
              </w:rPr>
            </w:pPr>
            <w:r>
              <w:rPr>
                <w:sz w:val="15"/>
              </w:rPr>
              <w:t>3.431121</w:t>
            </w:r>
          </w:p>
          <w:p>
            <w:pPr>
              <w:pStyle w:val="TableParagraph"/>
              <w:spacing w:before="56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-.0128376</w:t>
            </w:r>
          </w:p>
          <w:p>
            <w:pPr>
              <w:pStyle w:val="TableParagraph"/>
              <w:spacing w:before="57"/>
              <w:ind w:left="321"/>
              <w:jc w:val="left"/>
              <w:rPr>
                <w:sz w:val="15"/>
              </w:rPr>
            </w:pPr>
            <w:r>
              <w:rPr>
                <w:sz w:val="15"/>
              </w:rPr>
              <w:t>.0987875</w:t>
            </w:r>
          </w:p>
          <w:p>
            <w:pPr>
              <w:pStyle w:val="TableParagraph"/>
              <w:spacing w:before="56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-.1591654</w:t>
            </w:r>
          </w:p>
          <w:p>
            <w:pPr>
              <w:pStyle w:val="TableParagraph"/>
              <w:spacing w:before="56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-.0222988</w:t>
            </w:r>
          </w:p>
          <w:p>
            <w:pPr>
              <w:pStyle w:val="TableParagraph"/>
              <w:spacing w:before="57"/>
              <w:ind w:left="321"/>
              <w:jc w:val="left"/>
              <w:rPr>
                <w:sz w:val="15"/>
              </w:rPr>
            </w:pPr>
            <w:r>
              <w:rPr>
                <w:sz w:val="15"/>
              </w:rPr>
              <w:t>.2877121</w:t>
            </w:r>
          </w:p>
          <w:p>
            <w:pPr>
              <w:pStyle w:val="TableParagraph"/>
              <w:spacing w:before="56"/>
              <w:ind w:left="321"/>
              <w:jc w:val="left"/>
              <w:rPr>
                <w:sz w:val="15"/>
              </w:rPr>
            </w:pPr>
            <w:r>
              <w:rPr>
                <w:sz w:val="15"/>
              </w:rPr>
              <w:t>.0491298</w:t>
            </w:r>
          </w:p>
          <w:p>
            <w:pPr>
              <w:pStyle w:val="TableParagraph"/>
              <w:spacing w:before="56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-.1737757</w:t>
            </w:r>
          </w:p>
          <w:p>
            <w:pPr>
              <w:pStyle w:val="TableParagraph"/>
              <w:spacing w:before="57"/>
              <w:ind w:left="321"/>
              <w:jc w:val="left"/>
              <w:rPr>
                <w:sz w:val="15"/>
              </w:rPr>
            </w:pPr>
            <w:r>
              <w:rPr>
                <w:sz w:val="15"/>
              </w:rPr>
              <w:t>.0020525</w:t>
            </w:r>
          </w:p>
          <w:p>
            <w:pPr>
              <w:pStyle w:val="TableParagraph"/>
              <w:spacing w:before="56"/>
              <w:ind w:left="321"/>
              <w:jc w:val="left"/>
              <w:rPr>
                <w:sz w:val="15"/>
              </w:rPr>
            </w:pPr>
            <w:r>
              <w:rPr>
                <w:sz w:val="15"/>
              </w:rPr>
              <w:t>.1023571</w:t>
            </w:r>
          </w:p>
          <w:p>
            <w:pPr>
              <w:pStyle w:val="TableParagraph"/>
              <w:spacing w:before="56"/>
              <w:ind w:left="321"/>
              <w:jc w:val="left"/>
              <w:rPr>
                <w:sz w:val="15"/>
              </w:rPr>
            </w:pPr>
            <w:r>
              <w:rPr>
                <w:sz w:val="15"/>
              </w:rPr>
              <w:t>.0612702</w:t>
            </w:r>
          </w:p>
          <w:p>
            <w:pPr>
              <w:pStyle w:val="TableParagraph"/>
              <w:spacing w:before="56"/>
              <w:ind w:left="321"/>
              <w:jc w:val="left"/>
              <w:rPr>
                <w:sz w:val="15"/>
              </w:rPr>
            </w:pPr>
            <w:r>
              <w:rPr>
                <w:sz w:val="15"/>
              </w:rPr>
              <w:t>.0968633</w:t>
            </w:r>
          </w:p>
          <w:p>
            <w:pPr>
              <w:pStyle w:val="TableParagraph"/>
              <w:spacing w:before="57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-.0646325</w:t>
            </w:r>
          </w:p>
          <w:p>
            <w:pPr>
              <w:pStyle w:val="TableParagraph"/>
              <w:spacing w:before="56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-.1506875</w:t>
            </w:r>
          </w:p>
          <w:p>
            <w:pPr>
              <w:pStyle w:val="TableParagraph"/>
              <w:spacing w:before="56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-.1293168</w:t>
            </w:r>
          </w:p>
          <w:p>
            <w:pPr>
              <w:pStyle w:val="TableParagraph"/>
              <w:spacing w:before="57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-.0305711</w:t>
            </w:r>
          </w:p>
          <w:p>
            <w:pPr>
              <w:pStyle w:val="TableParagraph"/>
              <w:spacing w:before="56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-.1304644</w:t>
            </w:r>
          </w:p>
          <w:p>
            <w:pPr>
              <w:pStyle w:val="TableParagraph"/>
              <w:spacing w:before="56"/>
              <w:ind w:left="413"/>
              <w:jc w:val="left"/>
              <w:rPr>
                <w:sz w:val="15"/>
              </w:rPr>
            </w:pPr>
            <w:r>
              <w:rPr>
                <w:sz w:val="15"/>
              </w:rPr>
              <w:t>.072319</w:t>
            </w:r>
          </w:p>
          <w:p>
            <w:pPr>
              <w:pStyle w:val="TableParagraph"/>
              <w:spacing w:before="56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-.0334076</w:t>
            </w:r>
          </w:p>
          <w:p>
            <w:pPr>
              <w:pStyle w:val="TableParagraph"/>
              <w:spacing w:before="57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-.0230975</w:t>
            </w:r>
          </w:p>
          <w:p>
            <w:pPr>
              <w:pStyle w:val="TableParagraph"/>
              <w:spacing w:before="56"/>
              <w:ind w:left="229"/>
              <w:jc w:val="left"/>
              <w:rPr>
                <w:sz w:val="15"/>
              </w:rPr>
            </w:pPr>
            <w:r>
              <w:rPr>
                <w:sz w:val="15"/>
              </w:rPr>
              <w:t>-.0107559</w:t>
            </w:r>
          </w:p>
          <w:p>
            <w:pPr>
              <w:pStyle w:val="TableParagraph"/>
              <w:spacing w:before="56"/>
              <w:ind w:left="321"/>
              <w:jc w:val="left"/>
              <w:rPr>
                <w:sz w:val="15"/>
              </w:rPr>
            </w:pPr>
            <w:r>
              <w:rPr>
                <w:sz w:val="15"/>
              </w:rPr>
              <w:t>.0784728</w:t>
            </w:r>
          </w:p>
          <w:p>
            <w:pPr>
              <w:pStyle w:val="TableParagraph"/>
              <w:spacing w:before="56"/>
              <w:ind w:left="321"/>
              <w:jc w:val="left"/>
              <w:rPr>
                <w:sz w:val="15"/>
              </w:rPr>
            </w:pPr>
            <w:r>
              <w:rPr>
                <w:sz w:val="15"/>
              </w:rPr>
              <w:t>.3722665</w:t>
            </w:r>
          </w:p>
        </w:tc>
        <w:tc>
          <w:tcPr>
            <w:tcW w:w="105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3"/>
              <w:ind w:right="177"/>
              <w:rPr>
                <w:sz w:val="15"/>
              </w:rPr>
            </w:pPr>
            <w:r>
              <w:rPr>
                <w:sz w:val="15"/>
              </w:rPr>
              <w:t>.0402129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.1232919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.1037904</w:t>
            </w:r>
          </w:p>
          <w:p>
            <w:pPr>
              <w:pStyle w:val="TableParagraph"/>
              <w:spacing w:before="57"/>
              <w:ind w:right="177"/>
              <w:rPr>
                <w:sz w:val="15"/>
              </w:rPr>
            </w:pPr>
            <w:r>
              <w:rPr>
                <w:sz w:val="15"/>
              </w:rPr>
              <w:t>.0950271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.0653576</w:t>
            </w:r>
          </w:p>
          <w:p>
            <w:pPr>
              <w:pStyle w:val="TableParagraph"/>
              <w:spacing w:before="57"/>
              <w:ind w:right="177"/>
              <w:rPr>
                <w:sz w:val="15"/>
              </w:rPr>
            </w:pPr>
            <w:r>
              <w:rPr>
                <w:sz w:val="15"/>
              </w:rPr>
              <w:t>.0690542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.1463711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.1326891</w:t>
            </w:r>
          </w:p>
          <w:p>
            <w:pPr>
              <w:pStyle w:val="TableParagraph"/>
              <w:spacing w:before="57"/>
              <w:ind w:right="177"/>
              <w:rPr>
                <w:sz w:val="15"/>
              </w:rPr>
            </w:pPr>
            <w:r>
              <w:rPr>
                <w:sz w:val="15"/>
              </w:rPr>
              <w:t>.1380801</w:t>
            </w:r>
          </w:p>
          <w:p>
            <w:pPr>
              <w:pStyle w:val="TableParagraph"/>
              <w:spacing w:before="55"/>
              <w:ind w:right="177"/>
              <w:rPr>
                <w:sz w:val="15"/>
              </w:rPr>
            </w:pPr>
            <w:r>
              <w:rPr>
                <w:sz w:val="15"/>
              </w:rPr>
              <w:t>.3845022</w:t>
            </w:r>
          </w:p>
          <w:p>
            <w:pPr>
              <w:pStyle w:val="TableParagraph"/>
              <w:spacing w:before="57"/>
              <w:ind w:right="177"/>
              <w:rPr>
                <w:sz w:val="15"/>
              </w:rPr>
            </w:pPr>
            <w:r>
              <w:rPr>
                <w:sz w:val="15"/>
              </w:rPr>
              <w:t>.0956491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.0514812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.0282525</w:t>
            </w:r>
          </w:p>
          <w:p>
            <w:pPr>
              <w:pStyle w:val="TableParagraph"/>
              <w:spacing w:before="57"/>
              <w:ind w:right="177"/>
              <w:rPr>
                <w:sz w:val="15"/>
              </w:rPr>
            </w:pPr>
            <w:r>
              <w:rPr>
                <w:sz w:val="15"/>
              </w:rPr>
              <w:t>.0770512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.0162386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.0159413</w:t>
            </w:r>
          </w:p>
          <w:p>
            <w:pPr>
              <w:pStyle w:val="TableParagraph"/>
              <w:spacing w:before="57"/>
              <w:ind w:right="177"/>
              <w:rPr>
                <w:sz w:val="15"/>
              </w:rPr>
            </w:pPr>
            <w:r>
              <w:rPr>
                <w:sz w:val="15"/>
              </w:rPr>
              <w:t>.0633304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.0965766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.2328253</w:t>
            </w:r>
          </w:p>
          <w:p>
            <w:pPr>
              <w:pStyle w:val="TableParagraph"/>
              <w:spacing w:before="57"/>
              <w:ind w:right="177"/>
              <w:rPr>
                <w:sz w:val="15"/>
              </w:rPr>
            </w:pPr>
            <w:r>
              <w:rPr>
                <w:sz w:val="15"/>
              </w:rPr>
              <w:t>.0021414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.05385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.0455163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.1798795</w:t>
            </w:r>
          </w:p>
          <w:p>
            <w:pPr>
              <w:pStyle w:val="TableParagraph"/>
              <w:spacing w:before="57"/>
              <w:ind w:right="177"/>
              <w:rPr>
                <w:sz w:val="15"/>
              </w:rPr>
            </w:pPr>
            <w:r>
              <w:rPr>
                <w:sz w:val="15"/>
              </w:rPr>
              <w:t>.0372833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.3183683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.0556302</w:t>
            </w:r>
          </w:p>
          <w:p>
            <w:pPr>
              <w:pStyle w:val="TableParagraph"/>
              <w:spacing w:before="57"/>
              <w:ind w:right="177"/>
              <w:rPr>
                <w:sz w:val="15"/>
              </w:rPr>
            </w:pPr>
            <w:r>
              <w:rPr>
                <w:sz w:val="15"/>
              </w:rPr>
              <w:t>.0219233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.0570101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.1670671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.0250369</w:t>
            </w:r>
          </w:p>
          <w:p>
            <w:pPr>
              <w:pStyle w:val="TableParagraph"/>
              <w:spacing w:before="57"/>
              <w:ind w:right="177"/>
              <w:rPr>
                <w:sz w:val="15"/>
              </w:rPr>
            </w:pPr>
            <w:r>
              <w:rPr>
                <w:sz w:val="15"/>
              </w:rPr>
              <w:t>.0547645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.1377058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.1439581</w:t>
            </w:r>
          </w:p>
          <w:p>
            <w:pPr>
              <w:pStyle w:val="TableParagraph"/>
              <w:spacing w:before="56"/>
              <w:ind w:right="177"/>
              <w:rPr>
                <w:sz w:val="15"/>
              </w:rPr>
            </w:pPr>
            <w:r>
              <w:rPr>
                <w:sz w:val="15"/>
              </w:rPr>
              <w:t>.628056</w:t>
            </w:r>
          </w:p>
        </w:tc>
        <w:tc>
          <w:tcPr>
            <w:tcW w:w="7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3"/>
              <w:ind w:left="284"/>
              <w:jc w:val="left"/>
              <w:rPr>
                <w:sz w:val="15"/>
              </w:rPr>
            </w:pPr>
            <w:r>
              <w:rPr>
                <w:sz w:val="15"/>
              </w:rPr>
              <w:t>1.82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16.77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-0.45</w:t>
            </w:r>
          </w:p>
          <w:p>
            <w:pPr>
              <w:pStyle w:val="TableParagraph"/>
              <w:spacing w:before="57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-3.78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-1.64</w:t>
            </w:r>
          </w:p>
          <w:p>
            <w:pPr>
              <w:pStyle w:val="TableParagraph"/>
              <w:spacing w:before="57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-2.66</w:t>
            </w:r>
          </w:p>
          <w:p>
            <w:pPr>
              <w:pStyle w:val="TableParagraph"/>
              <w:spacing w:before="56"/>
              <w:ind w:left="100"/>
              <w:jc w:val="left"/>
              <w:rPr>
                <w:sz w:val="15"/>
              </w:rPr>
            </w:pPr>
            <w:r>
              <w:rPr>
                <w:sz w:val="15"/>
              </w:rPr>
              <w:t>-10.89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-5.60</w:t>
            </w:r>
          </w:p>
          <w:p>
            <w:pPr>
              <w:pStyle w:val="TableParagraph"/>
              <w:spacing w:before="57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-0.47</w:t>
            </w:r>
          </w:p>
          <w:p>
            <w:pPr>
              <w:pStyle w:val="TableParagraph"/>
              <w:spacing w:before="55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-0.02</w:t>
            </w:r>
          </w:p>
          <w:p>
            <w:pPr>
              <w:pStyle w:val="TableParagraph"/>
              <w:spacing w:before="57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-4.75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66.65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-0.45</w:t>
            </w:r>
          </w:p>
          <w:p>
            <w:pPr>
              <w:pStyle w:val="TableParagraph"/>
              <w:spacing w:before="57"/>
              <w:ind w:left="284"/>
              <w:jc w:val="left"/>
              <w:rPr>
                <w:sz w:val="15"/>
              </w:rPr>
            </w:pPr>
            <w:r>
              <w:rPr>
                <w:sz w:val="15"/>
              </w:rPr>
              <w:t>1.28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-9.80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-1.40</w:t>
            </w:r>
          </w:p>
          <w:p>
            <w:pPr>
              <w:pStyle w:val="TableParagraph"/>
              <w:spacing w:before="57"/>
              <w:ind w:left="284"/>
              <w:jc w:val="left"/>
              <w:rPr>
                <w:sz w:val="15"/>
              </w:rPr>
            </w:pPr>
            <w:r>
              <w:rPr>
                <w:sz w:val="15"/>
              </w:rPr>
              <w:t>4.54</w:t>
            </w:r>
          </w:p>
          <w:p>
            <w:pPr>
              <w:pStyle w:val="TableParagraph"/>
              <w:spacing w:before="56"/>
              <w:ind w:left="284"/>
              <w:jc w:val="left"/>
              <w:rPr>
                <w:sz w:val="15"/>
              </w:rPr>
            </w:pPr>
            <w:r>
              <w:rPr>
                <w:sz w:val="15"/>
              </w:rPr>
              <w:t>0.51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-0.75</w:t>
            </w:r>
          </w:p>
          <w:p>
            <w:pPr>
              <w:pStyle w:val="TableParagraph"/>
              <w:spacing w:before="57"/>
              <w:ind w:left="284"/>
              <w:jc w:val="left"/>
              <w:rPr>
                <w:sz w:val="15"/>
              </w:rPr>
            </w:pPr>
            <w:r>
              <w:rPr>
                <w:sz w:val="15"/>
              </w:rPr>
              <w:t>0.96</w:t>
            </w:r>
          </w:p>
          <w:p>
            <w:pPr>
              <w:pStyle w:val="TableParagraph"/>
              <w:spacing w:before="56"/>
              <w:ind w:left="284"/>
              <w:jc w:val="left"/>
              <w:rPr>
                <w:sz w:val="15"/>
              </w:rPr>
            </w:pPr>
            <w:r>
              <w:rPr>
                <w:sz w:val="15"/>
              </w:rPr>
              <w:t>1.90</w:t>
            </w:r>
          </w:p>
          <w:p>
            <w:pPr>
              <w:pStyle w:val="TableParagraph"/>
              <w:spacing w:before="56"/>
              <w:ind w:left="284"/>
              <w:jc w:val="left"/>
              <w:rPr>
                <w:sz w:val="15"/>
              </w:rPr>
            </w:pPr>
            <w:r>
              <w:rPr>
                <w:sz w:val="15"/>
              </w:rPr>
              <w:t>1.35</w:t>
            </w:r>
          </w:p>
          <w:p>
            <w:pPr>
              <w:pStyle w:val="TableParagraph"/>
              <w:spacing w:before="56"/>
              <w:ind w:left="284"/>
              <w:jc w:val="left"/>
              <w:rPr>
                <w:sz w:val="15"/>
              </w:rPr>
            </w:pPr>
            <w:r>
              <w:rPr>
                <w:sz w:val="15"/>
              </w:rPr>
              <w:t>0.54</w:t>
            </w:r>
          </w:p>
          <w:p>
            <w:pPr>
              <w:pStyle w:val="TableParagraph"/>
              <w:spacing w:before="57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-1.73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-0.47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-2.32</w:t>
            </w:r>
          </w:p>
          <w:p>
            <w:pPr>
              <w:pStyle w:val="TableParagraph"/>
              <w:spacing w:before="57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-1.39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-2.29</w:t>
            </w:r>
          </w:p>
          <w:p>
            <w:pPr>
              <w:pStyle w:val="TableParagraph"/>
              <w:spacing w:before="56"/>
              <w:ind w:left="284"/>
              <w:jc w:val="left"/>
              <w:rPr>
                <w:sz w:val="15"/>
              </w:rPr>
            </w:pPr>
            <w:r>
              <w:rPr>
                <w:sz w:val="15"/>
              </w:rPr>
              <w:t>0.43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-1.33</w:t>
            </w:r>
          </w:p>
          <w:p>
            <w:pPr>
              <w:pStyle w:val="TableParagraph"/>
              <w:spacing w:before="57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-0.42</w:t>
            </w:r>
          </w:p>
          <w:p>
            <w:pPr>
              <w:pStyle w:val="TableParagraph"/>
              <w:spacing w:before="56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-0.08</w:t>
            </w:r>
          </w:p>
          <w:p>
            <w:pPr>
              <w:pStyle w:val="TableParagraph"/>
              <w:spacing w:before="56"/>
              <w:ind w:left="284"/>
              <w:jc w:val="left"/>
              <w:rPr>
                <w:sz w:val="15"/>
              </w:rPr>
            </w:pPr>
            <w:r>
              <w:rPr>
                <w:sz w:val="15"/>
              </w:rPr>
              <w:t>0.55</w:t>
            </w:r>
          </w:p>
          <w:p>
            <w:pPr>
              <w:pStyle w:val="TableParagraph"/>
              <w:spacing w:before="56"/>
              <w:ind w:left="284"/>
              <w:jc w:val="left"/>
              <w:rPr>
                <w:sz w:val="15"/>
              </w:rPr>
            </w:pPr>
            <w:r>
              <w:rPr>
                <w:sz w:val="15"/>
              </w:rPr>
              <w:t>0.59</w:t>
            </w:r>
          </w:p>
        </w:tc>
        <w:tc>
          <w:tcPr>
            <w:tcW w:w="7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3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0.069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0.655</w:t>
            </w:r>
          </w:p>
          <w:p>
            <w:pPr>
              <w:pStyle w:val="TableParagraph"/>
              <w:spacing w:before="57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0.101</w:t>
            </w:r>
          </w:p>
          <w:p>
            <w:pPr>
              <w:pStyle w:val="TableParagraph"/>
              <w:spacing w:before="57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0.008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7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0.638</w:t>
            </w:r>
          </w:p>
          <w:p>
            <w:pPr>
              <w:pStyle w:val="TableParagraph"/>
              <w:spacing w:before="55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0.986</w:t>
            </w:r>
          </w:p>
          <w:p>
            <w:pPr>
              <w:pStyle w:val="TableParagraph"/>
              <w:spacing w:before="57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0.650</w:t>
            </w:r>
          </w:p>
          <w:p>
            <w:pPr>
              <w:pStyle w:val="TableParagraph"/>
              <w:spacing w:before="57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0.200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0.162</w:t>
            </w:r>
          </w:p>
          <w:p>
            <w:pPr>
              <w:pStyle w:val="TableParagraph"/>
              <w:spacing w:before="57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0.611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0.455</w:t>
            </w:r>
          </w:p>
          <w:p>
            <w:pPr>
              <w:pStyle w:val="TableParagraph"/>
              <w:spacing w:before="57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0.338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0.057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0.178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0.590</w:t>
            </w:r>
          </w:p>
          <w:p>
            <w:pPr>
              <w:pStyle w:val="TableParagraph"/>
              <w:spacing w:before="57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0.083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0.636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0.020</w:t>
            </w:r>
          </w:p>
          <w:p>
            <w:pPr>
              <w:pStyle w:val="TableParagraph"/>
              <w:spacing w:before="57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0.163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0.022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0.665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0.182</w:t>
            </w:r>
          </w:p>
          <w:p>
            <w:pPr>
              <w:pStyle w:val="TableParagraph"/>
              <w:spacing w:before="57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0.673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0.938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0.586</w:t>
            </w:r>
          </w:p>
          <w:p>
            <w:pPr>
              <w:pStyle w:val="TableParagraph"/>
              <w:spacing w:before="56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0.553</w:t>
            </w:r>
          </w:p>
        </w:tc>
        <w:tc>
          <w:tcPr>
            <w:tcW w:w="124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3"/>
              <w:ind w:right="224"/>
              <w:rPr>
                <w:sz w:val="15"/>
              </w:rPr>
            </w:pPr>
            <w:r>
              <w:rPr>
                <w:sz w:val="15"/>
              </w:rPr>
              <w:t>-.0057083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1.826348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-.249797</w:t>
            </w:r>
          </w:p>
          <w:p>
            <w:pPr>
              <w:pStyle w:val="TableParagraph"/>
              <w:spacing w:before="57"/>
              <w:ind w:right="224"/>
              <w:rPr>
                <w:sz w:val="15"/>
              </w:rPr>
            </w:pPr>
            <w:r>
              <w:rPr>
                <w:sz w:val="15"/>
              </w:rPr>
              <w:t>-.5453593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-.2353549</w:t>
            </w:r>
          </w:p>
          <w:p>
            <w:pPr>
              <w:pStyle w:val="TableParagraph"/>
              <w:spacing w:before="57"/>
              <w:ind w:right="224"/>
              <w:rPr>
                <w:sz w:val="15"/>
              </w:rPr>
            </w:pPr>
            <w:r>
              <w:rPr>
                <w:sz w:val="15"/>
              </w:rPr>
              <w:t>-.318919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-1.881578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-1.003287</w:t>
            </w:r>
          </w:p>
          <w:p>
            <w:pPr>
              <w:pStyle w:val="TableParagraph"/>
              <w:spacing w:before="57"/>
              <w:ind w:right="224"/>
              <w:rPr>
                <w:sz w:val="15"/>
              </w:rPr>
            </w:pPr>
            <w:r>
              <w:rPr>
                <w:sz w:val="15"/>
              </w:rPr>
              <w:t>-.3356571</w:t>
            </w:r>
          </w:p>
          <w:p>
            <w:pPr>
              <w:pStyle w:val="TableParagraph"/>
              <w:spacing w:before="55"/>
              <w:ind w:right="224"/>
              <w:rPr>
                <w:sz w:val="15"/>
              </w:rPr>
            </w:pPr>
            <w:r>
              <w:rPr>
                <w:sz w:val="15"/>
              </w:rPr>
              <w:t>-.7602005</w:t>
            </w:r>
          </w:p>
          <w:p>
            <w:pPr>
              <w:pStyle w:val="TableParagraph"/>
              <w:spacing w:before="57"/>
              <w:ind w:right="224"/>
              <w:rPr>
                <w:sz w:val="15"/>
              </w:rPr>
            </w:pPr>
            <w:r>
              <w:rPr>
                <w:sz w:val="15"/>
              </w:rPr>
              <w:t>-.6415487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3.33022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-.0682115</w:t>
            </w:r>
          </w:p>
          <w:p>
            <w:pPr>
              <w:pStyle w:val="TableParagraph"/>
              <w:spacing w:before="57"/>
              <w:ind w:right="224"/>
              <w:rPr>
                <w:sz w:val="15"/>
              </w:rPr>
            </w:pPr>
            <w:r>
              <w:rPr>
                <w:sz w:val="15"/>
              </w:rPr>
              <w:t>-.0522301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-.1909925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-.0535433</w:t>
            </w:r>
          </w:p>
          <w:p>
            <w:pPr>
              <w:pStyle w:val="TableParagraph"/>
              <w:spacing w:before="57"/>
              <w:ind w:right="224"/>
              <w:rPr>
                <w:sz w:val="15"/>
              </w:rPr>
            </w:pPr>
            <w:r>
              <w:rPr>
                <w:sz w:val="15"/>
              </w:rPr>
              <w:t>.1635869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-.1401568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-.6301049</w:t>
            </w:r>
          </w:p>
          <w:p>
            <w:pPr>
              <w:pStyle w:val="TableParagraph"/>
              <w:spacing w:before="57"/>
              <w:ind w:right="224"/>
              <w:rPr>
                <w:sz w:val="15"/>
              </w:rPr>
            </w:pPr>
            <w:r>
              <w:rPr>
                <w:sz w:val="15"/>
              </w:rPr>
              <w:t>-.0021445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-.003187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-.02794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-.2556941</w:t>
            </w:r>
          </w:p>
          <w:p>
            <w:pPr>
              <w:pStyle w:val="TableParagraph"/>
              <w:spacing w:before="57"/>
              <w:ind w:right="224"/>
              <w:rPr>
                <w:sz w:val="15"/>
              </w:rPr>
            </w:pPr>
            <w:r>
              <w:rPr>
                <w:sz w:val="15"/>
              </w:rPr>
              <w:t>-.1377064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-.7746779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-.23835</w:t>
            </w:r>
          </w:p>
          <w:p>
            <w:pPr>
              <w:pStyle w:val="TableParagraph"/>
              <w:spacing w:before="57"/>
              <w:ind w:right="224"/>
              <w:rPr>
                <w:sz w:val="15"/>
              </w:rPr>
            </w:pPr>
            <w:r>
              <w:rPr>
                <w:sz w:val="15"/>
              </w:rPr>
              <w:t>-.0735398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-.2422021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-.2551265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-.0824791</w:t>
            </w:r>
          </w:p>
          <w:p>
            <w:pPr>
              <w:pStyle w:val="TableParagraph"/>
              <w:spacing w:before="57"/>
              <w:ind w:right="224"/>
              <w:rPr>
                <w:sz w:val="15"/>
              </w:rPr>
            </w:pPr>
            <w:r>
              <w:rPr>
                <w:sz w:val="15"/>
              </w:rPr>
              <w:t>-.1304338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-.2806543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-.2036799</w:t>
            </w:r>
          </w:p>
          <w:p>
            <w:pPr>
              <w:pStyle w:val="TableParagraph"/>
              <w:spacing w:before="56"/>
              <w:ind w:right="224"/>
              <w:rPr>
                <w:sz w:val="15"/>
              </w:rPr>
            </w:pPr>
            <w:r>
              <w:rPr>
                <w:sz w:val="15"/>
              </w:rPr>
              <w:t>-.8587006</w:t>
            </w:r>
          </w:p>
        </w:tc>
        <w:tc>
          <w:tcPr>
            <w:tcW w:w="86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3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.1519232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2.309643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.1570541</w:t>
            </w:r>
          </w:p>
          <w:p>
            <w:pPr>
              <w:pStyle w:val="TableParagraph"/>
              <w:spacing w:before="57"/>
              <w:ind w:left="54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-.1728598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.0208422</w:t>
            </w:r>
          </w:p>
          <w:p>
            <w:pPr>
              <w:pStyle w:val="TableParagraph"/>
              <w:spacing w:before="57"/>
              <w:ind w:left="54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-.0482313</w:t>
            </w:r>
          </w:p>
          <w:p>
            <w:pPr>
              <w:pStyle w:val="TableParagraph"/>
              <w:spacing w:before="56"/>
              <w:ind w:left="54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-1.307814</w:t>
            </w:r>
          </w:p>
          <w:p>
            <w:pPr>
              <w:pStyle w:val="TableParagraph"/>
              <w:spacing w:before="56"/>
              <w:ind w:left="54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-.4831549</w:t>
            </w:r>
          </w:p>
          <w:p>
            <w:pPr>
              <w:pStyle w:val="TableParagraph"/>
              <w:spacing w:before="57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.2056071</w:t>
            </w:r>
          </w:p>
          <w:p>
            <w:pPr>
              <w:pStyle w:val="TableParagraph"/>
              <w:spacing w:before="55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.7470205</w:t>
            </w:r>
          </w:p>
          <w:p>
            <w:pPr>
              <w:pStyle w:val="TableParagraph"/>
              <w:spacing w:before="57"/>
              <w:ind w:left="54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-.2666111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3.532023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.0425363</w:t>
            </w:r>
          </w:p>
          <w:p>
            <w:pPr>
              <w:pStyle w:val="TableParagraph"/>
              <w:spacing w:before="57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.2498051</w:t>
            </w:r>
          </w:p>
          <w:p>
            <w:pPr>
              <w:pStyle w:val="TableParagraph"/>
              <w:spacing w:before="56"/>
              <w:ind w:left="54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-.1273383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.0089456</w:t>
            </w:r>
          </w:p>
          <w:p>
            <w:pPr>
              <w:pStyle w:val="TableParagraph"/>
              <w:spacing w:before="57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.4118373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.2384163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.2825536</w:t>
            </w:r>
          </w:p>
          <w:p>
            <w:pPr>
              <w:pStyle w:val="TableParagraph"/>
              <w:spacing w:before="57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.0062495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.2079011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.1504805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.4494207</w:t>
            </w:r>
          </w:p>
          <w:p>
            <w:pPr>
              <w:pStyle w:val="TableParagraph"/>
              <w:spacing w:before="57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.0084415</w:t>
            </w:r>
          </w:p>
          <w:p>
            <w:pPr>
              <w:pStyle w:val="TableParagraph"/>
              <w:spacing w:before="56"/>
              <w:ind w:left="238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.473303</w:t>
            </w:r>
          </w:p>
          <w:p>
            <w:pPr>
              <w:pStyle w:val="TableParagraph"/>
              <w:spacing w:before="56"/>
              <w:ind w:left="54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-.0202835</w:t>
            </w:r>
          </w:p>
          <w:p>
            <w:pPr>
              <w:pStyle w:val="TableParagraph"/>
              <w:spacing w:before="57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.0123977</w:t>
            </w:r>
          </w:p>
          <w:p>
            <w:pPr>
              <w:pStyle w:val="TableParagraph"/>
              <w:spacing w:before="56"/>
              <w:ind w:left="54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-.0187267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.3997646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.0156638</w:t>
            </w:r>
          </w:p>
          <w:p>
            <w:pPr>
              <w:pStyle w:val="TableParagraph"/>
              <w:spacing w:before="57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.0842389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.2591424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.3606255</w:t>
            </w:r>
          </w:p>
          <w:p>
            <w:pPr>
              <w:pStyle w:val="TableParagraph"/>
              <w:spacing w:before="56"/>
              <w:ind w:left="146" w:right="-15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1.603234</w:t>
            </w:r>
          </w:p>
        </w:tc>
      </w:tr>
      <w:tr>
        <w:trPr>
          <w:trHeight w:val="663" w:hRule="atLeast"/>
        </w:trPr>
        <w:tc>
          <w:tcPr>
            <w:tcW w:w="3258" w:type="dxa"/>
            <w:tcBorders>
              <w:left w:val="nil"/>
              <w:right w:val="dashed" w:sz="6" w:space="0" w:color="000000"/>
            </w:tcBorders>
          </w:tcPr>
          <w:p>
            <w:pPr>
              <w:pStyle w:val="TableParagraph"/>
              <w:spacing w:before="143"/>
              <w:jc w:val="left"/>
              <w:rPr>
                <w:sz w:val="15"/>
              </w:rPr>
            </w:pPr>
            <w:r>
              <w:rPr>
                <w:sz w:val="15"/>
              </w:rPr>
              <w:t>state_gini</w:t>
            </w:r>
          </w:p>
          <w:p>
            <w:pPr>
              <w:pStyle w:val="TableParagraph"/>
              <w:spacing w:before="56"/>
              <w:ind w:left="2299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var(_cons)</w:t>
            </w:r>
          </w:p>
        </w:tc>
        <w:tc>
          <w:tcPr>
            <w:tcW w:w="1193" w:type="dxa"/>
            <w:tcBorders>
              <w:left w:val="dashed" w:sz="6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31"/>
              <w:rPr>
                <w:sz w:val="15"/>
              </w:rPr>
            </w:pPr>
            <w:r>
              <w:rPr>
                <w:sz w:val="15"/>
              </w:rPr>
              <w:t>.1907097</w:t>
            </w:r>
          </w:p>
        </w:tc>
        <w:tc>
          <w:tcPr>
            <w:tcW w:w="1058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.0516005</w:t>
            </w:r>
          </w:p>
        </w:tc>
        <w:tc>
          <w:tcPr>
            <w:tcW w:w="782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73" w:right="24"/>
              <w:jc w:val="center"/>
              <w:rPr>
                <w:sz w:val="15"/>
              </w:rPr>
            </w:pPr>
            <w:r>
              <w:rPr>
                <w:sz w:val="15"/>
              </w:rPr>
              <w:t>.112218</w:t>
            </w:r>
          </w:p>
        </w:tc>
        <w:tc>
          <w:tcPr>
            <w:tcW w:w="869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-15"/>
              <w:rPr>
                <w:sz w:val="15"/>
              </w:rPr>
            </w:pPr>
            <w:r>
              <w:rPr>
                <w:sz w:val="15"/>
              </w:rPr>
              <w:t>.324103</w:t>
            </w:r>
          </w:p>
        </w:tc>
      </w:tr>
    </w:tbl>
    <w:p>
      <w:pPr>
        <w:tabs>
          <w:tab w:pos="4665" w:val="left" w:leader="none"/>
        </w:tabs>
        <w:spacing w:before="143"/>
        <w:ind w:left="159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LR</w:t>
      </w:r>
      <w:r>
        <w:rPr>
          <w:rFonts w:ascii="Courier New"/>
          <w:spacing w:val="11"/>
          <w:sz w:val="15"/>
        </w:rPr>
        <w:t> </w:t>
      </w:r>
      <w:r>
        <w:rPr>
          <w:rFonts w:ascii="Courier New"/>
          <w:sz w:val="15"/>
        </w:rPr>
        <w:t>test</w:t>
      </w:r>
      <w:r>
        <w:rPr>
          <w:rFonts w:ascii="Courier New"/>
          <w:spacing w:val="12"/>
          <w:sz w:val="15"/>
        </w:rPr>
        <w:t> </w:t>
      </w:r>
      <w:r>
        <w:rPr>
          <w:rFonts w:ascii="Courier New"/>
          <w:sz w:val="15"/>
        </w:rPr>
        <w:t>vs.</w:t>
      </w:r>
      <w:r>
        <w:rPr>
          <w:rFonts w:ascii="Courier New"/>
          <w:spacing w:val="11"/>
          <w:sz w:val="15"/>
        </w:rPr>
        <w:t> </w:t>
      </w:r>
      <w:r>
        <w:rPr>
          <w:rFonts w:ascii="Courier New"/>
          <w:sz w:val="15"/>
        </w:rPr>
        <w:t>logistic</w:t>
      </w:r>
      <w:r>
        <w:rPr>
          <w:rFonts w:ascii="Courier New"/>
          <w:spacing w:val="12"/>
          <w:sz w:val="15"/>
        </w:rPr>
        <w:t> </w:t>
      </w:r>
      <w:r>
        <w:rPr>
          <w:rFonts w:ascii="Courier New"/>
          <w:sz w:val="15"/>
        </w:rPr>
        <w:t>regression:</w:t>
      </w:r>
      <w:r>
        <w:rPr>
          <w:rFonts w:ascii="Courier New"/>
          <w:spacing w:val="11"/>
          <w:sz w:val="15"/>
        </w:rPr>
        <w:t> </w:t>
      </w:r>
      <w:r>
        <w:rPr>
          <w:rFonts w:ascii="Courier New"/>
          <w:sz w:val="15"/>
        </w:rPr>
        <w:t>chibar2(01)</w:t>
      </w:r>
      <w:r>
        <w:rPr>
          <w:rFonts w:ascii="Courier New"/>
          <w:spacing w:val="12"/>
          <w:sz w:val="15"/>
        </w:rPr>
        <w:t> </w:t>
      </w:r>
      <w:r>
        <w:rPr>
          <w:rFonts w:ascii="Courier New"/>
          <w:sz w:val="15"/>
        </w:rPr>
        <w:t>=</w:t>
        <w:tab/>
        <w:t>232.73</w:t>
      </w:r>
      <w:r>
        <w:rPr>
          <w:rFonts w:ascii="Courier New"/>
          <w:spacing w:val="12"/>
          <w:sz w:val="15"/>
        </w:rPr>
        <w:t> </w:t>
      </w:r>
      <w:r>
        <w:rPr>
          <w:rFonts w:ascii="Courier New"/>
          <w:sz w:val="15"/>
        </w:rPr>
        <w:t>Prob&gt;=chibar2</w:t>
      </w:r>
      <w:r>
        <w:rPr>
          <w:rFonts w:ascii="Courier New"/>
          <w:spacing w:val="13"/>
          <w:sz w:val="15"/>
        </w:rPr>
        <w:t> </w:t>
      </w:r>
      <w:r>
        <w:rPr>
          <w:rFonts w:ascii="Courier New"/>
          <w:sz w:val="15"/>
        </w:rPr>
        <w:t>=</w:t>
      </w:r>
      <w:r>
        <w:rPr>
          <w:rFonts w:ascii="Courier New"/>
          <w:spacing w:val="13"/>
          <w:sz w:val="15"/>
        </w:rPr>
        <w:t> </w:t>
      </w:r>
      <w:r>
        <w:rPr>
          <w:rFonts w:ascii="Courier New"/>
          <w:sz w:val="15"/>
        </w:rPr>
        <w:t>0.0000</w:t>
      </w:r>
    </w:p>
    <w:p>
      <w:pPr>
        <w:spacing w:after="0"/>
        <w:jc w:val="left"/>
        <w:rPr>
          <w:rFonts w:ascii="Courier New"/>
          <w:sz w:val="15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595"/>
      </w:pPr>
      <w:r>
        <w:rPr/>
        <w:t>TABLE</w:t>
      </w:r>
      <w:r>
        <w:rPr>
          <w:spacing w:val="-2"/>
        </w:rPr>
        <w:t> </w:t>
      </w:r>
      <w:r>
        <w:rPr/>
        <w:t>J8:</w:t>
      </w:r>
      <w:r>
        <w:rPr>
          <w:spacing w:val="-2"/>
        </w:rPr>
        <w:t> </w:t>
      </w:r>
      <w:r>
        <w:rPr/>
        <w:t>ROBUSTNESS</w:t>
      </w:r>
      <w:r>
        <w:rPr>
          <w:spacing w:val="-2"/>
        </w:rPr>
        <w:t> </w:t>
      </w:r>
      <w:r>
        <w:rPr/>
        <w:t>CHECK: HOUSEHOLDS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INCOMES &lt;#49,606.62</w:t>
      </w:r>
    </w:p>
    <w:p>
      <w:pPr>
        <w:spacing w:after="0"/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595"/>
      </w:pPr>
      <w:r>
        <w:rPr/>
        <w:pict>
          <v:group style="position:absolute;margin-left:74.349510pt;margin-top:146.371277pt;width:418.85pt;height:282.650pt;mso-position-horizontal-relative:page;mso-position-vertical-relative:paragraph;z-index:-43041792" coordorigin="1487,2927" coordsize="8377,5653">
            <v:shape style="position:absolute;left:4639;top:3510;width:14;height:5069" coordorigin="4640,3511" coordsize="14,5069" path="m4653,8458l4640,8458,4640,8579,4653,8565,4653,8458xm4653,8233l4640,8233,4640,8443,4653,8443,4653,8233xm4653,8008l4640,8008,4640,8218,4653,8218,4653,8008xm4653,7783l4640,7783,4640,7994,4653,7994,4653,7783xm4653,7558l4640,7558,4640,7769,4653,7769,4653,7558xm4653,7333l4640,7333,4640,7544,4653,7544,4653,7333xm4653,7109l4640,7109,4640,7319,4653,7319,4653,7109xm4653,6884l4640,6884,4640,7094,4653,7094,4653,6884xm4653,6659l4640,6659,4640,6869,4653,6869,4653,6659xm4653,6434l4640,6434,4640,6645,4653,6645,4653,6434xm4653,6209l4640,6209,4640,6420,4653,6420,4653,6209xm4653,5984l4640,5984,4640,6195,4653,6195,4653,5984xm4653,5759l4640,5759,4640,5970,4653,5970,4653,5759xm4653,5534l4640,5534,4640,5745,4653,5745,4653,5534xm4653,5310l4640,5310,4640,5520,4653,5520,4653,5310xm4653,5084l4640,5084,4640,5295,4653,5295,4653,5084xm4653,4860l4640,4860,4640,5071,4653,5071,4653,4860xm4653,4635l4640,4635,4640,4846,4653,4846,4653,4635xm4653,4410l4640,4410,4640,4621,4653,4621,4653,4410xm4653,4185l4640,4185,4640,4396,4653,4396,4653,4185xm4653,3960l4640,3960,4640,4171,4653,4171,4653,3960xm4653,3735l4640,3735,4640,3946,4653,3946,4653,3735xm4653,3511l4640,3511,4640,3722,4653,3722,4653,3511xe" filled="true" fillcolor="#000000" stroked="false">
              <v:path arrowok="t"/>
              <v:fill type="solid"/>
            </v:shape>
            <v:line style="position:absolute" from="1487,3384" to="4687,3384" stroked="true" strokeweight=".708417pt" strokecolor="#000000">
              <v:stroke dashstyle="shortdash"/>
            </v:line>
            <v:shape style="position:absolute;left:4639;top:3285;width:142;height:211" coordorigin="4640,3286" coordsize="142,211" path="m4653,3286l4640,3286,4640,3497,4653,3497,4653,3286xm4781,3377l4700,3377,4700,3391,4781,3391,4781,3377xe" filled="true" fillcolor="#000000" stroked="false">
              <v:path arrowok="t"/>
              <v:fill type="solid"/>
            </v:shape>
            <v:line style="position:absolute" from="4795,3384" to="9412,3384" stroked="true" strokeweight=".708417pt" strokecolor="#000000">
              <v:stroke dashstyle="shortdash"/>
            </v:line>
            <v:shape style="position:absolute;left:4639;top:3060;width:4809;height:331" coordorigin="4640,3061" coordsize="4809,331" path="m4653,3061l4640,3061,4640,3272,4653,3272,4653,3061xm9448,3377l9426,3377,9426,3391,9435,3391,9448,3377xe" filled="true" fillcolor="#000000" stroked="false">
              <v:path arrowok="t"/>
              <v:fill type="solid"/>
            </v:shape>
            <v:line style="position:absolute" from="1487,2935" to="4687,2935" stroked="true" strokeweight=".708417pt" strokecolor="#000000">
              <v:stroke dashstyle="shortdash"/>
            </v:line>
            <v:shape style="position:absolute;left:4639;top:2927;width:142;height:120" coordorigin="4640,2927" coordsize="142,120" path="m4653,2935l4640,2935,4640,3047,4653,3047,4653,2935xm4781,2927l4700,2927,4700,2942,4781,2942,4781,2927xe" filled="true" fillcolor="#000000" stroked="false">
              <v:path arrowok="t"/>
              <v:fill type="solid"/>
            </v:shape>
            <v:line style="position:absolute" from="4795,2935" to="9863,2935" stroked="true" strokeweight=".708417pt" strokecolor="#000000">
              <v:stroke dashstyle="shortdash"/>
            </v:line>
            <v:shape style="position:absolute;left:3843;top:3079;width:677;height:17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sz w:val="15"/>
                      </w:rPr>
                      <w:t>illness</w:t>
                    </w:r>
                  </w:p>
                </w:txbxContent>
              </v:textbox>
              <w10:wrap type="none"/>
            </v:shape>
            <v:shape style="position:absolute;left:5260;top:3079;width:1622;height:175" type="#_x0000_t202" filled="false" stroked="false">
              <v:textbox inset="0,0,0,0">
                <w:txbxContent>
                  <w:p>
                    <w:pPr>
                      <w:tabs>
                        <w:tab w:pos="75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sz w:val="15"/>
                      </w:rPr>
                      <w:t>Coef.</w:t>
                      <w:tab/>
                      <w:t>Std.</w:t>
                    </w:r>
                    <w:r>
                      <w:rPr>
                        <w:rFonts w:ascii="Courier New"/>
                        <w:spacing w:val="28"/>
                        <w:sz w:val="15"/>
                      </w:rPr>
                      <w:t> </w:t>
                    </w:r>
                    <w:r>
                      <w:rPr>
                        <w:rFonts w:ascii="Courier New"/>
                        <w:sz w:val="15"/>
                      </w:rPr>
                      <w:t>Err.</w:t>
                    </w:r>
                  </w:p>
                </w:txbxContent>
              </v:textbox>
              <w10:wrap type="none"/>
            </v:shape>
            <v:shape style="position:absolute;left:7434;top:3079;width:960;height:175" type="#_x0000_t202" filled="false" stroked="false">
              <v:textbox inset="0,0,0,0">
                <w:txbxContent>
                  <w:p>
                    <w:pPr>
                      <w:tabs>
                        <w:tab w:pos="47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sz w:val="15"/>
                      </w:rPr>
                      <w:t>z</w:t>
                      <w:tab/>
                      <w:t>P&gt;|z|</w:t>
                    </w:r>
                  </w:p>
                </w:txbxContent>
              </v:textbox>
              <w10:wrap type="none"/>
            </v:shape>
            <v:shape style="position:absolute;left:8852;top:3079;width:865;height:17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sz w:val="15"/>
                      </w:rPr>
                      <w:t>[95%</w:t>
                    </w:r>
                    <w:r>
                      <w:rPr>
                        <w:rFonts w:ascii="Courier New"/>
                        <w:spacing w:val="28"/>
                        <w:sz w:val="15"/>
                      </w:rPr>
                      <w:t> </w:t>
                    </w:r>
                    <w:r>
                      <w:rPr>
                        <w:rFonts w:ascii="Courier New"/>
                        <w:sz w:val="15"/>
                      </w:rPr>
                      <w:t>Conf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4"/>
        </w:rPr>
        <w:t> </w:t>
      </w:r>
      <w:r>
        <w:rPr/>
        <w:t>J9:</w:t>
      </w:r>
      <w:r>
        <w:rPr>
          <w:spacing w:val="-4"/>
        </w:rPr>
        <w:t> </w:t>
      </w:r>
      <w:r>
        <w:rPr/>
        <w:t>ROBUSTNESS</w:t>
      </w:r>
      <w:r>
        <w:rPr>
          <w:spacing w:val="-4"/>
        </w:rPr>
        <w:t> </w:t>
      </w:r>
      <w:r>
        <w:rPr/>
        <w:t>CHECK:</w:t>
      </w:r>
      <w:r>
        <w:rPr>
          <w:spacing w:val="-5"/>
        </w:rPr>
        <w:t> </w:t>
      </w:r>
      <w:r>
        <w:rPr/>
        <w:t>HOUSEHOLDS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INCOMES</w:t>
      </w:r>
      <w:r>
        <w:rPr>
          <w:spacing w:val="-2"/>
        </w:rPr>
        <w:t> </w:t>
      </w:r>
      <w:r>
        <w:rPr/>
        <w:t>˃#49,606.62</w:t>
      </w: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284"/>
        <w:gridCol w:w="2080"/>
        <w:gridCol w:w="1277"/>
        <w:gridCol w:w="993"/>
        <w:gridCol w:w="284"/>
        <w:gridCol w:w="426"/>
        <w:gridCol w:w="804"/>
      </w:tblGrid>
      <w:tr>
        <w:trPr>
          <w:trHeight w:val="199" w:hRule="atLeast"/>
        </w:trPr>
        <w:tc>
          <w:tcPr>
            <w:tcW w:w="3687" w:type="dxa"/>
            <w:gridSpan w:val="3"/>
          </w:tcPr>
          <w:p>
            <w:pPr>
              <w:pStyle w:val="TableParagraph"/>
              <w:spacing w:before="3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Random-effects</w:t>
            </w:r>
            <w:r>
              <w:rPr>
                <w:spacing w:val="46"/>
                <w:sz w:val="15"/>
              </w:rPr>
              <w:t> </w:t>
            </w:r>
            <w:r>
              <w:rPr>
                <w:sz w:val="15"/>
              </w:rPr>
              <w:t>GLS</w:t>
            </w:r>
            <w:r>
              <w:rPr>
                <w:spacing w:val="47"/>
                <w:sz w:val="15"/>
              </w:rPr>
              <w:t> </w:t>
            </w:r>
            <w:r>
              <w:rPr>
                <w:sz w:val="15"/>
              </w:rPr>
              <w:t>regression</w:t>
            </w:r>
          </w:p>
        </w:tc>
        <w:tc>
          <w:tcPr>
            <w:tcW w:w="2554" w:type="dxa"/>
            <w:gridSpan w:val="3"/>
          </w:tcPr>
          <w:p>
            <w:pPr>
              <w:pStyle w:val="TableParagraph"/>
              <w:spacing w:before="3"/>
              <w:ind w:left="899"/>
              <w:jc w:val="left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20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22"/>
                <w:sz w:val="15"/>
              </w:rPr>
              <w:t> </w:t>
            </w:r>
            <w:r>
              <w:rPr>
                <w:sz w:val="15"/>
              </w:rPr>
              <w:t>obs</w:t>
            </w:r>
          </w:p>
        </w:tc>
        <w:tc>
          <w:tcPr>
            <w:tcW w:w="426" w:type="dxa"/>
          </w:tcPr>
          <w:p>
            <w:pPr>
              <w:pStyle w:val="TableParagraph"/>
              <w:spacing w:before="3"/>
              <w:ind w:right="52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=</w:t>
            </w:r>
          </w:p>
        </w:tc>
        <w:tc>
          <w:tcPr>
            <w:tcW w:w="804" w:type="dxa"/>
          </w:tcPr>
          <w:p>
            <w:pPr>
              <w:pStyle w:val="TableParagraph"/>
              <w:spacing w:before="3"/>
              <w:ind w:right="52"/>
              <w:rPr>
                <w:sz w:val="15"/>
              </w:rPr>
            </w:pPr>
            <w:r>
              <w:rPr>
                <w:sz w:val="15"/>
              </w:rPr>
              <w:t>920</w:t>
            </w:r>
          </w:p>
        </w:tc>
      </w:tr>
      <w:tr>
        <w:trPr>
          <w:trHeight w:val="199" w:hRule="atLeast"/>
        </w:trPr>
        <w:tc>
          <w:tcPr>
            <w:tcW w:w="3687" w:type="dxa"/>
            <w:gridSpan w:val="3"/>
          </w:tcPr>
          <w:p>
            <w:pPr>
              <w:pStyle w:val="TableParagraph"/>
              <w:spacing w:line="151" w:lineRule="exact" w:before="28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Group</w:t>
            </w:r>
            <w:r>
              <w:rPr>
                <w:spacing w:val="33"/>
                <w:sz w:val="15"/>
              </w:rPr>
              <w:t> </w:t>
            </w:r>
            <w:r>
              <w:rPr>
                <w:sz w:val="15"/>
              </w:rPr>
              <w:t>variable:</w:t>
            </w:r>
            <w:r>
              <w:rPr>
                <w:spacing w:val="34"/>
                <w:sz w:val="15"/>
              </w:rPr>
              <w:t> </w:t>
            </w:r>
            <w:r>
              <w:rPr>
                <w:sz w:val="15"/>
              </w:rPr>
              <w:t>state</w:t>
            </w:r>
          </w:p>
        </w:tc>
        <w:tc>
          <w:tcPr>
            <w:tcW w:w="2554" w:type="dxa"/>
            <w:gridSpan w:val="3"/>
          </w:tcPr>
          <w:p>
            <w:pPr>
              <w:pStyle w:val="TableParagraph"/>
              <w:spacing w:line="151" w:lineRule="exact" w:before="28"/>
              <w:ind w:left="899"/>
              <w:jc w:val="left"/>
              <w:rPr>
                <w:sz w:val="15"/>
              </w:rPr>
            </w:pPr>
            <w:r>
              <w:rPr>
                <w:sz w:val="15"/>
              </w:rPr>
              <w:t>Number</w:t>
            </w:r>
            <w:r>
              <w:rPr>
                <w:spacing w:val="25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27"/>
                <w:sz w:val="15"/>
              </w:rPr>
              <w:t> </w:t>
            </w:r>
            <w:r>
              <w:rPr>
                <w:sz w:val="15"/>
              </w:rPr>
              <w:t>groups</w:t>
            </w:r>
          </w:p>
        </w:tc>
        <w:tc>
          <w:tcPr>
            <w:tcW w:w="426" w:type="dxa"/>
          </w:tcPr>
          <w:p>
            <w:pPr>
              <w:pStyle w:val="TableParagraph"/>
              <w:spacing w:line="151" w:lineRule="exact" w:before="28"/>
              <w:ind w:right="52"/>
              <w:jc w:val="center"/>
              <w:rPr>
                <w:sz w:val="15"/>
              </w:rPr>
            </w:pPr>
            <w:r>
              <w:rPr>
                <w:w w:val="98"/>
                <w:sz w:val="15"/>
              </w:rPr>
              <w:t>=</w:t>
            </w:r>
          </w:p>
        </w:tc>
        <w:tc>
          <w:tcPr>
            <w:tcW w:w="804" w:type="dxa"/>
          </w:tcPr>
          <w:p>
            <w:pPr>
              <w:pStyle w:val="TableParagraph"/>
              <w:spacing w:line="151" w:lineRule="exact" w:before="28"/>
              <w:ind w:right="52"/>
              <w:rPr>
                <w:sz w:val="15"/>
              </w:rPr>
            </w:pPr>
            <w:r>
              <w:rPr>
                <w:sz w:val="15"/>
              </w:rPr>
              <w:t>35</w:t>
            </w:r>
          </w:p>
        </w:tc>
      </w:tr>
      <w:tr>
        <w:trPr>
          <w:trHeight w:val="474" w:hRule="atLeast"/>
        </w:trPr>
        <w:tc>
          <w:tcPr>
            <w:tcW w:w="1607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4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R-sq:</w:t>
            </w:r>
            <w:r>
              <w:rPr>
                <w:spacing w:val="118"/>
                <w:sz w:val="15"/>
              </w:rPr>
              <w:t> </w:t>
            </w:r>
            <w:r>
              <w:rPr>
                <w:sz w:val="15"/>
              </w:rPr>
              <w:t>within</w:t>
            </w:r>
            <w:r>
              <w:rPr>
                <w:spacing w:val="119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208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4"/>
              <w:ind w:left="49"/>
              <w:jc w:val="left"/>
              <w:rPr>
                <w:sz w:val="15"/>
              </w:rPr>
            </w:pPr>
            <w:r>
              <w:rPr>
                <w:sz w:val="15"/>
              </w:rPr>
              <w:t>0.3131</w:t>
            </w:r>
          </w:p>
        </w:tc>
        <w:tc>
          <w:tcPr>
            <w:tcW w:w="127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4"/>
              <w:ind w:right="97"/>
              <w:rPr>
                <w:sz w:val="15"/>
              </w:rPr>
            </w:pPr>
            <w:r>
              <w:rPr>
                <w:sz w:val="15"/>
              </w:rPr>
              <w:t>Obs</w:t>
            </w:r>
          </w:p>
        </w:tc>
        <w:tc>
          <w:tcPr>
            <w:tcW w:w="9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4"/>
              <w:jc w:val="left"/>
              <w:rPr>
                <w:sz w:val="15"/>
              </w:rPr>
            </w:pPr>
            <w:r>
              <w:rPr>
                <w:sz w:val="15"/>
              </w:rPr>
              <w:t>per</w:t>
            </w:r>
            <w:r>
              <w:rPr>
                <w:spacing w:val="26"/>
                <w:sz w:val="15"/>
              </w:rPr>
              <w:t> </w:t>
            </w:r>
            <w:r>
              <w:rPr>
                <w:sz w:val="15"/>
              </w:rPr>
              <w:t>group:</w:t>
            </w:r>
          </w:p>
        </w:tc>
        <w:tc>
          <w:tcPr>
            <w:tcW w:w="710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4"/>
              <w:ind w:left="47"/>
              <w:jc w:val="left"/>
              <w:rPr>
                <w:sz w:val="15"/>
              </w:rPr>
            </w:pPr>
            <w:r>
              <w:rPr>
                <w:sz w:val="15"/>
              </w:rPr>
              <w:t>min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4"/>
              <w:ind w:right="52"/>
              <w:rPr>
                <w:sz w:val="15"/>
              </w:rPr>
            </w:pPr>
            <w:r>
              <w:rPr>
                <w:w w:val="98"/>
                <w:sz w:val="15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1607" w:type="dxa"/>
            <w:gridSpan w:val="2"/>
          </w:tcPr>
          <w:p>
            <w:pPr>
              <w:pStyle w:val="TableParagraph"/>
              <w:spacing w:before="28"/>
              <w:ind w:left="711"/>
              <w:jc w:val="left"/>
              <w:rPr>
                <w:sz w:val="15"/>
              </w:rPr>
            </w:pPr>
            <w:r>
              <w:rPr>
                <w:sz w:val="15"/>
              </w:rPr>
              <w:t>between</w:t>
            </w:r>
            <w:r>
              <w:rPr>
                <w:spacing w:val="23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2080" w:type="dxa"/>
          </w:tcPr>
          <w:p>
            <w:pPr>
              <w:pStyle w:val="TableParagraph"/>
              <w:spacing w:before="28"/>
              <w:ind w:left="49"/>
              <w:jc w:val="left"/>
              <w:rPr>
                <w:sz w:val="15"/>
              </w:rPr>
            </w:pPr>
            <w:r>
              <w:rPr>
                <w:sz w:val="15"/>
              </w:rPr>
              <w:t>0.5982</w:t>
            </w:r>
          </w:p>
        </w:tc>
        <w:tc>
          <w:tcPr>
            <w:tcW w:w="127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gridSpan w:val="2"/>
          </w:tcPr>
          <w:p>
            <w:pPr>
              <w:pStyle w:val="TableParagraph"/>
              <w:spacing w:before="28"/>
              <w:ind w:left="47"/>
              <w:jc w:val="left"/>
              <w:rPr>
                <w:sz w:val="15"/>
              </w:rPr>
            </w:pPr>
            <w:r>
              <w:rPr>
                <w:sz w:val="15"/>
              </w:rPr>
              <w:t>avg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804" w:type="dxa"/>
          </w:tcPr>
          <w:p>
            <w:pPr>
              <w:pStyle w:val="TableParagraph"/>
              <w:spacing w:before="28"/>
              <w:ind w:right="52"/>
              <w:rPr>
                <w:sz w:val="15"/>
              </w:rPr>
            </w:pPr>
            <w:r>
              <w:rPr>
                <w:sz w:val="15"/>
              </w:rPr>
              <w:t>26.3</w:t>
            </w:r>
          </w:p>
        </w:tc>
      </w:tr>
      <w:tr>
        <w:trPr>
          <w:trHeight w:val="200" w:hRule="atLeast"/>
        </w:trPr>
        <w:tc>
          <w:tcPr>
            <w:tcW w:w="1607" w:type="dxa"/>
            <w:gridSpan w:val="2"/>
          </w:tcPr>
          <w:p>
            <w:pPr>
              <w:pStyle w:val="TableParagraph"/>
              <w:spacing w:line="151" w:lineRule="exact" w:before="28"/>
              <w:ind w:left="711"/>
              <w:jc w:val="left"/>
              <w:rPr>
                <w:sz w:val="15"/>
              </w:rPr>
            </w:pPr>
            <w:r>
              <w:rPr>
                <w:sz w:val="15"/>
              </w:rPr>
              <w:t>overall</w:t>
            </w:r>
            <w:r>
              <w:rPr>
                <w:spacing w:val="23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2080" w:type="dxa"/>
          </w:tcPr>
          <w:p>
            <w:pPr>
              <w:pStyle w:val="TableParagraph"/>
              <w:spacing w:line="151" w:lineRule="exact" w:before="28"/>
              <w:ind w:left="49"/>
              <w:jc w:val="left"/>
              <w:rPr>
                <w:sz w:val="15"/>
              </w:rPr>
            </w:pPr>
            <w:r>
              <w:rPr>
                <w:sz w:val="15"/>
              </w:rPr>
              <w:t>0.3466</w:t>
            </w:r>
          </w:p>
        </w:tc>
        <w:tc>
          <w:tcPr>
            <w:tcW w:w="127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gridSpan w:val="2"/>
          </w:tcPr>
          <w:p>
            <w:pPr>
              <w:pStyle w:val="TableParagraph"/>
              <w:spacing w:line="151" w:lineRule="exact" w:before="28"/>
              <w:ind w:left="47"/>
              <w:jc w:val="left"/>
              <w:rPr>
                <w:sz w:val="15"/>
              </w:rPr>
            </w:pPr>
            <w:r>
              <w:rPr>
                <w:sz w:val="15"/>
              </w:rPr>
              <w:t>max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=</w:t>
            </w:r>
          </w:p>
        </w:tc>
        <w:tc>
          <w:tcPr>
            <w:tcW w:w="804" w:type="dxa"/>
          </w:tcPr>
          <w:p>
            <w:pPr>
              <w:pStyle w:val="TableParagraph"/>
              <w:spacing w:line="151" w:lineRule="exact" w:before="28"/>
              <w:ind w:right="52"/>
              <w:rPr>
                <w:sz w:val="15"/>
              </w:rPr>
            </w:pPr>
            <w:r>
              <w:rPr>
                <w:sz w:val="15"/>
              </w:rPr>
              <w:t>401</w:t>
            </w:r>
          </w:p>
        </w:tc>
      </w:tr>
      <w:tr>
        <w:trPr>
          <w:trHeight w:val="474" w:hRule="atLeast"/>
        </w:trPr>
        <w:tc>
          <w:tcPr>
            <w:tcW w:w="132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8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4"/>
              <w:ind w:right="3"/>
              <w:rPr>
                <w:sz w:val="15"/>
              </w:rPr>
            </w:pPr>
            <w:r>
              <w:rPr>
                <w:sz w:val="15"/>
              </w:rPr>
              <w:t>Wald</w:t>
            </w:r>
          </w:p>
        </w:tc>
        <w:tc>
          <w:tcPr>
            <w:tcW w:w="99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4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chi2(32)</w:t>
            </w:r>
          </w:p>
        </w:tc>
        <w:tc>
          <w:tcPr>
            <w:tcW w:w="710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4"/>
              <w:ind w:left="424"/>
              <w:jc w:val="left"/>
              <w:rPr>
                <w:sz w:val="15"/>
              </w:rPr>
            </w:pPr>
            <w:r>
              <w:rPr>
                <w:w w:val="98"/>
                <w:sz w:val="15"/>
              </w:rPr>
              <w:t>=</w:t>
            </w:r>
          </w:p>
        </w:tc>
        <w:tc>
          <w:tcPr>
            <w:tcW w:w="80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4"/>
              <w:ind w:right="52"/>
              <w:rPr>
                <w:sz w:val="15"/>
              </w:rPr>
            </w:pPr>
            <w:r>
              <w:rPr>
                <w:sz w:val="15"/>
              </w:rPr>
              <w:t>470.54</w:t>
            </w:r>
          </w:p>
        </w:tc>
      </w:tr>
      <w:tr>
        <w:trPr>
          <w:trHeight w:val="199" w:hRule="atLeast"/>
        </w:trPr>
        <w:tc>
          <w:tcPr>
            <w:tcW w:w="1323" w:type="dxa"/>
          </w:tcPr>
          <w:p>
            <w:pPr>
              <w:pStyle w:val="TableParagraph"/>
              <w:spacing w:line="151" w:lineRule="exact" w:before="28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corr(u_i,</w:t>
            </w:r>
            <w:r>
              <w:rPr>
                <w:spacing w:val="32"/>
                <w:sz w:val="15"/>
              </w:rPr>
              <w:t> </w:t>
            </w:r>
            <w:r>
              <w:rPr>
                <w:sz w:val="15"/>
              </w:rPr>
              <w:t>X)</w:t>
            </w:r>
          </w:p>
        </w:tc>
        <w:tc>
          <w:tcPr>
            <w:tcW w:w="284" w:type="dxa"/>
          </w:tcPr>
          <w:p>
            <w:pPr>
              <w:pStyle w:val="TableParagraph"/>
              <w:spacing w:line="151" w:lineRule="exact" w:before="28"/>
              <w:ind w:left="144"/>
              <w:jc w:val="left"/>
              <w:rPr>
                <w:sz w:val="15"/>
              </w:rPr>
            </w:pPr>
            <w:r>
              <w:rPr>
                <w:w w:val="98"/>
                <w:sz w:val="15"/>
              </w:rPr>
              <w:t>=</w:t>
            </w:r>
          </w:p>
        </w:tc>
        <w:tc>
          <w:tcPr>
            <w:tcW w:w="2080" w:type="dxa"/>
          </w:tcPr>
          <w:p>
            <w:pPr>
              <w:pStyle w:val="TableParagraph"/>
              <w:spacing w:line="151" w:lineRule="exact" w:before="28"/>
              <w:ind w:left="49"/>
              <w:jc w:val="left"/>
              <w:rPr>
                <w:sz w:val="15"/>
              </w:rPr>
            </w:pPr>
            <w:r>
              <w:rPr>
                <w:sz w:val="15"/>
              </w:rPr>
              <w:t>0</w:t>
            </w:r>
            <w:r>
              <w:rPr>
                <w:spacing w:val="29"/>
                <w:sz w:val="15"/>
              </w:rPr>
              <w:t> </w:t>
            </w:r>
            <w:r>
              <w:rPr>
                <w:sz w:val="15"/>
              </w:rPr>
              <w:t>(assumed)</w:t>
            </w:r>
          </w:p>
        </w:tc>
        <w:tc>
          <w:tcPr>
            <w:tcW w:w="1277" w:type="dxa"/>
          </w:tcPr>
          <w:p>
            <w:pPr>
              <w:pStyle w:val="TableParagraph"/>
              <w:spacing w:line="151" w:lineRule="exact" w:before="28"/>
              <w:ind w:right="3"/>
              <w:rPr>
                <w:sz w:val="15"/>
              </w:rPr>
            </w:pPr>
            <w:r>
              <w:rPr>
                <w:sz w:val="15"/>
              </w:rPr>
              <w:t>Prob</w:t>
            </w:r>
          </w:p>
        </w:tc>
        <w:tc>
          <w:tcPr>
            <w:tcW w:w="993" w:type="dxa"/>
          </w:tcPr>
          <w:p>
            <w:pPr>
              <w:pStyle w:val="TableParagraph"/>
              <w:spacing w:line="151" w:lineRule="exact" w:before="28"/>
              <w:ind w:left="95"/>
              <w:jc w:val="left"/>
              <w:rPr>
                <w:sz w:val="15"/>
              </w:rPr>
            </w:pPr>
            <w:r>
              <w:rPr>
                <w:sz w:val="15"/>
              </w:rPr>
              <w:t>&gt;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chi2</w:t>
            </w:r>
          </w:p>
        </w:tc>
        <w:tc>
          <w:tcPr>
            <w:tcW w:w="710" w:type="dxa"/>
            <w:gridSpan w:val="2"/>
          </w:tcPr>
          <w:p>
            <w:pPr>
              <w:pStyle w:val="TableParagraph"/>
              <w:spacing w:line="151" w:lineRule="exact" w:before="28"/>
              <w:ind w:left="424"/>
              <w:jc w:val="left"/>
              <w:rPr>
                <w:sz w:val="15"/>
              </w:rPr>
            </w:pPr>
            <w:r>
              <w:rPr>
                <w:w w:val="98"/>
                <w:sz w:val="15"/>
              </w:rPr>
              <w:t>=</w:t>
            </w:r>
          </w:p>
        </w:tc>
        <w:tc>
          <w:tcPr>
            <w:tcW w:w="804" w:type="dxa"/>
          </w:tcPr>
          <w:p>
            <w:pPr>
              <w:pStyle w:val="TableParagraph"/>
              <w:spacing w:line="151" w:lineRule="exact" w:before="28"/>
              <w:ind w:right="52"/>
              <w:rPr>
                <w:sz w:val="15"/>
              </w:rPr>
            </w:pPr>
            <w:r>
              <w:rPr>
                <w:sz w:val="15"/>
              </w:rPr>
              <w:t>0.0000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8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4"/>
        <w:gridCol w:w="1181"/>
        <w:gridCol w:w="1039"/>
        <w:gridCol w:w="850"/>
        <w:gridCol w:w="802"/>
        <w:gridCol w:w="708"/>
      </w:tblGrid>
      <w:tr>
        <w:trPr>
          <w:trHeight w:val="199" w:hRule="atLeast"/>
        </w:trPr>
        <w:tc>
          <w:tcPr>
            <w:tcW w:w="2504" w:type="dxa"/>
          </w:tcPr>
          <w:p>
            <w:pPr>
              <w:pStyle w:val="TableParagraph"/>
              <w:spacing w:before="3"/>
              <w:ind w:right="189"/>
              <w:rPr>
                <w:sz w:val="15"/>
              </w:rPr>
            </w:pPr>
            <w:r>
              <w:rPr>
                <w:sz w:val="15"/>
              </w:rPr>
              <w:t>familysize</w:t>
            </w:r>
          </w:p>
        </w:tc>
        <w:tc>
          <w:tcPr>
            <w:tcW w:w="1181" w:type="dxa"/>
          </w:tcPr>
          <w:p>
            <w:pPr>
              <w:pStyle w:val="TableParagraph"/>
              <w:spacing w:before="3"/>
              <w:ind w:right="141"/>
              <w:rPr>
                <w:sz w:val="15"/>
              </w:rPr>
            </w:pPr>
            <w:r>
              <w:rPr>
                <w:sz w:val="15"/>
              </w:rPr>
              <w:t>.0239157</w:t>
            </w:r>
          </w:p>
        </w:tc>
        <w:tc>
          <w:tcPr>
            <w:tcW w:w="1039" w:type="dxa"/>
          </w:tcPr>
          <w:p>
            <w:pPr>
              <w:pStyle w:val="TableParagraph"/>
              <w:spacing w:before="3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.0176268</w:t>
            </w:r>
          </w:p>
        </w:tc>
        <w:tc>
          <w:tcPr>
            <w:tcW w:w="850" w:type="dxa"/>
          </w:tcPr>
          <w:p>
            <w:pPr>
              <w:pStyle w:val="TableParagraph"/>
              <w:spacing w:before="3"/>
              <w:ind w:left="228" w:right="36"/>
              <w:jc w:val="center"/>
              <w:rPr>
                <w:sz w:val="15"/>
              </w:rPr>
            </w:pPr>
            <w:r>
              <w:rPr>
                <w:sz w:val="15"/>
              </w:rPr>
              <w:t>1.36</w:t>
            </w:r>
          </w:p>
        </w:tc>
        <w:tc>
          <w:tcPr>
            <w:tcW w:w="802" w:type="dxa"/>
          </w:tcPr>
          <w:p>
            <w:pPr>
              <w:pStyle w:val="TableParagraph"/>
              <w:spacing w:before="3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0.175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-.010</w:t>
            </w: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hungerandnofood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.0874397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.0472975</w:t>
            </w:r>
          </w:p>
        </w:tc>
        <w:tc>
          <w:tcPr>
            <w:tcW w:w="850" w:type="dxa"/>
          </w:tcPr>
          <w:p>
            <w:pPr>
              <w:pStyle w:val="TableParagraph"/>
              <w:spacing w:before="28"/>
              <w:ind w:left="228" w:right="36"/>
              <w:jc w:val="center"/>
              <w:rPr>
                <w:sz w:val="15"/>
              </w:rPr>
            </w:pPr>
            <w:r>
              <w:rPr>
                <w:sz w:val="15"/>
              </w:rPr>
              <w:t>1.85</w:t>
            </w:r>
          </w:p>
        </w:tc>
        <w:tc>
          <w:tcPr>
            <w:tcW w:w="802" w:type="dxa"/>
          </w:tcPr>
          <w:p>
            <w:pPr>
              <w:pStyle w:val="TableParagraph"/>
              <w:spacing w:before="28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0.064</w:t>
            </w:r>
          </w:p>
        </w:tc>
        <w:tc>
          <w:tcPr>
            <w:tcW w:w="708" w:type="dxa"/>
          </w:tcPr>
          <w:p>
            <w:pPr>
              <w:pStyle w:val="TableParagraph"/>
              <w:spacing w:before="28"/>
              <w:ind w:left="194"/>
              <w:jc w:val="left"/>
              <w:rPr>
                <w:sz w:val="15"/>
              </w:rPr>
            </w:pPr>
            <w:r>
              <w:rPr>
                <w:sz w:val="15"/>
              </w:rPr>
              <w:t>-.0</w:t>
            </w:r>
          </w:p>
        </w:tc>
      </w:tr>
      <w:tr>
        <w:trPr>
          <w:trHeight w:val="225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gari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-.0016158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.0008861</w:t>
            </w:r>
          </w:p>
        </w:tc>
        <w:tc>
          <w:tcPr>
            <w:tcW w:w="850" w:type="dxa"/>
          </w:tcPr>
          <w:p>
            <w:pPr>
              <w:pStyle w:val="TableParagraph"/>
              <w:spacing w:before="28"/>
              <w:ind w:left="225" w:right="128"/>
              <w:jc w:val="center"/>
              <w:rPr>
                <w:sz w:val="15"/>
              </w:rPr>
            </w:pPr>
            <w:r>
              <w:rPr>
                <w:sz w:val="15"/>
              </w:rPr>
              <w:t>-1.82</w:t>
            </w:r>
          </w:p>
        </w:tc>
        <w:tc>
          <w:tcPr>
            <w:tcW w:w="802" w:type="dxa"/>
          </w:tcPr>
          <w:p>
            <w:pPr>
              <w:pStyle w:val="TableParagraph"/>
              <w:spacing w:before="28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0.068</w:t>
            </w:r>
          </w:p>
        </w:tc>
        <w:tc>
          <w:tcPr>
            <w:tcW w:w="708" w:type="dxa"/>
          </w:tcPr>
          <w:p>
            <w:pPr>
              <w:pStyle w:val="TableParagraph"/>
              <w:spacing w:before="28"/>
              <w:ind w:left="194"/>
              <w:jc w:val="left"/>
              <w:rPr>
                <w:sz w:val="15"/>
              </w:rPr>
            </w:pPr>
            <w:r>
              <w:rPr>
                <w:w w:val="98"/>
                <w:sz w:val="15"/>
              </w:rPr>
              <w:t>-</w:t>
            </w: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rice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-.0181617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.0255239</w:t>
            </w:r>
          </w:p>
        </w:tc>
        <w:tc>
          <w:tcPr>
            <w:tcW w:w="850" w:type="dxa"/>
          </w:tcPr>
          <w:p>
            <w:pPr>
              <w:pStyle w:val="TableParagraph"/>
              <w:spacing w:before="28"/>
              <w:ind w:left="225" w:right="128"/>
              <w:jc w:val="center"/>
              <w:rPr>
                <w:sz w:val="15"/>
              </w:rPr>
            </w:pPr>
            <w:r>
              <w:rPr>
                <w:sz w:val="15"/>
              </w:rPr>
              <w:t>-0.71</w:t>
            </w:r>
          </w:p>
        </w:tc>
        <w:tc>
          <w:tcPr>
            <w:tcW w:w="802" w:type="dxa"/>
          </w:tcPr>
          <w:p>
            <w:pPr>
              <w:pStyle w:val="TableParagraph"/>
              <w:spacing w:before="28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0.477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yamorcassavaormaizeflour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-.4272904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.0283968</w:t>
            </w:r>
          </w:p>
        </w:tc>
        <w:tc>
          <w:tcPr>
            <w:tcW w:w="850" w:type="dxa"/>
          </w:tcPr>
          <w:p>
            <w:pPr>
              <w:pStyle w:val="TableParagraph"/>
              <w:spacing w:before="28"/>
              <w:ind w:left="131" w:right="128"/>
              <w:jc w:val="center"/>
              <w:rPr>
                <w:sz w:val="15"/>
              </w:rPr>
            </w:pPr>
            <w:r>
              <w:rPr>
                <w:sz w:val="15"/>
              </w:rPr>
              <w:t>-15.05</w:t>
            </w:r>
          </w:p>
        </w:tc>
        <w:tc>
          <w:tcPr>
            <w:tcW w:w="802" w:type="dxa"/>
          </w:tcPr>
          <w:p>
            <w:pPr>
              <w:pStyle w:val="TableParagraph"/>
              <w:spacing w:before="28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0.000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beans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-.080256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.0548643</w:t>
            </w:r>
          </w:p>
        </w:tc>
        <w:tc>
          <w:tcPr>
            <w:tcW w:w="850" w:type="dxa"/>
          </w:tcPr>
          <w:p>
            <w:pPr>
              <w:pStyle w:val="TableParagraph"/>
              <w:spacing w:before="28"/>
              <w:ind w:left="225" w:right="128"/>
              <w:jc w:val="center"/>
              <w:rPr>
                <w:sz w:val="15"/>
              </w:rPr>
            </w:pPr>
            <w:r>
              <w:rPr>
                <w:sz w:val="15"/>
              </w:rPr>
              <w:t>-1.46</w:t>
            </w:r>
          </w:p>
        </w:tc>
        <w:tc>
          <w:tcPr>
            <w:tcW w:w="802" w:type="dxa"/>
          </w:tcPr>
          <w:p>
            <w:pPr>
              <w:pStyle w:val="TableParagraph"/>
              <w:spacing w:before="28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0.1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meatorfish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-.0010745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.0013063</w:t>
            </w:r>
          </w:p>
        </w:tc>
        <w:tc>
          <w:tcPr>
            <w:tcW w:w="850" w:type="dxa"/>
          </w:tcPr>
          <w:p>
            <w:pPr>
              <w:pStyle w:val="TableParagraph"/>
              <w:spacing w:before="28"/>
              <w:ind w:left="225" w:right="128"/>
              <w:jc w:val="center"/>
              <w:rPr>
                <w:sz w:val="15"/>
              </w:rPr>
            </w:pPr>
            <w:r>
              <w:rPr>
                <w:sz w:val="15"/>
              </w:rPr>
              <w:t>-0.82</w:t>
            </w:r>
          </w:p>
        </w:tc>
        <w:tc>
          <w:tcPr>
            <w:tcW w:w="802" w:type="dxa"/>
          </w:tcPr>
          <w:p>
            <w:pPr>
              <w:pStyle w:val="TableParagraph"/>
              <w:spacing w:before="28"/>
              <w:ind w:left="146"/>
              <w:jc w:val="left"/>
              <w:rPr>
                <w:sz w:val="15"/>
              </w:rPr>
            </w:pPr>
            <w:r>
              <w:rPr>
                <w:w w:val="98"/>
                <w:sz w:val="15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mosquitonetpossession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.0693735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.0854192</w:t>
            </w:r>
          </w:p>
        </w:tc>
        <w:tc>
          <w:tcPr>
            <w:tcW w:w="850" w:type="dxa"/>
          </w:tcPr>
          <w:p>
            <w:pPr>
              <w:pStyle w:val="TableParagraph"/>
              <w:spacing w:before="28"/>
              <w:ind w:left="228" w:right="36"/>
              <w:jc w:val="center"/>
              <w:rPr>
                <w:sz w:val="15"/>
              </w:rPr>
            </w:pPr>
            <w:r>
              <w:rPr>
                <w:sz w:val="15"/>
              </w:rPr>
              <w:t>0.81</w:t>
            </w: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primaryeducation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.0405985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.0348905</w:t>
            </w:r>
          </w:p>
        </w:tc>
        <w:tc>
          <w:tcPr>
            <w:tcW w:w="850" w:type="dxa"/>
          </w:tcPr>
          <w:p>
            <w:pPr>
              <w:pStyle w:val="TableParagraph"/>
              <w:spacing w:before="28"/>
              <w:ind w:left="228" w:right="36"/>
              <w:jc w:val="center"/>
              <w:rPr>
                <w:sz w:val="15"/>
              </w:rPr>
            </w:pPr>
            <w:r>
              <w:rPr>
                <w:sz w:val="15"/>
              </w:rPr>
              <w:t>1.16</w:t>
            </w: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secondarycertificate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.0031246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.0060885</w:t>
            </w:r>
          </w:p>
        </w:tc>
        <w:tc>
          <w:tcPr>
            <w:tcW w:w="850" w:type="dxa"/>
          </w:tcPr>
          <w:p>
            <w:pPr>
              <w:pStyle w:val="TableParagraph"/>
              <w:spacing w:before="28"/>
              <w:ind w:left="130" w:right="128"/>
              <w:jc w:val="center"/>
              <w:rPr>
                <w:sz w:val="15"/>
              </w:rPr>
            </w:pPr>
            <w:r>
              <w:rPr>
                <w:sz w:val="15"/>
              </w:rPr>
              <w:t>0.</w:t>
            </w: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higherdegree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-.0925812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.0283268</w:t>
            </w: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nobasiceducation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-.1105017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.0536028</w:t>
            </w: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hadelectricity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-.004972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.0820756</w:t>
            </w: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noelectricity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-.0064792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334"/>
              <w:jc w:val="left"/>
              <w:rPr>
                <w:sz w:val="15"/>
              </w:rPr>
            </w:pPr>
            <w:r>
              <w:rPr>
                <w:sz w:val="15"/>
              </w:rPr>
              <w:t>.005</w:t>
            </w: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pipebornewater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-.0583532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sz w:val="15"/>
              </w:rPr>
              <w:t>.041</w:t>
            </w: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boreholeandwell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.0663716</w:t>
            </w:r>
          </w:p>
        </w:tc>
        <w:tc>
          <w:tcPr>
            <w:tcW w:w="1039" w:type="dxa"/>
          </w:tcPr>
          <w:p>
            <w:pPr>
              <w:pStyle w:val="TableParagraph"/>
              <w:spacing w:before="28"/>
              <w:ind w:left="145"/>
              <w:jc w:val="left"/>
              <w:rPr>
                <w:sz w:val="15"/>
              </w:rPr>
            </w:pPr>
            <w:r>
              <w:rPr>
                <w:w w:val="98"/>
                <w:sz w:val="15"/>
              </w:rPr>
              <w:t>.</w:t>
            </w: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riverandspring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.3227987</w:t>
            </w:r>
          </w:p>
        </w:tc>
        <w:tc>
          <w:tcPr>
            <w:tcW w:w="103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waterormodernlatrine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right="141"/>
              <w:rPr>
                <w:sz w:val="15"/>
              </w:rPr>
            </w:pPr>
            <w:r>
              <w:rPr>
                <w:sz w:val="15"/>
              </w:rPr>
              <w:t>.0004731</w:t>
            </w:r>
          </w:p>
        </w:tc>
        <w:tc>
          <w:tcPr>
            <w:tcW w:w="103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pitorlatrine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left="192"/>
              <w:jc w:val="left"/>
              <w:rPr>
                <w:sz w:val="15"/>
              </w:rPr>
            </w:pPr>
            <w:r>
              <w:rPr>
                <w:sz w:val="15"/>
              </w:rPr>
              <w:t>-.06892</w:t>
            </w:r>
          </w:p>
        </w:tc>
        <w:tc>
          <w:tcPr>
            <w:tcW w:w="103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notoiletfacility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left="286"/>
              <w:jc w:val="left"/>
              <w:rPr>
                <w:sz w:val="15"/>
              </w:rPr>
            </w:pPr>
            <w:r>
              <w:rPr>
                <w:sz w:val="15"/>
              </w:rPr>
              <w:t>.082</w:t>
            </w:r>
          </w:p>
        </w:tc>
        <w:tc>
          <w:tcPr>
            <w:tcW w:w="103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alcoholicdrinks</w:t>
            </w:r>
          </w:p>
        </w:tc>
        <w:tc>
          <w:tcPr>
            <w:tcW w:w="1181" w:type="dxa"/>
          </w:tcPr>
          <w:p>
            <w:pPr>
              <w:pStyle w:val="TableParagraph"/>
              <w:spacing w:before="28"/>
              <w:ind w:left="286"/>
              <w:jc w:val="left"/>
              <w:rPr>
                <w:sz w:val="15"/>
              </w:rPr>
            </w:pPr>
            <w:r>
              <w:rPr>
                <w:w w:val="98"/>
                <w:sz w:val="15"/>
              </w:rPr>
              <w:t>.</w:t>
            </w:r>
          </w:p>
        </w:tc>
        <w:tc>
          <w:tcPr>
            <w:tcW w:w="103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selfmedication</w:t>
            </w:r>
          </w:p>
        </w:tc>
        <w:tc>
          <w:tcPr>
            <w:tcW w:w="118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504" w:type="dxa"/>
          </w:tcPr>
          <w:p>
            <w:pPr>
              <w:pStyle w:val="TableParagraph"/>
              <w:spacing w:before="28"/>
              <w:ind w:right="189"/>
              <w:rPr>
                <w:sz w:val="15"/>
              </w:rPr>
            </w:pPr>
            <w:r>
              <w:rPr>
                <w:sz w:val="15"/>
              </w:rPr>
              <w:t>seekingmedicalcare</w:t>
            </w:r>
          </w:p>
        </w:tc>
        <w:tc>
          <w:tcPr>
            <w:tcW w:w="118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99" w:hRule="atLeast"/>
        </w:trPr>
        <w:tc>
          <w:tcPr>
            <w:tcW w:w="2504" w:type="dxa"/>
          </w:tcPr>
          <w:p>
            <w:pPr>
              <w:pStyle w:val="TableParagraph"/>
              <w:spacing w:line="151" w:lineRule="exact" w:before="28"/>
              <w:ind w:right="189"/>
              <w:rPr>
                <w:sz w:val="15"/>
              </w:rPr>
            </w:pPr>
            <w:r>
              <w:rPr>
                <w:sz w:val="15"/>
              </w:rPr>
              <w:t>otherhealthcare</w:t>
            </w:r>
          </w:p>
        </w:tc>
        <w:tc>
          <w:tcPr>
            <w:tcW w:w="118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spacing w:line="316" w:lineRule="auto" w:before="53"/>
        <w:ind w:left="1105" w:right="5478" w:firstLine="566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wagesandsalari</w:t>
      </w:r>
      <w:r>
        <w:rPr>
          <w:rFonts w:ascii="Courier New"/>
          <w:spacing w:val="-88"/>
          <w:sz w:val="15"/>
        </w:rPr>
        <w:t> </w:t>
      </w:r>
      <w:r>
        <w:rPr>
          <w:rFonts w:ascii="Courier New"/>
          <w:sz w:val="15"/>
        </w:rPr>
        <w:t>entreprisesandbus</w:t>
      </w:r>
    </w:p>
    <w:p>
      <w:pPr>
        <w:spacing w:before="2"/>
        <w:ind w:left="1011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farmingcropandli</w:t>
      </w:r>
    </w:p>
    <w:p>
      <w:pPr>
        <w:spacing w:before="54"/>
        <w:ind w:left="2145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re</w:t>
      </w:r>
    </w:p>
    <w:p>
      <w:pPr>
        <w:spacing w:before="56"/>
        <w:ind w:left="254" w:right="0" w:firstLine="0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monetaryandcondition</w:t>
      </w:r>
    </w:p>
    <w:p>
      <w:pPr>
        <w:spacing w:line="316" w:lineRule="auto" w:before="55"/>
        <w:ind w:left="160" w:right="7962" w:firstLine="1417"/>
        <w:jc w:val="left"/>
        <w:rPr>
          <w:rFonts w:ascii="Courier New"/>
          <w:sz w:val="15"/>
        </w:rPr>
      </w:pPr>
      <w:r>
        <w:rPr>
          <w:rFonts w:ascii="Courier New"/>
          <w:sz w:val="15"/>
        </w:rPr>
        <w:t>pens</w:t>
      </w:r>
      <w:r>
        <w:rPr>
          <w:rFonts w:ascii="Courier New"/>
          <w:spacing w:val="-88"/>
          <w:sz w:val="15"/>
        </w:rPr>
        <w:t> </w:t>
      </w:r>
      <w:r>
        <w:rPr>
          <w:rFonts w:ascii="Courier New"/>
          <w:sz w:val="15"/>
        </w:rPr>
        <w:t>dividendandinter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2"/>
        </w:rPr>
      </w:pPr>
      <w:r>
        <w:rPr/>
        <w:pict>
          <v:shape style="position:absolute;margin-left:74.349007pt;margin-top:14.615466pt;width:44.8pt;height:.75pt;mso-position-horizontal-relative:page;mso-position-vertical-relative:paragraph;z-index:-15663104;mso-wrap-distance-left:0;mso-wrap-distance-right:0" coordorigin="1487,292" coordsize="896,15" path="m1568,292l1487,292,1487,306,1568,306,1568,292xm1663,292l1581,292,1581,306,1663,306,1663,292xm1757,292l1676,292,1676,306,1757,306,1757,292xm1852,292l1771,292,1771,306,1852,306,1852,292xm1946,292l1865,292,1865,306,1946,306,1946,292xm2041,292l1960,292,1960,306,2041,306,2041,292xm2135,292l2054,292,2054,306,2135,306,2135,292xm2230,292l2149,292,2149,306,2230,306,2230,292xm2324,292l2243,292,2243,306,2324,306,2324,292xm2382,292l2338,292,2338,306,2369,306,2382,29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12"/>
        </w:rPr>
      </w:pPr>
      <w:r>
        <w:rPr/>
        <w:pict>
          <v:shape style="position:absolute;margin-left:74.349518pt;margin-top:8.796875pt;width:3.2pt;height:.75pt;mso-position-horizontal-relative:page;mso-position-vertical-relative:paragraph;z-index:-15662592;mso-wrap-distance-left:0;mso-wrap-distance-right:0" coordorigin="1487,176" coordsize="64,15" path="m1551,176l1487,176,1487,190,1538,190,1551,176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Courier New"/>
          <w:sz w:val="12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Heading5"/>
        <w:spacing w:line="274" w:lineRule="exact" w:before="77"/>
        <w:ind w:left="197" w:right="514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K:</w:t>
      </w:r>
      <w:r>
        <w:rPr>
          <w:spacing w:val="-1"/>
        </w:rPr>
        <w:t> </w:t>
      </w:r>
      <w:r>
        <w:rPr/>
        <w:t>Income</w:t>
      </w:r>
      <w:r>
        <w:rPr>
          <w:spacing w:val="-2"/>
        </w:rPr>
        <w:t> </w:t>
      </w:r>
      <w:r>
        <w:rPr/>
        <w:t>Inequality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Health-Seeking</w:t>
      </w:r>
      <w:r>
        <w:rPr>
          <w:spacing w:val="-1"/>
        </w:rPr>
        <w:t> </w:t>
      </w:r>
      <w:r>
        <w:rPr/>
        <w:t>Behavior</w:t>
      </w:r>
      <w:r>
        <w:rPr>
          <w:spacing w:val="-1"/>
        </w:rPr>
        <w:t> </w:t>
      </w:r>
      <w:r>
        <w:rPr/>
        <w:t>(All</w:t>
      </w:r>
      <w:r>
        <w:rPr>
          <w:spacing w:val="-2"/>
        </w:rPr>
        <w:t> </w:t>
      </w:r>
      <w:r>
        <w:rPr/>
        <w:t>Waves)</w:t>
      </w:r>
    </w:p>
    <w:p>
      <w:pPr>
        <w:pStyle w:val="BodyText"/>
        <w:spacing w:line="274" w:lineRule="exact" w:after="8"/>
        <w:ind w:left="197" w:right="517"/>
        <w:jc w:val="center"/>
      </w:pPr>
      <w:r>
        <w:rPr/>
        <w:t>TABLE</w:t>
      </w:r>
      <w:r>
        <w:rPr>
          <w:spacing w:val="-1"/>
        </w:rPr>
        <w:t> </w:t>
      </w:r>
      <w:r>
        <w:rPr/>
        <w:t>K1:</w:t>
      </w:r>
      <w:r>
        <w:rPr>
          <w:spacing w:val="-1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4"/>
        </w:rPr>
        <w:t> </w:t>
      </w:r>
      <w:r>
        <w:rPr/>
        <w:t>NGHPS WAVES</w:t>
      </w:r>
    </w:p>
    <w:tbl>
      <w:tblPr>
        <w:tblW w:w="0" w:type="auto"/>
        <w:jc w:val="left"/>
        <w:tblInd w:w="2206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1522"/>
      </w:tblGrid>
      <w:tr>
        <w:trPr>
          <w:trHeight w:val="284" w:hRule="atLeast"/>
        </w:trPr>
        <w:tc>
          <w:tcPr>
            <w:tcW w:w="3682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Item</w:t>
            </w:r>
          </w:p>
        </w:tc>
        <w:tc>
          <w:tcPr>
            <w:tcW w:w="1522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421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alpha</w:t>
            </w:r>
          </w:p>
        </w:tc>
      </w:tr>
      <w:tr>
        <w:trPr>
          <w:trHeight w:val="282" w:hRule="atLeast"/>
        </w:trPr>
        <w:tc>
          <w:tcPr>
            <w:tcW w:w="3682" w:type="dxa"/>
            <w:tcBorders>
              <w:top w:val="single" w:sz="12" w:space="0" w:color="000000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illness</w:t>
            </w:r>
          </w:p>
        </w:tc>
        <w:tc>
          <w:tcPr>
            <w:tcW w:w="1522" w:type="dxa"/>
            <w:tcBorders>
              <w:top w:val="single" w:sz="12" w:space="0" w:color="000000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5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0.8021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familysize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2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0.8342</w:t>
            </w:r>
          </w:p>
        </w:tc>
      </w:tr>
      <w:tr>
        <w:trPr>
          <w:trHeight w:val="279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hungerandfood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2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0.8173</w:t>
            </w:r>
          </w:p>
        </w:tc>
      </w:tr>
      <w:tr>
        <w:trPr>
          <w:trHeight w:val="279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gari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0.8329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rice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0.8625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yamorcassavaormaizeflour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0.8254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beans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0.8835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mosquitonetpossession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0.8251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primaryeducation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2"/>
              <w:ind w:left="428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0.816</w:t>
            </w:r>
          </w:p>
        </w:tc>
      </w:tr>
      <w:tr>
        <w:trPr>
          <w:trHeight w:val="279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secondaryeducation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2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0.7442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higherdegree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0.8323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nobasiceducation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0.7892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hadelectricity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0.8372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noelectricity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0.8118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pipebornewater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2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0.8446</w:t>
            </w:r>
          </w:p>
        </w:tc>
      </w:tr>
      <w:tr>
        <w:trPr>
          <w:trHeight w:val="279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boreholeandwell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2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0.8064</w:t>
            </w:r>
          </w:p>
        </w:tc>
      </w:tr>
      <w:tr>
        <w:trPr>
          <w:trHeight w:val="279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riverandspring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0.8447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noacesstowater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0.8383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waterormodernlatrine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0.7924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pitorlatrine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0.8612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notoiletfacility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0.8589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selfmedication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2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0.8448</w:t>
            </w:r>
          </w:p>
        </w:tc>
      </w:tr>
      <w:tr>
        <w:trPr>
          <w:trHeight w:val="279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seekingmedicalcare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2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0.8474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otherhealthcare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0.8776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wageandsalaries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0.8759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entreprisesandbusiness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0.8264</w:t>
            </w:r>
          </w:p>
        </w:tc>
      </w:tr>
      <w:tr>
        <w:trPr>
          <w:trHeight w:val="280" w:hRule="atLeast"/>
        </w:trPr>
        <w:tc>
          <w:tcPr>
            <w:tcW w:w="3682" w:type="dxa"/>
            <w:tcBorders>
              <w:top w:val="single" w:sz="8" w:space="0" w:color="D3D3D3"/>
              <w:bottom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13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farmingcropandlivestock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  <w:bottom w:val="single" w:sz="8" w:space="0" w:color="D3D3D3"/>
            </w:tcBorders>
          </w:tcPr>
          <w:p>
            <w:pPr>
              <w:pStyle w:val="TableParagraph"/>
              <w:spacing w:line="247" w:lineRule="exact" w:before="13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0.8929</w:t>
            </w:r>
          </w:p>
        </w:tc>
      </w:tr>
      <w:tr>
        <w:trPr>
          <w:trHeight w:val="282" w:hRule="atLeast"/>
        </w:trPr>
        <w:tc>
          <w:tcPr>
            <w:tcW w:w="3682" w:type="dxa"/>
            <w:tcBorders>
              <w:top w:val="single" w:sz="8" w:space="0" w:color="D3D3D3"/>
              <w:right w:val="single" w:sz="12" w:space="0" w:color="000000"/>
            </w:tcBorders>
          </w:tcPr>
          <w:p>
            <w:pPr>
              <w:pStyle w:val="TableParagraph"/>
              <w:spacing w:line="250" w:lineRule="exact" w:before="12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remittances</w:t>
            </w:r>
          </w:p>
        </w:tc>
        <w:tc>
          <w:tcPr>
            <w:tcW w:w="1522" w:type="dxa"/>
            <w:tcBorders>
              <w:top w:val="single" w:sz="8" w:space="0" w:color="D3D3D3"/>
              <w:left w:val="single" w:sz="12" w:space="0" w:color="000000"/>
            </w:tcBorders>
          </w:tcPr>
          <w:p>
            <w:pPr>
              <w:pStyle w:val="TableParagraph"/>
              <w:spacing w:line="250" w:lineRule="exact" w:before="12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0.8816</w:t>
            </w:r>
          </w:p>
        </w:tc>
      </w:tr>
      <w:tr>
        <w:trPr>
          <w:trHeight w:val="300" w:hRule="atLeast"/>
        </w:trPr>
        <w:tc>
          <w:tcPr>
            <w:tcW w:w="368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65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monetaryandconditionaltransfers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65" w:lineRule="exact" w:before="15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0.8921</w:t>
            </w:r>
          </w:p>
        </w:tc>
      </w:tr>
      <w:tr>
        <w:trPr>
          <w:trHeight w:val="284" w:hRule="atLeast"/>
        </w:trPr>
        <w:tc>
          <w:tcPr>
            <w:tcW w:w="368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pensionsandgrants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0.8657</w:t>
            </w:r>
          </w:p>
        </w:tc>
      </w:tr>
      <w:tr>
        <w:trPr>
          <w:trHeight w:val="285" w:hRule="atLeast"/>
        </w:trPr>
        <w:tc>
          <w:tcPr>
            <w:tcW w:w="368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dividendandinterestfrominvestment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0.8898</w:t>
            </w:r>
          </w:p>
        </w:tc>
      </w:tr>
      <w:tr>
        <w:trPr>
          <w:trHeight w:val="285" w:hRule="atLeast"/>
        </w:trPr>
        <w:tc>
          <w:tcPr>
            <w:tcW w:w="3682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incomesfromlandandproprotiesowned</w:t>
            </w:r>
          </w:p>
        </w:tc>
        <w:tc>
          <w:tcPr>
            <w:tcW w:w="152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0.9133</w:t>
            </w:r>
          </w:p>
        </w:tc>
      </w:tr>
      <w:tr>
        <w:trPr>
          <w:trHeight w:val="285" w:hRule="atLeast"/>
        </w:trPr>
        <w:tc>
          <w:tcPr>
            <w:tcW w:w="3682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ginicoefficient</w:t>
            </w:r>
          </w:p>
        </w:tc>
        <w:tc>
          <w:tcPr>
            <w:tcW w:w="1522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0.8825</w:t>
            </w:r>
          </w:p>
        </w:tc>
      </w:tr>
      <w:tr>
        <w:trPr>
          <w:trHeight w:val="285" w:hRule="atLeast"/>
        </w:trPr>
        <w:tc>
          <w:tcPr>
            <w:tcW w:w="368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3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Testscale</w:t>
            </w:r>
          </w:p>
        </w:tc>
        <w:tc>
          <w:tcPr>
            <w:tcW w:w="1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9" w:lineRule="exact" w:before="15"/>
              <w:ind w:left="443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0.8614</w:t>
            </w:r>
          </w:p>
        </w:tc>
      </w:tr>
    </w:tbl>
    <w:p>
      <w:pPr>
        <w:spacing w:after="0" w:line="249" w:lineRule="exact"/>
        <w:jc w:val="center"/>
        <w:rPr>
          <w:rFonts w:ascii="Calibri"/>
          <w:sz w:val="22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243" w:right="562"/>
        <w:jc w:val="center"/>
      </w:pPr>
      <w:r>
        <w:rPr/>
        <w:t>TABLE</w:t>
      </w:r>
      <w:r>
        <w:rPr>
          <w:spacing w:val="-2"/>
        </w:rPr>
        <w:t> </w:t>
      </w:r>
      <w:r>
        <w:rPr/>
        <w:t>K2:</w:t>
      </w:r>
      <w:r>
        <w:rPr>
          <w:spacing w:val="-1"/>
        </w:rPr>
        <w:t> </w:t>
      </w:r>
      <w:r>
        <w:rPr/>
        <w:t>POLS 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4"/>
        </w:rPr>
        <w:t> </w:t>
      </w:r>
      <w:r>
        <w:rPr/>
        <w:t>NGHPS WAVES</w:t>
      </w:r>
    </w:p>
    <w:p>
      <w:pPr>
        <w:pStyle w:val="Heading3"/>
      </w:pPr>
      <w:r>
        <w:rPr>
          <w:w w:val="55"/>
        </w:rPr>
        <w:t>Iteration</w:t>
      </w:r>
      <w:r>
        <w:rPr>
          <w:spacing w:val="42"/>
          <w:w w:val="55"/>
        </w:rPr>
        <w:t> </w:t>
      </w:r>
      <w:r>
        <w:rPr>
          <w:w w:val="55"/>
        </w:rPr>
        <w:t>5:</w:t>
      </w:r>
      <w:r>
        <w:rPr>
          <w:spacing w:val="30"/>
        </w:rPr>
        <w:t> </w:t>
      </w:r>
      <w:r>
        <w:rPr>
          <w:spacing w:val="30"/>
        </w:rPr>
        <w:t> </w:t>
      </w:r>
      <w:r>
        <w:rPr>
          <w:w w:val="55"/>
        </w:rPr>
        <w:t>log</w:t>
      </w:r>
      <w:r>
        <w:rPr>
          <w:spacing w:val="43"/>
          <w:w w:val="55"/>
        </w:rPr>
        <w:t> </w:t>
      </w:r>
      <w:r>
        <w:rPr>
          <w:w w:val="55"/>
        </w:rPr>
        <w:t>likelihood</w:t>
      </w:r>
      <w:r>
        <w:rPr>
          <w:spacing w:val="42"/>
          <w:w w:val="55"/>
        </w:rPr>
        <w:t> </w:t>
      </w:r>
      <w:r>
        <w:rPr>
          <w:w w:val="55"/>
        </w:rPr>
        <w:t>=</w:t>
      </w:r>
      <w:r>
        <w:rPr>
          <w:spacing w:val="42"/>
          <w:w w:val="55"/>
        </w:rPr>
        <w:t> </w:t>
      </w:r>
      <w:r>
        <w:rPr>
          <w:w w:val="55"/>
        </w:rPr>
        <w:t>-17067.799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19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8"/>
        <w:gridCol w:w="2344"/>
        <w:gridCol w:w="361"/>
        <w:gridCol w:w="904"/>
      </w:tblGrid>
      <w:tr>
        <w:trPr>
          <w:trHeight w:val="324" w:hRule="atLeast"/>
        </w:trPr>
        <w:tc>
          <w:tcPr>
            <w:tcW w:w="3518" w:type="dxa"/>
          </w:tcPr>
          <w:p>
            <w:pPr>
              <w:pStyle w:val="TableParagraph"/>
              <w:ind w:left="50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Logistic</w:t>
            </w:r>
            <w:r>
              <w:rPr>
                <w:spacing w:val="78"/>
                <w:w w:val="55"/>
                <w:sz w:val="25"/>
              </w:rPr>
              <w:t> </w:t>
            </w:r>
            <w:r>
              <w:rPr>
                <w:w w:val="55"/>
                <w:sz w:val="25"/>
              </w:rPr>
              <w:t>regression</w:t>
            </w:r>
          </w:p>
        </w:tc>
        <w:tc>
          <w:tcPr>
            <w:tcW w:w="2344" w:type="dxa"/>
          </w:tcPr>
          <w:p>
            <w:pPr>
              <w:pStyle w:val="TableParagraph"/>
              <w:ind w:left="1039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Number</w:t>
            </w:r>
            <w:r>
              <w:rPr>
                <w:spacing w:val="35"/>
                <w:w w:val="55"/>
                <w:sz w:val="25"/>
              </w:rPr>
              <w:t> </w:t>
            </w:r>
            <w:r>
              <w:rPr>
                <w:w w:val="55"/>
                <w:sz w:val="25"/>
              </w:rPr>
              <w:t>of</w:t>
            </w:r>
            <w:r>
              <w:rPr>
                <w:spacing w:val="36"/>
                <w:w w:val="55"/>
                <w:sz w:val="25"/>
              </w:rPr>
              <w:t> </w:t>
            </w:r>
            <w:r>
              <w:rPr>
                <w:w w:val="55"/>
                <w:sz w:val="25"/>
              </w:rPr>
              <w:t>obs</w:t>
            </w:r>
          </w:p>
        </w:tc>
        <w:tc>
          <w:tcPr>
            <w:tcW w:w="361" w:type="dxa"/>
          </w:tcPr>
          <w:p>
            <w:pPr>
              <w:pStyle w:val="TableParagraph"/>
              <w:jc w:val="center"/>
              <w:rPr>
                <w:sz w:val="25"/>
              </w:rPr>
            </w:pPr>
            <w:r>
              <w:rPr>
                <w:w w:val="56"/>
                <w:sz w:val="25"/>
              </w:rPr>
              <w:t>=</w:t>
            </w:r>
          </w:p>
        </w:tc>
        <w:tc>
          <w:tcPr>
            <w:tcW w:w="904" w:type="dxa"/>
          </w:tcPr>
          <w:p>
            <w:pPr>
              <w:pStyle w:val="TableParagraph"/>
              <w:ind w:right="48"/>
              <w:rPr>
                <w:sz w:val="25"/>
              </w:rPr>
            </w:pPr>
            <w:r>
              <w:rPr>
                <w:w w:val="65"/>
                <w:sz w:val="25"/>
              </w:rPr>
              <w:t>71942</w:t>
            </w:r>
          </w:p>
        </w:tc>
      </w:tr>
      <w:tr>
        <w:trPr>
          <w:trHeight w:val="365" w:hRule="atLeast"/>
        </w:trPr>
        <w:tc>
          <w:tcPr>
            <w:tcW w:w="351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44" w:type="dxa"/>
          </w:tcPr>
          <w:p>
            <w:pPr>
              <w:pStyle w:val="TableParagraph"/>
              <w:spacing w:before="41"/>
              <w:ind w:left="1039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LR</w:t>
            </w:r>
            <w:r>
              <w:rPr>
                <w:spacing w:val="46"/>
                <w:w w:val="55"/>
                <w:sz w:val="25"/>
              </w:rPr>
              <w:t> </w:t>
            </w:r>
            <w:r>
              <w:rPr>
                <w:w w:val="55"/>
                <w:sz w:val="25"/>
              </w:rPr>
              <w:t>chi2(21)</w:t>
            </w:r>
          </w:p>
        </w:tc>
        <w:tc>
          <w:tcPr>
            <w:tcW w:w="361" w:type="dxa"/>
          </w:tcPr>
          <w:p>
            <w:pPr>
              <w:pStyle w:val="TableParagraph"/>
              <w:spacing w:before="41"/>
              <w:jc w:val="center"/>
              <w:rPr>
                <w:sz w:val="25"/>
              </w:rPr>
            </w:pPr>
            <w:r>
              <w:rPr>
                <w:w w:val="56"/>
                <w:sz w:val="25"/>
              </w:rPr>
              <w:t>=</w:t>
            </w:r>
          </w:p>
        </w:tc>
        <w:tc>
          <w:tcPr>
            <w:tcW w:w="904" w:type="dxa"/>
          </w:tcPr>
          <w:p>
            <w:pPr>
              <w:pStyle w:val="TableParagraph"/>
              <w:spacing w:before="41"/>
              <w:ind w:right="48"/>
              <w:rPr>
                <w:sz w:val="25"/>
              </w:rPr>
            </w:pPr>
            <w:r>
              <w:rPr>
                <w:w w:val="60"/>
                <w:sz w:val="25"/>
              </w:rPr>
              <w:t>56829.85</w:t>
            </w:r>
          </w:p>
        </w:tc>
      </w:tr>
      <w:tr>
        <w:trPr>
          <w:trHeight w:val="365" w:hRule="atLeast"/>
        </w:trPr>
        <w:tc>
          <w:tcPr>
            <w:tcW w:w="351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44" w:type="dxa"/>
          </w:tcPr>
          <w:p>
            <w:pPr>
              <w:pStyle w:val="TableParagraph"/>
              <w:spacing w:before="41"/>
              <w:ind w:left="1039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Prob</w:t>
            </w:r>
            <w:r>
              <w:rPr>
                <w:spacing w:val="30"/>
                <w:w w:val="55"/>
                <w:sz w:val="25"/>
              </w:rPr>
              <w:t> </w:t>
            </w:r>
            <w:r>
              <w:rPr>
                <w:w w:val="55"/>
                <w:sz w:val="25"/>
              </w:rPr>
              <w:t>&gt;</w:t>
            </w:r>
            <w:r>
              <w:rPr>
                <w:spacing w:val="31"/>
                <w:w w:val="55"/>
                <w:sz w:val="25"/>
              </w:rPr>
              <w:t> </w:t>
            </w:r>
            <w:r>
              <w:rPr>
                <w:w w:val="55"/>
                <w:sz w:val="25"/>
              </w:rPr>
              <w:t>chi2</w:t>
            </w:r>
          </w:p>
        </w:tc>
        <w:tc>
          <w:tcPr>
            <w:tcW w:w="361" w:type="dxa"/>
          </w:tcPr>
          <w:p>
            <w:pPr>
              <w:pStyle w:val="TableParagraph"/>
              <w:spacing w:before="41"/>
              <w:jc w:val="center"/>
              <w:rPr>
                <w:sz w:val="25"/>
              </w:rPr>
            </w:pPr>
            <w:r>
              <w:rPr>
                <w:w w:val="56"/>
                <w:sz w:val="25"/>
              </w:rPr>
              <w:t>=</w:t>
            </w:r>
          </w:p>
        </w:tc>
        <w:tc>
          <w:tcPr>
            <w:tcW w:w="904" w:type="dxa"/>
          </w:tcPr>
          <w:p>
            <w:pPr>
              <w:pStyle w:val="TableParagraph"/>
              <w:spacing w:before="41"/>
              <w:ind w:right="48"/>
              <w:rPr>
                <w:sz w:val="25"/>
              </w:rPr>
            </w:pPr>
            <w:r>
              <w:rPr>
                <w:w w:val="65"/>
                <w:sz w:val="25"/>
              </w:rPr>
              <w:t>0.0000</w:t>
            </w:r>
          </w:p>
        </w:tc>
      </w:tr>
      <w:tr>
        <w:trPr>
          <w:trHeight w:val="324" w:hRule="atLeast"/>
        </w:trPr>
        <w:tc>
          <w:tcPr>
            <w:tcW w:w="3518" w:type="dxa"/>
          </w:tcPr>
          <w:p>
            <w:pPr>
              <w:pStyle w:val="TableParagraph"/>
              <w:spacing w:line="263" w:lineRule="exact" w:before="41"/>
              <w:ind w:left="50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Log</w:t>
            </w:r>
            <w:r>
              <w:rPr>
                <w:spacing w:val="53"/>
                <w:w w:val="55"/>
                <w:sz w:val="25"/>
              </w:rPr>
              <w:t> </w:t>
            </w:r>
            <w:r>
              <w:rPr>
                <w:w w:val="55"/>
                <w:sz w:val="25"/>
              </w:rPr>
              <w:t>likelihood</w:t>
            </w:r>
            <w:r>
              <w:rPr>
                <w:spacing w:val="54"/>
                <w:w w:val="55"/>
                <w:sz w:val="25"/>
              </w:rPr>
              <w:t> </w:t>
            </w:r>
            <w:r>
              <w:rPr>
                <w:w w:val="55"/>
                <w:sz w:val="25"/>
              </w:rPr>
              <w:t>=</w:t>
            </w:r>
            <w:r>
              <w:rPr>
                <w:spacing w:val="53"/>
                <w:w w:val="55"/>
                <w:sz w:val="25"/>
              </w:rPr>
              <w:t> </w:t>
            </w:r>
            <w:r>
              <w:rPr>
                <w:w w:val="55"/>
                <w:sz w:val="25"/>
              </w:rPr>
              <w:t>-17067.799</w:t>
            </w:r>
          </w:p>
        </w:tc>
        <w:tc>
          <w:tcPr>
            <w:tcW w:w="2344" w:type="dxa"/>
          </w:tcPr>
          <w:p>
            <w:pPr>
              <w:pStyle w:val="TableParagraph"/>
              <w:spacing w:line="263" w:lineRule="exact" w:before="41"/>
              <w:ind w:left="1039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Pseudo</w:t>
            </w:r>
            <w:r>
              <w:rPr>
                <w:spacing w:val="38"/>
                <w:w w:val="55"/>
                <w:sz w:val="25"/>
              </w:rPr>
              <w:t> </w:t>
            </w:r>
            <w:r>
              <w:rPr>
                <w:w w:val="55"/>
                <w:sz w:val="25"/>
              </w:rPr>
              <w:t>R2</w:t>
            </w:r>
          </w:p>
        </w:tc>
        <w:tc>
          <w:tcPr>
            <w:tcW w:w="361" w:type="dxa"/>
          </w:tcPr>
          <w:p>
            <w:pPr>
              <w:pStyle w:val="TableParagraph"/>
              <w:spacing w:line="263" w:lineRule="exact" w:before="41"/>
              <w:jc w:val="center"/>
              <w:rPr>
                <w:sz w:val="25"/>
              </w:rPr>
            </w:pPr>
            <w:r>
              <w:rPr>
                <w:w w:val="56"/>
                <w:sz w:val="25"/>
              </w:rPr>
              <w:t>=</w:t>
            </w:r>
          </w:p>
        </w:tc>
        <w:tc>
          <w:tcPr>
            <w:tcW w:w="904" w:type="dxa"/>
          </w:tcPr>
          <w:p>
            <w:pPr>
              <w:pStyle w:val="TableParagraph"/>
              <w:spacing w:line="263" w:lineRule="exact" w:before="41"/>
              <w:ind w:right="48"/>
              <w:rPr>
                <w:sz w:val="25"/>
              </w:rPr>
            </w:pPr>
            <w:r>
              <w:rPr>
                <w:w w:val="65"/>
                <w:sz w:val="25"/>
              </w:rPr>
              <w:t>0.6247</w:t>
            </w: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29"/>
        </w:rPr>
      </w:pPr>
    </w:p>
    <w:tbl>
      <w:tblPr>
        <w:tblW w:w="0" w:type="auto"/>
        <w:jc w:val="left"/>
        <w:tblInd w:w="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4"/>
        <w:gridCol w:w="1170"/>
        <w:gridCol w:w="1037"/>
        <w:gridCol w:w="767"/>
        <w:gridCol w:w="766"/>
        <w:gridCol w:w="1217"/>
        <w:gridCol w:w="852"/>
      </w:tblGrid>
      <w:tr>
        <w:trPr>
          <w:trHeight w:val="699" w:hRule="atLeast"/>
        </w:trPr>
        <w:tc>
          <w:tcPr>
            <w:tcW w:w="3014" w:type="dxa"/>
            <w:tcBorders>
              <w:top w:val="dashSmallGap" w:sz="12" w:space="0" w:color="000000"/>
              <w:bottom w:val="dashSmallGap" w:sz="12" w:space="0" w:color="000000"/>
              <w:right w:val="dashed" w:sz="6" w:space="0" w:color="000000"/>
            </w:tcBorders>
          </w:tcPr>
          <w:p>
            <w:pPr>
              <w:pStyle w:val="TableParagraph"/>
              <w:spacing w:before="22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medicalcareconsultation</w:t>
            </w:r>
          </w:p>
        </w:tc>
        <w:tc>
          <w:tcPr>
            <w:tcW w:w="1170" w:type="dxa"/>
            <w:tcBorders>
              <w:top w:val="dashSmallGap" w:sz="12" w:space="0" w:color="000000"/>
              <w:left w:val="dashed" w:sz="6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Coef.</w:t>
            </w:r>
          </w:p>
        </w:tc>
        <w:tc>
          <w:tcPr>
            <w:tcW w:w="1037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1"/>
              <w:ind w:left="148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Std.</w:t>
            </w:r>
            <w:r>
              <w:rPr>
                <w:spacing w:val="38"/>
                <w:w w:val="55"/>
                <w:sz w:val="25"/>
              </w:rPr>
              <w:t> </w:t>
            </w:r>
            <w:r>
              <w:rPr>
                <w:w w:val="55"/>
                <w:sz w:val="25"/>
              </w:rPr>
              <w:t>Err.</w:t>
            </w:r>
          </w:p>
        </w:tc>
        <w:tc>
          <w:tcPr>
            <w:tcW w:w="767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1"/>
              <w:ind w:left="463"/>
              <w:jc w:val="left"/>
              <w:rPr>
                <w:sz w:val="25"/>
              </w:rPr>
            </w:pPr>
            <w:r>
              <w:rPr>
                <w:w w:val="56"/>
                <w:sz w:val="25"/>
              </w:rPr>
              <w:t>z</w:t>
            </w:r>
          </w:p>
        </w:tc>
        <w:tc>
          <w:tcPr>
            <w:tcW w:w="766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P&gt;|z|</w:t>
            </w:r>
          </w:p>
        </w:tc>
        <w:tc>
          <w:tcPr>
            <w:tcW w:w="1217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1"/>
              <w:ind w:left="283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[95%</w:t>
            </w:r>
            <w:r>
              <w:rPr>
                <w:spacing w:val="52"/>
                <w:w w:val="55"/>
                <w:sz w:val="25"/>
              </w:rPr>
              <w:t> </w:t>
            </w:r>
            <w:r>
              <w:rPr>
                <w:w w:val="55"/>
                <w:sz w:val="25"/>
              </w:rPr>
              <w:t>Conf.</w:t>
            </w:r>
          </w:p>
        </w:tc>
        <w:tc>
          <w:tcPr>
            <w:tcW w:w="852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1"/>
              <w:ind w:right="-15"/>
              <w:rPr>
                <w:sz w:val="25"/>
              </w:rPr>
            </w:pPr>
            <w:r>
              <w:rPr>
                <w:w w:val="60"/>
                <w:sz w:val="25"/>
              </w:rPr>
              <w:t>Interval]</w:t>
            </w:r>
          </w:p>
        </w:tc>
      </w:tr>
      <w:tr>
        <w:trPr>
          <w:trHeight w:val="546" w:hRule="atLeast"/>
        </w:trPr>
        <w:tc>
          <w:tcPr>
            <w:tcW w:w="3014" w:type="dxa"/>
            <w:tcBorders>
              <w:top w:val="dashSmallGap" w:sz="12" w:space="0" w:color="000000"/>
              <w:right w:val="dashed" w:sz="6" w:space="0" w:color="000000"/>
            </w:tcBorders>
          </w:tcPr>
          <w:p>
            <w:pPr>
              <w:pStyle w:val="TableParagraph"/>
              <w:spacing w:before="222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familysize</w:t>
            </w:r>
          </w:p>
        </w:tc>
        <w:tc>
          <w:tcPr>
            <w:tcW w:w="1170" w:type="dxa"/>
            <w:tcBorders>
              <w:top w:val="dashSmallGap" w:sz="12" w:space="0" w:color="000000"/>
              <w:left w:val="dashed" w:sz="6" w:space="0" w:color="000000"/>
            </w:tcBorders>
          </w:tcPr>
          <w:p>
            <w:pPr>
              <w:pStyle w:val="TableParagraph"/>
              <w:spacing w:before="222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-.7294327</w:t>
            </w:r>
          </w:p>
        </w:tc>
        <w:tc>
          <w:tcPr>
            <w:tcW w:w="1037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2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.0390196</w:t>
            </w:r>
          </w:p>
        </w:tc>
        <w:tc>
          <w:tcPr>
            <w:tcW w:w="767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2"/>
              <w:ind w:right="125"/>
              <w:rPr>
                <w:sz w:val="25"/>
              </w:rPr>
            </w:pPr>
            <w:r>
              <w:rPr>
                <w:w w:val="60"/>
                <w:sz w:val="25"/>
              </w:rPr>
              <w:t>-18.69</w:t>
            </w:r>
          </w:p>
        </w:tc>
        <w:tc>
          <w:tcPr>
            <w:tcW w:w="766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2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2"/>
              <w:ind w:left="192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-.8059096</w:t>
            </w:r>
          </w:p>
        </w:tc>
        <w:tc>
          <w:tcPr>
            <w:tcW w:w="852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2"/>
              <w:ind w:right="-15"/>
              <w:rPr>
                <w:sz w:val="25"/>
              </w:rPr>
            </w:pPr>
            <w:r>
              <w:rPr>
                <w:w w:val="60"/>
                <w:sz w:val="25"/>
              </w:rPr>
              <w:t>-.6529558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noeducation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-.0271679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.0210597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-1.29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0.197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192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-.0684441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.0141083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primaryeducation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1.687729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.0656938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25.69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28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1.558972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1.816487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secondaryeducation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.8327844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.0290485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28.67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28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.7758503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.8897184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highereducation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.8412021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.0279052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30.15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28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.7865089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.8958953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male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-.1117642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.0563929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-1.98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0.047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192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-.2222923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0"/>
                <w:sz w:val="25"/>
              </w:rPr>
              <w:t>-.0012361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female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.178194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.0459968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3.87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28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.0880419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.2683461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married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.2822643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.0137379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20.55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28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.2553385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.3091902</w:t>
            </w:r>
          </w:p>
        </w:tc>
      </w:tr>
      <w:tr>
        <w:trPr>
          <w:trHeight w:val="364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nevermarried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-.1296086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.0608327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-2.13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0.033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192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-.2488386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0"/>
                <w:sz w:val="25"/>
              </w:rPr>
              <w:t>-.0103786</w:t>
            </w:r>
          </w:p>
        </w:tc>
      </w:tr>
      <w:tr>
        <w:trPr>
          <w:trHeight w:val="364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singleparents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-.2358976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.0457842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-5.15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28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-.325633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0"/>
                <w:sz w:val="25"/>
              </w:rPr>
              <w:t>-.1461621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widowed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-.0444276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23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.008854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-5.02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192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-.0617812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-.027074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yes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.1120644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23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.048128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2.33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0.020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28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.0177353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.2063935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no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-2.086481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.0445215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0"/>
                <w:sz w:val="25"/>
              </w:rPr>
              <w:t>-46.86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192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-2.173741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-1.99922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wagesandsalariesincomes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.7285722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.0438971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16.60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28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.6425355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.8146089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cropandlivestockincomes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1.51998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.0365824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41.55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37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1.44828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1.59168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0"/>
                <w:sz w:val="25"/>
              </w:rPr>
              <w:t>businessenterprisesandtrades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.0165861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.0018827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8.81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28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.0128962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.0202761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remittances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.4131071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.0301423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13.71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28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.3540293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.4721848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pensions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.4355918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.0510432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8.53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37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.335549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.5356347</w:t>
            </w:r>
          </w:p>
        </w:tc>
      </w:tr>
      <w:tr>
        <w:trPr>
          <w:trHeight w:val="364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55"/>
                <w:sz w:val="25"/>
              </w:rPr>
              <w:t>dividendfrominterestandinvestmen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-1.808341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23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.055194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0"/>
                <w:sz w:val="25"/>
              </w:rPr>
              <w:t>-32.76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192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-1.916519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0"/>
                <w:sz w:val="25"/>
              </w:rPr>
              <w:t>-1.700162</w:t>
            </w:r>
          </w:p>
        </w:tc>
      </w:tr>
      <w:tr>
        <w:trPr>
          <w:trHeight w:val="364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incomefromproperties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.5373791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23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.041915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12.82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28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.4552272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.619531</w:t>
            </w:r>
          </w:p>
        </w:tc>
      </w:tr>
      <w:tr>
        <w:trPr>
          <w:trHeight w:val="365" w:hRule="atLeast"/>
        </w:trPr>
        <w:tc>
          <w:tcPr>
            <w:tcW w:w="3014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ginicoefficient</w:t>
            </w:r>
          </w:p>
        </w:tc>
        <w:tc>
          <w:tcPr>
            <w:tcW w:w="11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-.0446361</w:t>
            </w:r>
          </w:p>
        </w:tc>
        <w:tc>
          <w:tcPr>
            <w:tcW w:w="1037" w:type="dxa"/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.0092522</w:t>
            </w:r>
          </w:p>
        </w:tc>
        <w:tc>
          <w:tcPr>
            <w:tcW w:w="767" w:type="dxa"/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-4.82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373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-.06277</w:t>
            </w:r>
          </w:p>
        </w:tc>
        <w:tc>
          <w:tcPr>
            <w:tcW w:w="852" w:type="dxa"/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0"/>
                <w:sz w:val="25"/>
              </w:rPr>
              <w:t>-.0265022</w:t>
            </w:r>
          </w:p>
        </w:tc>
      </w:tr>
      <w:tr>
        <w:trPr>
          <w:trHeight w:val="519" w:hRule="atLeast"/>
        </w:trPr>
        <w:tc>
          <w:tcPr>
            <w:tcW w:w="3014" w:type="dxa"/>
            <w:tcBorders>
              <w:bottom w:val="dashSmallGap" w:sz="12" w:space="0" w:color="000000"/>
              <w:right w:val="dashed" w:sz="6" w:space="0" w:color="000000"/>
            </w:tcBorders>
          </w:tcPr>
          <w:p>
            <w:pPr>
              <w:pStyle w:val="TableParagraph"/>
              <w:spacing w:before="41"/>
              <w:ind w:right="119"/>
              <w:rPr>
                <w:sz w:val="25"/>
              </w:rPr>
            </w:pPr>
            <w:r>
              <w:rPr>
                <w:w w:val="65"/>
                <w:sz w:val="25"/>
              </w:rPr>
              <w:t>_cons</w:t>
            </w:r>
          </w:p>
        </w:tc>
        <w:tc>
          <w:tcPr>
            <w:tcW w:w="1170" w:type="dxa"/>
            <w:tcBorders>
              <w:left w:val="dashed" w:sz="6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5"/>
                <w:sz w:val="25"/>
              </w:rPr>
              <w:t>-2.582271</w:t>
            </w:r>
          </w:p>
        </w:tc>
        <w:tc>
          <w:tcPr>
            <w:tcW w:w="1037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1"/>
              <w:ind w:left="148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.1018136</w:t>
            </w:r>
          </w:p>
        </w:tc>
        <w:tc>
          <w:tcPr>
            <w:tcW w:w="767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1"/>
              <w:ind w:right="125"/>
              <w:rPr>
                <w:sz w:val="25"/>
              </w:rPr>
            </w:pPr>
            <w:r>
              <w:rPr>
                <w:w w:val="60"/>
                <w:sz w:val="25"/>
              </w:rPr>
              <w:t>-25.36</w:t>
            </w:r>
          </w:p>
        </w:tc>
        <w:tc>
          <w:tcPr>
            <w:tcW w:w="766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1"/>
              <w:ind w:left="107" w:right="130"/>
              <w:jc w:val="center"/>
              <w:rPr>
                <w:sz w:val="25"/>
              </w:rPr>
            </w:pPr>
            <w:r>
              <w:rPr>
                <w:w w:val="65"/>
                <w:sz w:val="25"/>
              </w:rPr>
              <w:t>0.000</w:t>
            </w:r>
          </w:p>
        </w:tc>
        <w:tc>
          <w:tcPr>
            <w:tcW w:w="1217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1"/>
              <w:ind w:left="192"/>
              <w:jc w:val="left"/>
              <w:rPr>
                <w:sz w:val="25"/>
              </w:rPr>
            </w:pPr>
            <w:r>
              <w:rPr>
                <w:w w:val="65"/>
                <w:sz w:val="25"/>
              </w:rPr>
              <w:t>-2.781822</w:t>
            </w:r>
          </w:p>
        </w:tc>
        <w:tc>
          <w:tcPr>
            <w:tcW w:w="852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1"/>
              <w:ind w:right="-15"/>
              <w:rPr>
                <w:sz w:val="25"/>
              </w:rPr>
            </w:pPr>
            <w:r>
              <w:rPr>
                <w:w w:val="65"/>
                <w:sz w:val="25"/>
              </w:rPr>
              <w:t>-2.38272</w:t>
            </w:r>
          </w:p>
        </w:tc>
      </w:tr>
    </w:tbl>
    <w:p>
      <w:pPr>
        <w:spacing w:after="0"/>
        <w:rPr>
          <w:sz w:val="25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8"/>
        <w:jc w:val="center"/>
      </w:pPr>
      <w:r>
        <w:rPr/>
        <w:t>TABLE</w:t>
      </w:r>
      <w:r>
        <w:rPr>
          <w:spacing w:val="-2"/>
        </w:rPr>
        <w:t> </w:t>
      </w:r>
      <w:r>
        <w:rPr/>
        <w:t>K3: FIXED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4"/>
        </w:rPr>
        <w:t> </w:t>
      </w:r>
      <w:r>
        <w:rPr/>
        <w:t>NGHPS</w:t>
      </w:r>
      <w:r>
        <w:rPr>
          <w:spacing w:val="-2"/>
        </w:rPr>
        <w:t> </w:t>
      </w:r>
      <w:r>
        <w:rPr/>
        <w:t>WAVES</w:t>
      </w: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7"/>
        <w:gridCol w:w="2419"/>
        <w:gridCol w:w="484"/>
        <w:gridCol w:w="773"/>
      </w:tblGrid>
      <w:tr>
        <w:trPr>
          <w:trHeight w:val="244" w:hRule="atLeast"/>
        </w:trPr>
        <w:tc>
          <w:tcPr>
            <w:tcW w:w="3967" w:type="dxa"/>
          </w:tcPr>
          <w:p>
            <w:pPr>
              <w:pStyle w:val="TableParagraph"/>
              <w:spacing w:line="214" w:lineRule="exact"/>
              <w:ind w:left="50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Fixed-effects</w:t>
            </w:r>
            <w:r>
              <w:rPr>
                <w:spacing w:val="63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(within)</w:t>
            </w:r>
            <w:r>
              <w:rPr>
                <w:spacing w:val="63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regression</w:t>
            </w:r>
          </w:p>
        </w:tc>
        <w:tc>
          <w:tcPr>
            <w:tcW w:w="2419" w:type="dxa"/>
          </w:tcPr>
          <w:p>
            <w:pPr>
              <w:pStyle w:val="TableParagraph"/>
              <w:spacing w:line="214" w:lineRule="exact"/>
              <w:ind w:left="728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Number</w:t>
            </w:r>
            <w:r>
              <w:rPr>
                <w:spacing w:val="25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of</w:t>
            </w:r>
            <w:r>
              <w:rPr>
                <w:spacing w:val="25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obs</w:t>
            </w:r>
          </w:p>
        </w:tc>
        <w:tc>
          <w:tcPr>
            <w:tcW w:w="484" w:type="dxa"/>
          </w:tcPr>
          <w:p>
            <w:pPr>
              <w:pStyle w:val="TableParagraph"/>
              <w:spacing w:line="214" w:lineRule="exact"/>
              <w:ind w:left="148"/>
              <w:jc w:val="left"/>
              <w:rPr>
                <w:sz w:val="19"/>
              </w:rPr>
            </w:pPr>
            <w:r>
              <w:rPr>
                <w:w w:val="79"/>
                <w:sz w:val="19"/>
              </w:rPr>
              <w:t>=</w:t>
            </w:r>
          </w:p>
        </w:tc>
        <w:tc>
          <w:tcPr>
            <w:tcW w:w="773" w:type="dxa"/>
          </w:tcPr>
          <w:p>
            <w:pPr>
              <w:pStyle w:val="TableParagraph"/>
              <w:spacing w:line="214" w:lineRule="exact"/>
              <w:ind w:right="47"/>
              <w:rPr>
                <w:sz w:val="19"/>
              </w:rPr>
            </w:pPr>
            <w:r>
              <w:rPr>
                <w:w w:val="90"/>
                <w:sz w:val="19"/>
              </w:rPr>
              <w:t>71942</w:t>
            </w:r>
          </w:p>
        </w:tc>
      </w:tr>
      <w:tr>
        <w:trPr>
          <w:trHeight w:val="244" w:hRule="atLeast"/>
        </w:trPr>
        <w:tc>
          <w:tcPr>
            <w:tcW w:w="3967" w:type="dxa"/>
          </w:tcPr>
          <w:p>
            <w:pPr>
              <w:pStyle w:val="TableParagraph"/>
              <w:spacing w:line="195" w:lineRule="exact" w:before="29"/>
              <w:ind w:left="50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Group</w:t>
            </w:r>
            <w:r>
              <w:rPr>
                <w:spacing w:val="40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variable:</w:t>
            </w:r>
            <w:r>
              <w:rPr>
                <w:spacing w:val="41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state</w:t>
            </w:r>
          </w:p>
        </w:tc>
        <w:tc>
          <w:tcPr>
            <w:tcW w:w="2419" w:type="dxa"/>
          </w:tcPr>
          <w:p>
            <w:pPr>
              <w:pStyle w:val="TableParagraph"/>
              <w:spacing w:line="195" w:lineRule="exact" w:before="29"/>
              <w:ind w:left="728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Number</w:t>
            </w:r>
            <w:r>
              <w:rPr>
                <w:spacing w:val="31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of</w:t>
            </w:r>
            <w:r>
              <w:rPr>
                <w:spacing w:val="31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groups</w:t>
            </w:r>
          </w:p>
        </w:tc>
        <w:tc>
          <w:tcPr>
            <w:tcW w:w="484" w:type="dxa"/>
          </w:tcPr>
          <w:p>
            <w:pPr>
              <w:pStyle w:val="TableParagraph"/>
              <w:spacing w:line="195" w:lineRule="exact" w:before="29"/>
              <w:ind w:left="148"/>
              <w:jc w:val="left"/>
              <w:rPr>
                <w:sz w:val="19"/>
              </w:rPr>
            </w:pPr>
            <w:r>
              <w:rPr>
                <w:w w:val="79"/>
                <w:sz w:val="19"/>
              </w:rPr>
              <w:t>=</w:t>
            </w:r>
          </w:p>
        </w:tc>
        <w:tc>
          <w:tcPr>
            <w:tcW w:w="773" w:type="dxa"/>
          </w:tcPr>
          <w:p>
            <w:pPr>
              <w:pStyle w:val="TableParagraph"/>
              <w:spacing w:line="195" w:lineRule="exact" w:before="29"/>
              <w:ind w:right="47"/>
              <w:rPr>
                <w:sz w:val="19"/>
              </w:rPr>
            </w:pPr>
            <w:r>
              <w:rPr>
                <w:w w:val="90"/>
                <w:sz w:val="19"/>
              </w:rPr>
              <w:t>37</w:t>
            </w:r>
          </w:p>
        </w:tc>
      </w:tr>
    </w:tbl>
    <w:p>
      <w:pPr>
        <w:pStyle w:val="BodyText"/>
        <w:spacing w:before="2"/>
        <w:rPr>
          <w:sz w:val="29"/>
        </w:rPr>
      </w:pPr>
    </w:p>
    <w:p>
      <w:pPr>
        <w:tabs>
          <w:tab w:pos="4807" w:val="left" w:leader="none"/>
          <w:tab w:pos="7704" w:val="right" w:leader="none"/>
        </w:tabs>
        <w:spacing w:before="0"/>
        <w:ind w:left="161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R-sq:</w:t>
      </w:r>
      <w:r>
        <w:rPr>
          <w:rFonts w:ascii="Courier New"/>
          <w:spacing w:val="107"/>
          <w:sz w:val="19"/>
        </w:rPr>
        <w:t> </w:t>
      </w:r>
      <w:r>
        <w:rPr>
          <w:rFonts w:ascii="Courier New"/>
          <w:w w:val="80"/>
          <w:sz w:val="19"/>
        </w:rPr>
        <w:t>within</w:t>
      </w:r>
      <w:r>
        <w:rPr>
          <w:rFonts w:ascii="Courier New"/>
          <w:spacing w:val="107"/>
          <w:sz w:val="19"/>
        </w:rPr>
        <w:t> </w:t>
      </w:r>
      <w:r>
        <w:rPr>
          <w:rFonts w:ascii="Courier New"/>
          <w:w w:val="80"/>
          <w:sz w:val="19"/>
        </w:rPr>
        <w:t>=</w:t>
      </w:r>
      <w:r>
        <w:rPr>
          <w:rFonts w:ascii="Courier New"/>
          <w:spacing w:val="23"/>
          <w:w w:val="80"/>
          <w:sz w:val="19"/>
        </w:rPr>
        <w:t> </w:t>
      </w:r>
      <w:r>
        <w:rPr>
          <w:rFonts w:ascii="Courier New"/>
          <w:w w:val="80"/>
          <w:sz w:val="19"/>
        </w:rPr>
        <w:t>0.2770</w:t>
        <w:tab/>
      </w:r>
      <w:r>
        <w:rPr>
          <w:rFonts w:ascii="Courier New"/>
          <w:w w:val="85"/>
          <w:sz w:val="19"/>
        </w:rPr>
        <w:t>Obs per</w:t>
      </w:r>
      <w:r>
        <w:rPr>
          <w:rFonts w:ascii="Courier New"/>
          <w:spacing w:val="1"/>
          <w:w w:val="85"/>
          <w:sz w:val="19"/>
        </w:rPr>
        <w:t> </w:t>
      </w:r>
      <w:r>
        <w:rPr>
          <w:rFonts w:ascii="Courier New"/>
          <w:w w:val="85"/>
          <w:sz w:val="19"/>
        </w:rPr>
        <w:t>group:</w:t>
      </w:r>
      <w:r>
        <w:rPr>
          <w:rFonts w:ascii="Courier New"/>
          <w:spacing w:val="1"/>
          <w:w w:val="85"/>
          <w:sz w:val="19"/>
        </w:rPr>
        <w:t> </w:t>
      </w:r>
      <w:r>
        <w:rPr>
          <w:rFonts w:ascii="Courier New"/>
          <w:w w:val="85"/>
          <w:sz w:val="19"/>
        </w:rPr>
        <w:t>min =</w:t>
        <w:tab/>
        <w:t>222</w:t>
      </w:r>
    </w:p>
    <w:p>
      <w:pPr>
        <w:tabs>
          <w:tab w:pos="6258" w:val="left" w:leader="none"/>
          <w:tab w:pos="7704" w:val="right" w:leader="none"/>
        </w:tabs>
        <w:spacing w:before="60"/>
        <w:ind w:left="839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between</w:t>
      </w:r>
      <w:r>
        <w:rPr>
          <w:rFonts w:ascii="Courier New"/>
          <w:spacing w:val="28"/>
          <w:w w:val="80"/>
          <w:sz w:val="19"/>
        </w:rPr>
        <w:t> </w:t>
      </w:r>
      <w:r>
        <w:rPr>
          <w:rFonts w:ascii="Courier New"/>
          <w:w w:val="80"/>
          <w:sz w:val="19"/>
        </w:rPr>
        <w:t>=</w:t>
      </w:r>
      <w:r>
        <w:rPr>
          <w:rFonts w:ascii="Courier New"/>
          <w:spacing w:val="28"/>
          <w:w w:val="80"/>
          <w:sz w:val="19"/>
        </w:rPr>
        <w:t> </w:t>
      </w:r>
      <w:r>
        <w:rPr>
          <w:rFonts w:ascii="Courier New"/>
          <w:w w:val="80"/>
          <w:sz w:val="19"/>
        </w:rPr>
        <w:t>0.8373</w:t>
        <w:tab/>
      </w:r>
      <w:r>
        <w:rPr>
          <w:rFonts w:ascii="Courier New"/>
          <w:w w:val="85"/>
          <w:sz w:val="19"/>
        </w:rPr>
        <w:t>avg =</w:t>
        <w:tab/>
        <w:t>1944.4</w:t>
      </w:r>
    </w:p>
    <w:p>
      <w:pPr>
        <w:tabs>
          <w:tab w:pos="6258" w:val="left" w:leader="none"/>
          <w:tab w:pos="7704" w:val="right" w:leader="none"/>
        </w:tabs>
        <w:spacing w:before="60"/>
        <w:ind w:left="839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overall</w:t>
      </w:r>
      <w:r>
        <w:rPr>
          <w:rFonts w:ascii="Courier New"/>
          <w:spacing w:val="28"/>
          <w:w w:val="80"/>
          <w:sz w:val="19"/>
        </w:rPr>
        <w:t> </w:t>
      </w:r>
      <w:r>
        <w:rPr>
          <w:rFonts w:ascii="Courier New"/>
          <w:w w:val="80"/>
          <w:sz w:val="19"/>
        </w:rPr>
        <w:t>=</w:t>
      </w:r>
      <w:r>
        <w:rPr>
          <w:rFonts w:ascii="Courier New"/>
          <w:spacing w:val="28"/>
          <w:w w:val="80"/>
          <w:sz w:val="19"/>
        </w:rPr>
        <w:t> </w:t>
      </w:r>
      <w:r>
        <w:rPr>
          <w:rFonts w:ascii="Courier New"/>
          <w:w w:val="80"/>
          <w:sz w:val="19"/>
        </w:rPr>
        <w:t>0.6747</w:t>
        <w:tab/>
      </w:r>
      <w:r>
        <w:rPr>
          <w:rFonts w:ascii="Courier New"/>
          <w:w w:val="85"/>
          <w:sz w:val="19"/>
        </w:rPr>
        <w:t>max</w:t>
      </w:r>
      <w:r>
        <w:rPr>
          <w:rFonts w:ascii="Courier New"/>
          <w:spacing w:val="1"/>
          <w:w w:val="85"/>
          <w:sz w:val="19"/>
        </w:rPr>
        <w:t> </w:t>
      </w:r>
      <w:r>
        <w:rPr>
          <w:rFonts w:ascii="Courier New"/>
          <w:w w:val="85"/>
          <w:sz w:val="19"/>
        </w:rPr>
        <w:t>=</w:t>
        <w:tab/>
        <w:t>18805</w:t>
      </w:r>
    </w:p>
    <w:p>
      <w:pPr>
        <w:pStyle w:val="BodyText"/>
        <w:spacing w:before="7"/>
        <w:rPr>
          <w:rFonts w:ascii="Courier New"/>
          <w:sz w:val="29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436"/>
        <w:gridCol w:w="242"/>
        <w:gridCol w:w="1839"/>
        <w:gridCol w:w="2661"/>
        <w:gridCol w:w="629"/>
        <w:gridCol w:w="870"/>
      </w:tblGrid>
      <w:tr>
        <w:trPr>
          <w:trHeight w:val="244" w:hRule="atLeast"/>
        </w:trPr>
        <w:tc>
          <w:tcPr>
            <w:tcW w:w="3484" w:type="dxa"/>
            <w:gridSpan w:val="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61" w:type="dxa"/>
          </w:tcPr>
          <w:p>
            <w:pPr>
              <w:pStyle w:val="TableParagraph"/>
              <w:spacing w:line="214" w:lineRule="exact"/>
              <w:ind w:left="1211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F(21,71884)</w:t>
            </w:r>
          </w:p>
        </w:tc>
        <w:tc>
          <w:tcPr>
            <w:tcW w:w="629" w:type="dxa"/>
          </w:tcPr>
          <w:p>
            <w:pPr>
              <w:pStyle w:val="TableParagraph"/>
              <w:spacing w:line="214" w:lineRule="exact"/>
              <w:ind w:right="146"/>
              <w:rPr>
                <w:sz w:val="19"/>
              </w:rPr>
            </w:pPr>
            <w:r>
              <w:rPr>
                <w:w w:val="79"/>
                <w:sz w:val="19"/>
              </w:rPr>
              <w:t>=</w:t>
            </w:r>
          </w:p>
        </w:tc>
        <w:tc>
          <w:tcPr>
            <w:tcW w:w="870" w:type="dxa"/>
          </w:tcPr>
          <w:p>
            <w:pPr>
              <w:pStyle w:val="TableParagraph"/>
              <w:spacing w:line="214" w:lineRule="exact"/>
              <w:ind w:right="48"/>
              <w:rPr>
                <w:sz w:val="19"/>
              </w:rPr>
            </w:pPr>
            <w:r>
              <w:rPr>
                <w:w w:val="90"/>
                <w:sz w:val="19"/>
              </w:rPr>
              <w:t>1311.37</w:t>
            </w:r>
          </w:p>
        </w:tc>
      </w:tr>
      <w:tr>
        <w:trPr>
          <w:trHeight w:val="244" w:hRule="atLeast"/>
        </w:trPr>
        <w:tc>
          <w:tcPr>
            <w:tcW w:w="967" w:type="dxa"/>
          </w:tcPr>
          <w:p>
            <w:pPr>
              <w:pStyle w:val="TableParagraph"/>
              <w:spacing w:line="195" w:lineRule="exact" w:before="29"/>
              <w:ind w:left="50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corr(u_i,</w:t>
            </w:r>
          </w:p>
        </w:tc>
        <w:tc>
          <w:tcPr>
            <w:tcW w:w="436" w:type="dxa"/>
          </w:tcPr>
          <w:p>
            <w:pPr>
              <w:pStyle w:val="TableParagraph"/>
              <w:spacing w:line="195" w:lineRule="exact" w:before="29"/>
              <w:ind w:left="50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Xb)</w:t>
            </w:r>
          </w:p>
        </w:tc>
        <w:tc>
          <w:tcPr>
            <w:tcW w:w="242" w:type="dxa"/>
          </w:tcPr>
          <w:p>
            <w:pPr>
              <w:pStyle w:val="TableParagraph"/>
              <w:spacing w:line="195" w:lineRule="exact" w:before="29"/>
              <w:ind w:left="98"/>
              <w:jc w:val="left"/>
              <w:rPr>
                <w:sz w:val="19"/>
              </w:rPr>
            </w:pPr>
            <w:r>
              <w:rPr>
                <w:w w:val="79"/>
                <w:sz w:val="19"/>
              </w:rPr>
              <w:t>=</w:t>
            </w:r>
          </w:p>
        </w:tc>
        <w:tc>
          <w:tcPr>
            <w:tcW w:w="1839" w:type="dxa"/>
          </w:tcPr>
          <w:p>
            <w:pPr>
              <w:pStyle w:val="TableParagraph"/>
              <w:spacing w:line="195" w:lineRule="exact" w:before="29"/>
              <w:ind w:left="50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0.7018</w:t>
            </w:r>
          </w:p>
        </w:tc>
        <w:tc>
          <w:tcPr>
            <w:tcW w:w="2661" w:type="dxa"/>
          </w:tcPr>
          <w:p>
            <w:pPr>
              <w:pStyle w:val="TableParagraph"/>
              <w:spacing w:line="195" w:lineRule="exact" w:before="29"/>
              <w:ind w:left="1211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Prob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&gt;</w:t>
            </w:r>
            <w:r>
              <w:rPr>
                <w:spacing w:val="-3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F</w:t>
            </w:r>
          </w:p>
        </w:tc>
        <w:tc>
          <w:tcPr>
            <w:tcW w:w="629" w:type="dxa"/>
          </w:tcPr>
          <w:p>
            <w:pPr>
              <w:pStyle w:val="TableParagraph"/>
              <w:spacing w:line="195" w:lineRule="exact" w:before="29"/>
              <w:ind w:right="146"/>
              <w:rPr>
                <w:sz w:val="19"/>
              </w:rPr>
            </w:pPr>
            <w:r>
              <w:rPr>
                <w:w w:val="79"/>
                <w:sz w:val="19"/>
              </w:rPr>
              <w:t>=</w:t>
            </w:r>
          </w:p>
        </w:tc>
        <w:tc>
          <w:tcPr>
            <w:tcW w:w="870" w:type="dxa"/>
          </w:tcPr>
          <w:p>
            <w:pPr>
              <w:pStyle w:val="TableParagraph"/>
              <w:spacing w:line="195" w:lineRule="exact" w:before="29"/>
              <w:ind w:right="48"/>
              <w:rPr>
                <w:sz w:val="19"/>
              </w:rPr>
            </w:pPr>
            <w:r>
              <w:rPr>
                <w:w w:val="90"/>
                <w:sz w:val="19"/>
              </w:rPr>
              <w:t>0.0000</w:t>
            </w: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17"/>
        </w:r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5"/>
        <w:gridCol w:w="1255"/>
        <w:gridCol w:w="2613"/>
        <w:gridCol w:w="1452"/>
        <w:gridCol w:w="916"/>
      </w:tblGrid>
      <w:tr>
        <w:trPr>
          <w:trHeight w:val="529" w:hRule="atLeast"/>
        </w:trPr>
        <w:tc>
          <w:tcPr>
            <w:tcW w:w="3235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67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medicalcareconsultation</w:t>
            </w:r>
          </w:p>
        </w:tc>
        <w:tc>
          <w:tcPr>
            <w:tcW w:w="1255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7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Coef.</w:t>
            </w:r>
          </w:p>
        </w:tc>
        <w:tc>
          <w:tcPr>
            <w:tcW w:w="2613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tabs>
                <w:tab w:pos="1451" w:val="left" w:leader="none"/>
                <w:tab w:pos="1935" w:val="left" w:leader="none"/>
              </w:tabs>
              <w:spacing w:before="167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Std.</w:t>
            </w:r>
            <w:r>
              <w:rPr>
                <w:spacing w:val="24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Err.</w:t>
              <w:tab/>
            </w:r>
            <w:r>
              <w:rPr>
                <w:w w:val="90"/>
                <w:sz w:val="19"/>
              </w:rPr>
              <w:t>t</w:t>
              <w:tab/>
              <w:t>P&gt;|t|</w:t>
            </w:r>
          </w:p>
        </w:tc>
        <w:tc>
          <w:tcPr>
            <w:tcW w:w="1452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7"/>
              <w:ind w:left="448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[95%</w:t>
            </w:r>
            <w:r>
              <w:rPr>
                <w:spacing w:val="32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Conf.</w:t>
            </w:r>
          </w:p>
        </w:tc>
        <w:tc>
          <w:tcPr>
            <w:tcW w:w="916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7"/>
              <w:ind w:left="60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Interval]</w:t>
            </w:r>
          </w:p>
        </w:tc>
      </w:tr>
      <w:tr>
        <w:trPr>
          <w:trHeight w:val="413" w:hRule="atLeast"/>
        </w:trPr>
        <w:tc>
          <w:tcPr>
            <w:tcW w:w="3235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67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familysize</w:t>
            </w:r>
          </w:p>
        </w:tc>
        <w:tc>
          <w:tcPr>
            <w:tcW w:w="1255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67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-.0783541</w:t>
            </w:r>
          </w:p>
        </w:tc>
        <w:tc>
          <w:tcPr>
            <w:tcW w:w="2613" w:type="dxa"/>
            <w:tcBorders>
              <w:top w:val="dashSmallGap" w:sz="8" w:space="0" w:color="000000"/>
            </w:tcBorders>
          </w:tcPr>
          <w:p>
            <w:pPr>
              <w:pStyle w:val="TableParagraph"/>
              <w:tabs>
                <w:tab w:pos="1064" w:val="left" w:leader="none"/>
                <w:tab w:pos="1935" w:val="left" w:leader="none"/>
              </w:tabs>
              <w:spacing w:before="167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.0027778</w:t>
              <w:tab/>
            </w:r>
            <w:r>
              <w:rPr>
                <w:w w:val="90"/>
                <w:sz w:val="19"/>
              </w:rPr>
              <w:t>-28.21</w:t>
              <w:tab/>
              <w:t>0.000</w:t>
            </w:r>
          </w:p>
        </w:tc>
        <w:tc>
          <w:tcPr>
            <w:tcW w:w="1452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7"/>
              <w:ind w:left="351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-.0837985</w:t>
            </w:r>
          </w:p>
        </w:tc>
        <w:tc>
          <w:tcPr>
            <w:tcW w:w="91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7"/>
              <w:ind w:left="60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-.0729096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noeducation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-.0082333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.0016182</w:t>
              <w:tab/>
            </w:r>
            <w:r>
              <w:rPr>
                <w:w w:val="90"/>
                <w:sz w:val="19"/>
              </w:rPr>
              <w:t>-5.09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351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-.0114049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60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-.0050617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primaryeducation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.1249219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.0040718</w:t>
              <w:tab/>
            </w:r>
            <w:r>
              <w:rPr>
                <w:w w:val="90"/>
                <w:sz w:val="19"/>
              </w:rPr>
              <w:t>30.68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4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.1169412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57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.1329027</w:t>
            </w:r>
          </w:p>
        </w:tc>
      </w:tr>
      <w:tr>
        <w:trPr>
          <w:trHeight w:val="274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secondaryeducation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.1090681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.0027256</w:t>
              <w:tab/>
            </w:r>
            <w:r>
              <w:rPr>
                <w:w w:val="90"/>
                <w:sz w:val="19"/>
              </w:rPr>
              <w:t>40.02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4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.1037259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57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.1144103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highereducation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.0839563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.0025431</w:t>
              <w:tab/>
            </w:r>
            <w:r>
              <w:rPr>
                <w:w w:val="90"/>
                <w:sz w:val="19"/>
              </w:rPr>
              <w:t>33.01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4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.0789718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57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.0889407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male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-.025554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.0049676</w:t>
              <w:tab/>
            </w:r>
            <w:r>
              <w:rPr>
                <w:w w:val="90"/>
                <w:sz w:val="19"/>
              </w:rPr>
              <w:t>-5.14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351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-.0352905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60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-.0158176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female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.0123751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257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.0038107</w:t>
              <w:tab/>
            </w:r>
            <w:r>
              <w:rPr>
                <w:w w:val="90"/>
                <w:sz w:val="19"/>
              </w:rPr>
              <w:t>3.25</w:t>
              <w:tab/>
              <w:t>0.001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4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.0049062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254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.019844</w:t>
            </w:r>
          </w:p>
        </w:tc>
      </w:tr>
      <w:tr>
        <w:trPr>
          <w:trHeight w:val="274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married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.0216141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.0009986</w:t>
              <w:tab/>
            </w:r>
            <w:r>
              <w:rPr>
                <w:w w:val="90"/>
                <w:sz w:val="19"/>
              </w:rPr>
              <w:t>21.64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4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.0196569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57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.0235714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nevermarried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.0055644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257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.0037971</w:t>
              <w:tab/>
            </w:r>
            <w:r>
              <w:rPr>
                <w:w w:val="90"/>
                <w:sz w:val="19"/>
              </w:rPr>
              <w:t>1.47</w:t>
              <w:tab/>
              <w:t>0.143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351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-.0018779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57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.0130066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singleparents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-.0193074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.0034632</w:t>
              <w:tab/>
            </w:r>
            <w:r>
              <w:rPr>
                <w:w w:val="90"/>
                <w:sz w:val="19"/>
              </w:rPr>
              <w:t>-5.57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351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-.0260954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60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-.0125194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widowed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-.003121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.0006414</w:t>
              <w:tab/>
            </w:r>
            <w:r>
              <w:rPr>
                <w:w w:val="90"/>
                <w:sz w:val="19"/>
              </w:rPr>
              <w:t>-4.87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351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-.0043782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60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-.0018638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yes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.0136999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257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.0039658</w:t>
              <w:tab/>
            </w:r>
            <w:r>
              <w:rPr>
                <w:w w:val="90"/>
                <w:sz w:val="19"/>
              </w:rPr>
              <w:t>3.45</w:t>
              <w:tab/>
              <w:t>0.001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4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.0059268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57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.0214729</w:t>
            </w:r>
          </w:p>
        </w:tc>
      </w:tr>
      <w:tr>
        <w:trPr>
          <w:trHeight w:val="274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no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-.2355666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064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.0037408</w:t>
              <w:tab/>
            </w:r>
            <w:r>
              <w:rPr>
                <w:w w:val="90"/>
                <w:sz w:val="19"/>
              </w:rPr>
              <w:t>-62.97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351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-.2428986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60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-.2282346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wagesandsalariesincomes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.0706887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.0033111</w:t>
              <w:tab/>
            </w:r>
            <w:r>
              <w:rPr>
                <w:w w:val="90"/>
                <w:sz w:val="19"/>
              </w:rPr>
              <w:t>21.35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4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.0641989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57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.0771785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85"/>
                <w:sz w:val="19"/>
              </w:rPr>
              <w:t>businessenterprisesandtrades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.0018788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.0001332</w:t>
              <w:tab/>
            </w:r>
            <w:r>
              <w:rPr>
                <w:w w:val="90"/>
                <w:sz w:val="19"/>
              </w:rPr>
              <w:t>14.10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4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.0016177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57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.0021399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cropandlivestockincomes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.1817898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.0031054</w:t>
              <w:tab/>
            </w:r>
            <w:r>
              <w:rPr>
                <w:w w:val="90"/>
                <w:sz w:val="19"/>
              </w:rPr>
              <w:t>58.54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4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.1757032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57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.1878764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remittances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.0291739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.0022463</w:t>
              <w:tab/>
            </w:r>
            <w:r>
              <w:rPr>
                <w:w w:val="90"/>
                <w:sz w:val="19"/>
              </w:rPr>
              <w:t>12.99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4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.0247711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57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.0335768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pensions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.0276799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257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.0041348</w:t>
              <w:tab/>
            </w:r>
            <w:r>
              <w:rPr>
                <w:w w:val="90"/>
                <w:sz w:val="19"/>
              </w:rPr>
              <w:t>6.69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4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.0195758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57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.0357841</w:t>
            </w:r>
          </w:p>
        </w:tc>
      </w:tr>
      <w:tr>
        <w:trPr>
          <w:trHeight w:val="274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80"/>
                <w:sz w:val="19"/>
              </w:rPr>
              <w:t>dividendfrominterestandinvestmen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-.1164792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064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.0046563</w:t>
              <w:tab/>
            </w:r>
            <w:r>
              <w:rPr>
                <w:w w:val="90"/>
                <w:sz w:val="19"/>
              </w:rPr>
              <w:t>-25.02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351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-.1256055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60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-.1073529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incomefromproperties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.0372361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.0031497</w:t>
              <w:tab/>
            </w:r>
            <w:r>
              <w:rPr>
                <w:w w:val="90"/>
                <w:sz w:val="19"/>
              </w:rPr>
              <w:t>11.82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4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.0310628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157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.0434095</w:t>
            </w:r>
          </w:p>
        </w:tc>
      </w:tr>
      <w:tr>
        <w:trPr>
          <w:trHeight w:val="275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ginicoefficient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-.0030742</w:t>
            </w:r>
          </w:p>
        </w:tc>
        <w:tc>
          <w:tcPr>
            <w:tcW w:w="2613" w:type="dxa"/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.0005863</w:t>
              <w:tab/>
            </w:r>
            <w:r>
              <w:rPr>
                <w:w w:val="90"/>
                <w:sz w:val="19"/>
              </w:rPr>
              <w:t>-5.24</w:t>
              <w:tab/>
              <w:t>0.000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29"/>
              <w:ind w:left="351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-.0042233</w:t>
            </w: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left="60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-.0019251</w:t>
            </w:r>
          </w:p>
        </w:tc>
      </w:tr>
      <w:tr>
        <w:trPr>
          <w:trHeight w:val="392" w:hRule="atLeast"/>
        </w:trPr>
        <w:tc>
          <w:tcPr>
            <w:tcW w:w="3235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_cons</w:t>
            </w:r>
          </w:p>
        </w:tc>
        <w:tc>
          <w:tcPr>
            <w:tcW w:w="1255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.1856086</w:t>
            </w:r>
          </w:p>
        </w:tc>
        <w:tc>
          <w:tcPr>
            <w:tcW w:w="2613" w:type="dxa"/>
            <w:tcBorders>
              <w:bottom w:val="dashSmallGap" w:sz="8" w:space="0" w:color="000000"/>
            </w:tcBorders>
          </w:tcPr>
          <w:p>
            <w:pPr>
              <w:pStyle w:val="TableParagraph"/>
              <w:tabs>
                <w:tab w:pos="1161" w:val="left" w:leader="none"/>
                <w:tab w:pos="1935" w:val="left" w:leader="none"/>
              </w:tabs>
              <w:spacing w:before="29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.0094799</w:t>
              <w:tab/>
            </w:r>
            <w:r>
              <w:rPr>
                <w:w w:val="90"/>
                <w:sz w:val="19"/>
              </w:rPr>
              <w:t>19.58</w:t>
              <w:tab/>
              <w:t>0.000</w:t>
            </w:r>
          </w:p>
        </w:tc>
        <w:tc>
          <w:tcPr>
            <w:tcW w:w="145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left="4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.1670279</w:t>
            </w:r>
          </w:p>
        </w:tc>
        <w:tc>
          <w:tcPr>
            <w:tcW w:w="91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left="157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.2041892</w:t>
            </w:r>
          </w:p>
        </w:tc>
      </w:tr>
      <w:tr>
        <w:trPr>
          <w:trHeight w:val="412" w:hRule="atLeast"/>
        </w:trPr>
        <w:tc>
          <w:tcPr>
            <w:tcW w:w="3235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67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sigma_u</w:t>
            </w:r>
          </w:p>
        </w:tc>
        <w:tc>
          <w:tcPr>
            <w:tcW w:w="1255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67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.07262838</w:t>
            </w:r>
          </w:p>
        </w:tc>
        <w:tc>
          <w:tcPr>
            <w:tcW w:w="2613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2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74" w:hRule="atLeast"/>
        </w:trPr>
        <w:tc>
          <w:tcPr>
            <w:tcW w:w="323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sigma_e</w:t>
            </w:r>
          </w:p>
        </w:tc>
        <w:tc>
          <w:tcPr>
            <w:tcW w:w="125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.25990877</w:t>
            </w:r>
          </w:p>
        </w:tc>
        <w:tc>
          <w:tcPr>
            <w:tcW w:w="261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92" w:hRule="atLeast"/>
        </w:trPr>
        <w:tc>
          <w:tcPr>
            <w:tcW w:w="3235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2"/>
              <w:rPr>
                <w:sz w:val="19"/>
              </w:rPr>
            </w:pPr>
            <w:r>
              <w:rPr>
                <w:w w:val="90"/>
                <w:sz w:val="19"/>
              </w:rPr>
              <w:t>rho</w:t>
            </w:r>
          </w:p>
        </w:tc>
        <w:tc>
          <w:tcPr>
            <w:tcW w:w="1255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9"/>
              </w:rPr>
            </w:pPr>
            <w:r>
              <w:rPr>
                <w:w w:val="90"/>
                <w:sz w:val="19"/>
              </w:rPr>
              <w:t>.07242986</w:t>
            </w:r>
          </w:p>
        </w:tc>
        <w:tc>
          <w:tcPr>
            <w:tcW w:w="2613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(fraction</w:t>
            </w:r>
            <w:r>
              <w:rPr>
                <w:spacing w:val="34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of</w:t>
            </w:r>
            <w:r>
              <w:rPr>
                <w:spacing w:val="35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variance</w:t>
            </w:r>
            <w:r>
              <w:rPr>
                <w:spacing w:val="35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due</w:t>
            </w:r>
          </w:p>
        </w:tc>
        <w:tc>
          <w:tcPr>
            <w:tcW w:w="145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left="61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to</w:t>
            </w:r>
            <w:r>
              <w:rPr>
                <w:spacing w:val="22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u_i)</w:t>
            </w:r>
          </w:p>
        </w:tc>
        <w:tc>
          <w:tcPr>
            <w:tcW w:w="916" w:type="dxa"/>
            <w:tcBorders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2774" w:val="left" w:leader="none"/>
          <w:tab w:pos="4419" w:val="left" w:leader="none"/>
          <w:tab w:pos="6065" w:val="left" w:leader="none"/>
        </w:tabs>
        <w:spacing w:before="169"/>
        <w:ind w:left="161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F</w:t>
      </w:r>
      <w:r>
        <w:rPr>
          <w:rFonts w:ascii="Courier New"/>
          <w:spacing w:val="22"/>
          <w:w w:val="80"/>
          <w:sz w:val="19"/>
        </w:rPr>
        <w:t> </w:t>
      </w:r>
      <w:r>
        <w:rPr>
          <w:rFonts w:ascii="Courier New"/>
          <w:w w:val="80"/>
          <w:sz w:val="19"/>
        </w:rPr>
        <w:t>test</w:t>
      </w:r>
      <w:r>
        <w:rPr>
          <w:rFonts w:ascii="Courier New"/>
          <w:spacing w:val="23"/>
          <w:w w:val="80"/>
          <w:sz w:val="19"/>
        </w:rPr>
        <w:t> </w:t>
      </w:r>
      <w:r>
        <w:rPr>
          <w:rFonts w:ascii="Courier New"/>
          <w:w w:val="80"/>
          <w:sz w:val="19"/>
        </w:rPr>
        <w:t>that</w:t>
      </w:r>
      <w:r>
        <w:rPr>
          <w:rFonts w:ascii="Courier New"/>
          <w:spacing w:val="23"/>
          <w:w w:val="80"/>
          <w:sz w:val="19"/>
        </w:rPr>
        <w:t> </w:t>
      </w:r>
      <w:r>
        <w:rPr>
          <w:rFonts w:ascii="Courier New"/>
          <w:w w:val="80"/>
          <w:sz w:val="19"/>
        </w:rPr>
        <w:t>all</w:t>
      </w:r>
      <w:r>
        <w:rPr>
          <w:rFonts w:ascii="Courier New"/>
          <w:spacing w:val="23"/>
          <w:w w:val="80"/>
          <w:sz w:val="19"/>
        </w:rPr>
        <w:t> </w:t>
      </w:r>
      <w:r>
        <w:rPr>
          <w:rFonts w:ascii="Courier New"/>
          <w:w w:val="80"/>
          <w:sz w:val="19"/>
        </w:rPr>
        <w:t>u_i=0:</w:t>
        <w:tab/>
        <w:t>F(36,</w:t>
      </w:r>
      <w:r>
        <w:rPr>
          <w:rFonts w:ascii="Courier New"/>
          <w:spacing w:val="25"/>
          <w:w w:val="80"/>
          <w:sz w:val="19"/>
        </w:rPr>
        <w:t> </w:t>
      </w:r>
      <w:r>
        <w:rPr>
          <w:rFonts w:ascii="Courier New"/>
          <w:w w:val="80"/>
          <w:sz w:val="19"/>
        </w:rPr>
        <w:t>71884)</w:t>
      </w:r>
      <w:r>
        <w:rPr>
          <w:rFonts w:ascii="Courier New"/>
          <w:spacing w:val="25"/>
          <w:w w:val="80"/>
          <w:sz w:val="19"/>
        </w:rPr>
        <w:t> </w:t>
      </w:r>
      <w:r>
        <w:rPr>
          <w:rFonts w:ascii="Courier New"/>
          <w:w w:val="80"/>
          <w:sz w:val="19"/>
        </w:rPr>
        <w:t>=</w:t>
        <w:tab/>
      </w:r>
      <w:r>
        <w:rPr>
          <w:rFonts w:ascii="Courier New"/>
          <w:w w:val="90"/>
          <w:sz w:val="19"/>
        </w:rPr>
        <w:t>105.06</w:t>
        <w:tab/>
      </w:r>
      <w:r>
        <w:rPr>
          <w:rFonts w:ascii="Courier New"/>
          <w:w w:val="80"/>
          <w:sz w:val="19"/>
        </w:rPr>
        <w:t>Prob</w:t>
      </w:r>
      <w:r>
        <w:rPr>
          <w:rFonts w:ascii="Courier New"/>
          <w:spacing w:val="20"/>
          <w:w w:val="80"/>
          <w:sz w:val="19"/>
        </w:rPr>
        <w:t> </w:t>
      </w:r>
      <w:r>
        <w:rPr>
          <w:rFonts w:ascii="Courier New"/>
          <w:w w:val="80"/>
          <w:sz w:val="19"/>
        </w:rPr>
        <w:t>&gt;</w:t>
      </w:r>
      <w:r>
        <w:rPr>
          <w:rFonts w:ascii="Courier New"/>
          <w:spacing w:val="22"/>
          <w:w w:val="80"/>
          <w:sz w:val="19"/>
        </w:rPr>
        <w:t> </w:t>
      </w:r>
      <w:r>
        <w:rPr>
          <w:rFonts w:ascii="Courier New"/>
          <w:w w:val="80"/>
          <w:sz w:val="19"/>
        </w:rPr>
        <w:t>F</w:t>
      </w:r>
      <w:r>
        <w:rPr>
          <w:rFonts w:ascii="Courier New"/>
          <w:spacing w:val="20"/>
          <w:w w:val="80"/>
          <w:sz w:val="19"/>
        </w:rPr>
        <w:t> </w:t>
      </w:r>
      <w:r>
        <w:rPr>
          <w:rFonts w:ascii="Courier New"/>
          <w:w w:val="80"/>
          <w:sz w:val="19"/>
        </w:rPr>
        <w:t>=</w:t>
      </w:r>
      <w:r>
        <w:rPr>
          <w:rFonts w:ascii="Courier New"/>
          <w:spacing w:val="21"/>
          <w:w w:val="80"/>
          <w:sz w:val="19"/>
        </w:rPr>
        <w:t> </w:t>
      </w:r>
      <w:r>
        <w:rPr>
          <w:rFonts w:ascii="Courier New"/>
          <w:w w:val="80"/>
          <w:sz w:val="19"/>
        </w:rPr>
        <w:t>0.0000</w:t>
      </w:r>
    </w:p>
    <w:p>
      <w:pPr>
        <w:spacing w:after="0"/>
        <w:jc w:val="left"/>
        <w:rPr>
          <w:rFonts w:ascii="Courier New"/>
          <w:sz w:val="19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 w:after="40"/>
        <w:ind w:left="197" w:right="518"/>
        <w:jc w:val="center"/>
      </w:pPr>
      <w:r>
        <w:rPr/>
        <w:t>TABLE</w:t>
      </w:r>
      <w:r>
        <w:rPr>
          <w:spacing w:val="-2"/>
        </w:rPr>
        <w:t> </w:t>
      </w:r>
      <w:r>
        <w:rPr/>
        <w:t>K4:</w:t>
      </w:r>
      <w:r>
        <w:rPr>
          <w:spacing w:val="-2"/>
        </w:rPr>
        <w:t> </w:t>
      </w:r>
      <w:r>
        <w:rPr/>
        <w:t>RANDOM</w:t>
      </w:r>
      <w:r>
        <w:rPr>
          <w:spacing w:val="1"/>
        </w:rPr>
        <w:t> </w:t>
      </w:r>
      <w:r>
        <w:rPr/>
        <w:t>EFFECT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5"/>
        </w:rPr>
        <w:t> </w:t>
      </w:r>
      <w:r>
        <w:rPr/>
        <w:t>NGHPS</w:t>
      </w:r>
      <w:r>
        <w:rPr>
          <w:spacing w:val="-1"/>
        </w:rPr>
        <w:t> </w:t>
      </w:r>
      <w:r>
        <w:rPr/>
        <w:t>WAVES</w:t>
      </w: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2"/>
        <w:gridCol w:w="2497"/>
        <w:gridCol w:w="294"/>
        <w:gridCol w:w="880"/>
      </w:tblGrid>
      <w:tr>
        <w:trPr>
          <w:trHeight w:val="242" w:hRule="atLeast"/>
        </w:trPr>
        <w:tc>
          <w:tcPr>
            <w:tcW w:w="4062" w:type="dxa"/>
          </w:tcPr>
          <w:p>
            <w:pPr>
              <w:pStyle w:val="TableParagraph"/>
              <w:spacing w:before="6"/>
              <w:ind w:left="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Random-effects</w:t>
            </w:r>
            <w:r>
              <w:rPr>
                <w:spacing w:val="7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logistic</w:t>
            </w:r>
            <w:r>
              <w:rPr>
                <w:spacing w:val="7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regression</w:t>
            </w: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6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Number of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obs</w:t>
            </w:r>
          </w:p>
        </w:tc>
        <w:tc>
          <w:tcPr>
            <w:tcW w:w="294" w:type="dxa"/>
          </w:tcPr>
          <w:p>
            <w:pPr>
              <w:pStyle w:val="TableParagraph"/>
              <w:spacing w:before="6"/>
              <w:ind w:left="5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880" w:type="dxa"/>
          </w:tcPr>
          <w:p>
            <w:pPr>
              <w:pStyle w:val="TableParagraph"/>
              <w:spacing w:before="6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71942</w:t>
            </w:r>
          </w:p>
        </w:tc>
      </w:tr>
      <w:tr>
        <w:trPr>
          <w:trHeight w:val="408" w:hRule="atLeast"/>
        </w:trPr>
        <w:tc>
          <w:tcPr>
            <w:tcW w:w="4062" w:type="dxa"/>
          </w:tcPr>
          <w:p>
            <w:pPr>
              <w:pStyle w:val="TableParagraph"/>
              <w:spacing w:before="36"/>
              <w:ind w:left="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Group</w:t>
            </w:r>
            <w:r>
              <w:rPr>
                <w:spacing w:val="4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variable:</w:t>
            </w:r>
            <w:r>
              <w:rPr>
                <w:spacing w:val="4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state</w:t>
            </w:r>
          </w:p>
        </w:tc>
        <w:tc>
          <w:tcPr>
            <w:tcW w:w="2497" w:type="dxa"/>
          </w:tcPr>
          <w:p>
            <w:pPr>
              <w:pStyle w:val="TableParagraph"/>
              <w:spacing w:before="36"/>
              <w:ind w:left="688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Number</w:t>
            </w:r>
            <w:r>
              <w:rPr>
                <w:spacing w:val="3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3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groups</w:t>
            </w:r>
          </w:p>
        </w:tc>
        <w:tc>
          <w:tcPr>
            <w:tcW w:w="294" w:type="dxa"/>
          </w:tcPr>
          <w:p>
            <w:pPr>
              <w:pStyle w:val="TableParagraph"/>
              <w:spacing w:before="36"/>
              <w:ind w:left="5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880" w:type="dxa"/>
          </w:tcPr>
          <w:p>
            <w:pPr>
              <w:pStyle w:val="TableParagraph"/>
              <w:spacing w:before="36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</w:tr>
      <w:tr>
        <w:trPr>
          <w:trHeight w:val="408" w:hRule="atLeast"/>
        </w:trPr>
        <w:tc>
          <w:tcPr>
            <w:tcW w:w="4062" w:type="dxa"/>
          </w:tcPr>
          <w:p>
            <w:pPr>
              <w:pStyle w:val="TableParagraph"/>
              <w:spacing w:before="172"/>
              <w:ind w:left="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Random</w:t>
            </w:r>
            <w:r>
              <w:rPr>
                <w:spacing w:val="3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effects</w:t>
            </w:r>
            <w:r>
              <w:rPr>
                <w:spacing w:val="3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u_i</w:t>
            </w:r>
            <w:r>
              <w:rPr>
                <w:spacing w:val="3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~</w:t>
            </w:r>
            <w:r>
              <w:rPr>
                <w:spacing w:val="3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Gaussian</w:t>
            </w:r>
          </w:p>
        </w:tc>
        <w:tc>
          <w:tcPr>
            <w:tcW w:w="2497" w:type="dxa"/>
          </w:tcPr>
          <w:p>
            <w:pPr>
              <w:pStyle w:val="TableParagraph"/>
              <w:spacing w:before="172"/>
              <w:ind w:right="50"/>
              <w:rPr>
                <w:sz w:val="18"/>
              </w:rPr>
            </w:pPr>
            <w:r>
              <w:rPr>
                <w:w w:val="90"/>
                <w:sz w:val="18"/>
              </w:rPr>
              <w:t>Obs per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group: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min</w:t>
            </w:r>
          </w:p>
        </w:tc>
        <w:tc>
          <w:tcPr>
            <w:tcW w:w="294" w:type="dxa"/>
          </w:tcPr>
          <w:p>
            <w:pPr>
              <w:pStyle w:val="TableParagraph"/>
              <w:spacing w:before="172"/>
              <w:ind w:left="5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880" w:type="dxa"/>
          </w:tcPr>
          <w:p>
            <w:pPr>
              <w:pStyle w:val="TableParagraph"/>
              <w:spacing w:before="172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222</w:t>
            </w:r>
          </w:p>
        </w:tc>
      </w:tr>
      <w:tr>
        <w:trPr>
          <w:trHeight w:val="272" w:hRule="atLeast"/>
        </w:trPr>
        <w:tc>
          <w:tcPr>
            <w:tcW w:w="406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36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avg</w:t>
            </w:r>
          </w:p>
        </w:tc>
        <w:tc>
          <w:tcPr>
            <w:tcW w:w="294" w:type="dxa"/>
          </w:tcPr>
          <w:p>
            <w:pPr>
              <w:pStyle w:val="TableParagraph"/>
              <w:spacing w:before="36"/>
              <w:ind w:left="5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880" w:type="dxa"/>
          </w:tcPr>
          <w:p>
            <w:pPr>
              <w:pStyle w:val="TableParagraph"/>
              <w:spacing w:before="36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1944.4</w:t>
            </w:r>
          </w:p>
        </w:tc>
      </w:tr>
      <w:tr>
        <w:trPr>
          <w:trHeight w:val="408" w:hRule="atLeast"/>
        </w:trPr>
        <w:tc>
          <w:tcPr>
            <w:tcW w:w="406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36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max</w:t>
            </w:r>
          </w:p>
        </w:tc>
        <w:tc>
          <w:tcPr>
            <w:tcW w:w="294" w:type="dxa"/>
          </w:tcPr>
          <w:p>
            <w:pPr>
              <w:pStyle w:val="TableParagraph"/>
              <w:spacing w:before="36"/>
              <w:ind w:left="5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880" w:type="dxa"/>
          </w:tcPr>
          <w:p>
            <w:pPr>
              <w:pStyle w:val="TableParagraph"/>
              <w:spacing w:before="36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18805</w:t>
            </w:r>
          </w:p>
        </w:tc>
      </w:tr>
      <w:tr>
        <w:trPr>
          <w:trHeight w:val="545" w:hRule="atLeast"/>
        </w:trPr>
        <w:tc>
          <w:tcPr>
            <w:tcW w:w="4062" w:type="dxa"/>
          </w:tcPr>
          <w:p>
            <w:pPr>
              <w:pStyle w:val="TableParagraph"/>
              <w:spacing w:before="172"/>
              <w:ind w:left="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Integration</w:t>
            </w:r>
            <w:r>
              <w:rPr>
                <w:spacing w:val="6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method:</w:t>
            </w:r>
            <w:r>
              <w:rPr>
                <w:spacing w:val="6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mvaghermite</w:t>
            </w:r>
          </w:p>
        </w:tc>
        <w:tc>
          <w:tcPr>
            <w:tcW w:w="2497" w:type="dxa"/>
          </w:tcPr>
          <w:p>
            <w:pPr>
              <w:pStyle w:val="TableParagraph"/>
              <w:spacing w:before="172"/>
              <w:ind w:right="50"/>
              <w:rPr>
                <w:sz w:val="18"/>
              </w:rPr>
            </w:pPr>
            <w:r>
              <w:rPr>
                <w:w w:val="85"/>
                <w:sz w:val="18"/>
              </w:rPr>
              <w:t>Integration</w:t>
            </w:r>
            <w:r>
              <w:rPr>
                <w:spacing w:val="6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points</w:t>
            </w:r>
          </w:p>
        </w:tc>
        <w:tc>
          <w:tcPr>
            <w:tcW w:w="294" w:type="dxa"/>
          </w:tcPr>
          <w:p>
            <w:pPr>
              <w:pStyle w:val="TableParagraph"/>
              <w:spacing w:before="172"/>
              <w:ind w:left="5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880" w:type="dxa"/>
          </w:tcPr>
          <w:p>
            <w:pPr>
              <w:pStyle w:val="TableParagraph"/>
              <w:spacing w:before="172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12</w:t>
            </w:r>
          </w:p>
        </w:tc>
      </w:tr>
      <w:tr>
        <w:trPr>
          <w:trHeight w:val="408" w:hRule="atLeast"/>
        </w:trPr>
        <w:tc>
          <w:tcPr>
            <w:tcW w:w="406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172"/>
              <w:ind w:left="688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Wald</w:t>
            </w:r>
            <w:r>
              <w:rPr>
                <w:spacing w:val="4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chi2(21)</w:t>
            </w:r>
          </w:p>
        </w:tc>
        <w:tc>
          <w:tcPr>
            <w:tcW w:w="294" w:type="dxa"/>
          </w:tcPr>
          <w:p>
            <w:pPr>
              <w:pStyle w:val="TableParagraph"/>
              <w:spacing w:before="172"/>
              <w:ind w:left="5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880" w:type="dxa"/>
          </w:tcPr>
          <w:p>
            <w:pPr>
              <w:pStyle w:val="TableParagraph"/>
              <w:spacing w:before="172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9362.98</w:t>
            </w:r>
          </w:p>
        </w:tc>
      </w:tr>
      <w:tr>
        <w:trPr>
          <w:trHeight w:val="242" w:hRule="atLeast"/>
        </w:trPr>
        <w:tc>
          <w:tcPr>
            <w:tcW w:w="4062" w:type="dxa"/>
          </w:tcPr>
          <w:p>
            <w:pPr>
              <w:pStyle w:val="TableParagraph"/>
              <w:spacing w:line="186" w:lineRule="exact" w:before="36"/>
              <w:ind w:left="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Log</w:t>
            </w:r>
            <w:r>
              <w:rPr>
                <w:spacing w:val="3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likelihood</w:t>
            </w:r>
            <w:r>
              <w:rPr>
                <w:spacing w:val="142"/>
                <w:sz w:val="18"/>
              </w:rPr>
              <w:t> </w:t>
            </w:r>
            <w:r>
              <w:rPr>
                <w:w w:val="85"/>
                <w:sz w:val="18"/>
              </w:rPr>
              <w:t>=</w:t>
            </w:r>
            <w:r>
              <w:rPr>
                <w:spacing w:val="3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-16429.145</w:t>
            </w:r>
          </w:p>
        </w:tc>
        <w:tc>
          <w:tcPr>
            <w:tcW w:w="2497" w:type="dxa"/>
          </w:tcPr>
          <w:p>
            <w:pPr>
              <w:pStyle w:val="TableParagraph"/>
              <w:spacing w:line="186" w:lineRule="exact" w:before="36"/>
              <w:ind w:left="68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Prob &gt;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chi2</w:t>
            </w:r>
          </w:p>
        </w:tc>
        <w:tc>
          <w:tcPr>
            <w:tcW w:w="294" w:type="dxa"/>
          </w:tcPr>
          <w:p>
            <w:pPr>
              <w:pStyle w:val="TableParagraph"/>
              <w:spacing w:line="186" w:lineRule="exact" w:before="36"/>
              <w:ind w:left="5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=</w:t>
            </w:r>
          </w:p>
        </w:tc>
        <w:tc>
          <w:tcPr>
            <w:tcW w:w="880" w:type="dxa"/>
          </w:tcPr>
          <w:p>
            <w:pPr>
              <w:pStyle w:val="TableParagraph"/>
              <w:spacing w:line="186" w:lineRule="exact" w:before="36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0.0000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3"/>
        <w:gridCol w:w="1270"/>
        <w:gridCol w:w="1126"/>
        <w:gridCol w:w="833"/>
        <w:gridCol w:w="832"/>
        <w:gridCol w:w="1322"/>
        <w:gridCol w:w="926"/>
      </w:tblGrid>
      <w:tr>
        <w:trPr>
          <w:trHeight w:val="524" w:hRule="atLeast"/>
        </w:trPr>
        <w:tc>
          <w:tcPr>
            <w:tcW w:w="3273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2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medicalcareconsultation</w:t>
            </w:r>
          </w:p>
        </w:tc>
        <w:tc>
          <w:tcPr>
            <w:tcW w:w="1270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2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Coef.</w:t>
            </w:r>
          </w:p>
        </w:tc>
        <w:tc>
          <w:tcPr>
            <w:tcW w:w="1126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2"/>
              <w:ind w:left="15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Std.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Err.</w:t>
            </w:r>
          </w:p>
        </w:tc>
        <w:tc>
          <w:tcPr>
            <w:tcW w:w="833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2"/>
              <w:ind w:right="237"/>
              <w:rPr>
                <w:sz w:val="18"/>
              </w:rPr>
            </w:pPr>
            <w:r>
              <w:rPr>
                <w:w w:val="85"/>
                <w:sz w:val="18"/>
              </w:rPr>
              <w:t>z</w:t>
            </w:r>
          </w:p>
        </w:tc>
        <w:tc>
          <w:tcPr>
            <w:tcW w:w="832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2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P&gt;|z|</w:t>
            </w:r>
          </w:p>
        </w:tc>
        <w:tc>
          <w:tcPr>
            <w:tcW w:w="1322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2"/>
              <w:ind w:left="305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[95%</w:t>
            </w:r>
            <w:r>
              <w:rPr>
                <w:spacing w:val="3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Conf.</w:t>
            </w:r>
          </w:p>
        </w:tc>
        <w:tc>
          <w:tcPr>
            <w:tcW w:w="926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2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Interval]</w:t>
            </w:r>
          </w:p>
        </w:tc>
      </w:tr>
      <w:tr>
        <w:trPr>
          <w:trHeight w:val="409" w:hRule="atLeast"/>
        </w:trPr>
        <w:tc>
          <w:tcPr>
            <w:tcW w:w="3273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2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familysize</w:t>
            </w:r>
          </w:p>
        </w:tc>
        <w:tc>
          <w:tcPr>
            <w:tcW w:w="1270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72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-.8048304</w:t>
            </w:r>
          </w:p>
        </w:tc>
        <w:tc>
          <w:tcPr>
            <w:tcW w:w="112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2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.0401475</w:t>
            </w:r>
          </w:p>
        </w:tc>
        <w:tc>
          <w:tcPr>
            <w:tcW w:w="833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2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-20.05</w:t>
            </w:r>
          </w:p>
        </w:tc>
        <w:tc>
          <w:tcPr>
            <w:tcW w:w="832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2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2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-.8835181</w:t>
            </w:r>
          </w:p>
        </w:tc>
        <w:tc>
          <w:tcPr>
            <w:tcW w:w="92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2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-.7261427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noeducation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-.0603284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.0212178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-2.84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0.004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-.1019147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-.0187422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primaryeducation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1.485568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.0662871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22.41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1.355647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1.615488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secondaryeducation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.8062599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.0299078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26.96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.7476416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.8648781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highereducation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.6375852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.0293689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21.71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.5800233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.6951472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male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-.0164523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.0608513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-0.27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0.787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-.1357187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.102814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female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.1118266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.0472812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2.37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0.018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.0191572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.204496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married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.2597602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.0138409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18.77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.2326326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.2868879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nevermarried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-.1217677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.0608681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-2.00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0.045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-.241067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-.0024684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singleparents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-.2497577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.0471915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-5.29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-.3422512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-.1572641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widowed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-.0208042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.0090531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-2.30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0.022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-.0385481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-.0030604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yes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.1261764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25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.047835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2.64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0.008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.0324215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.2199313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no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-2.238392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.0463595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-48.28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-2.329255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-2.147529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wagesandsalariesincomes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.646747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.0451096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14.34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.5583339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.7351602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businessenterprisesandtrades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.0143167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.0018485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7.75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.0106938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.0179396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cropandlivestockincomes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1.351942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.0375765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35.98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1.278294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1.425591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remittances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.2706561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.0316476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8.55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4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.208628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.3326843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pensions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.3009561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.0524536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5.74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.1981489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.4037632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85"/>
                <w:sz w:val="18"/>
              </w:rPr>
              <w:t>dividendfrominterestandinvestmen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-1.090037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.0651288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-16.74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-1.217687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-.962387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incomefromproperties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.3196836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.0436282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7.33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.2341739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.4051932</w:t>
            </w:r>
          </w:p>
        </w:tc>
      </w:tr>
      <w:tr>
        <w:trPr>
          <w:trHeight w:val="272" w:hRule="atLeast"/>
        </w:trPr>
        <w:tc>
          <w:tcPr>
            <w:tcW w:w="3273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ginicoefficient</w:t>
            </w:r>
          </w:p>
        </w:tc>
        <w:tc>
          <w:tcPr>
            <w:tcW w:w="127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-.0399173</w:t>
            </w:r>
          </w:p>
        </w:tc>
        <w:tc>
          <w:tcPr>
            <w:tcW w:w="1126" w:type="dxa"/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.0093748</w:t>
            </w:r>
          </w:p>
        </w:tc>
        <w:tc>
          <w:tcPr>
            <w:tcW w:w="833" w:type="dxa"/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-4.26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</w:tcPr>
          <w:p>
            <w:pPr>
              <w:pStyle w:val="TableParagraph"/>
              <w:spacing w:before="36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-.0582916</w:t>
            </w:r>
          </w:p>
        </w:tc>
        <w:tc>
          <w:tcPr>
            <w:tcW w:w="926" w:type="dxa"/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-.0215429</w:t>
            </w:r>
          </w:p>
        </w:tc>
      </w:tr>
      <w:tr>
        <w:trPr>
          <w:trHeight w:val="388" w:hRule="atLeast"/>
        </w:trPr>
        <w:tc>
          <w:tcPr>
            <w:tcW w:w="3273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_cons</w:t>
            </w:r>
          </w:p>
        </w:tc>
        <w:tc>
          <w:tcPr>
            <w:tcW w:w="1270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-2.158712</w:t>
            </w:r>
          </w:p>
        </w:tc>
        <w:tc>
          <w:tcPr>
            <w:tcW w:w="112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.1474686</w:t>
            </w:r>
          </w:p>
        </w:tc>
        <w:tc>
          <w:tcPr>
            <w:tcW w:w="833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right="139"/>
              <w:rPr>
                <w:sz w:val="18"/>
              </w:rPr>
            </w:pPr>
            <w:r>
              <w:rPr>
                <w:w w:val="95"/>
                <w:sz w:val="18"/>
              </w:rPr>
              <w:t>-14.64</w:t>
            </w:r>
          </w:p>
        </w:tc>
        <w:tc>
          <w:tcPr>
            <w:tcW w:w="83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left="124" w:right="1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32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-2.447746</w:t>
            </w:r>
          </w:p>
        </w:tc>
        <w:tc>
          <w:tcPr>
            <w:tcW w:w="92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-1.869679</w:t>
            </w:r>
          </w:p>
        </w:tc>
      </w:tr>
      <w:tr>
        <w:trPr>
          <w:trHeight w:val="525" w:hRule="atLeast"/>
        </w:trPr>
        <w:tc>
          <w:tcPr>
            <w:tcW w:w="3273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2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/lnsig2u</w:t>
            </w:r>
          </w:p>
        </w:tc>
        <w:tc>
          <w:tcPr>
            <w:tcW w:w="1270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2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-1.211815</w:t>
            </w:r>
          </w:p>
        </w:tc>
        <w:tc>
          <w:tcPr>
            <w:tcW w:w="1126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2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.2402532</w:t>
            </w:r>
          </w:p>
        </w:tc>
        <w:tc>
          <w:tcPr>
            <w:tcW w:w="833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2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2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2"/>
              <w:ind w:left="2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-1.682702</w:t>
            </w:r>
          </w:p>
        </w:tc>
        <w:tc>
          <w:tcPr>
            <w:tcW w:w="926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2"/>
              <w:ind w:right="-15"/>
              <w:rPr>
                <w:sz w:val="18"/>
              </w:rPr>
            </w:pPr>
            <w:r>
              <w:rPr>
                <w:w w:val="90"/>
                <w:sz w:val="18"/>
              </w:rPr>
              <w:t>-.7409271</w:t>
            </w:r>
          </w:p>
        </w:tc>
      </w:tr>
      <w:tr>
        <w:trPr>
          <w:trHeight w:val="408" w:hRule="atLeast"/>
        </w:trPr>
        <w:tc>
          <w:tcPr>
            <w:tcW w:w="3273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2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sigma_u</w:t>
            </w:r>
          </w:p>
        </w:tc>
        <w:tc>
          <w:tcPr>
            <w:tcW w:w="1270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72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.5455792</w:t>
            </w:r>
          </w:p>
        </w:tc>
        <w:tc>
          <w:tcPr>
            <w:tcW w:w="112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2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.0655386</w:t>
            </w:r>
          </w:p>
        </w:tc>
        <w:tc>
          <w:tcPr>
            <w:tcW w:w="833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2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2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2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.4311276</w:t>
            </w:r>
          </w:p>
        </w:tc>
        <w:tc>
          <w:tcPr>
            <w:tcW w:w="92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2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.6904142</w:t>
            </w:r>
          </w:p>
        </w:tc>
      </w:tr>
      <w:tr>
        <w:trPr>
          <w:trHeight w:val="388" w:hRule="atLeast"/>
        </w:trPr>
        <w:tc>
          <w:tcPr>
            <w:tcW w:w="3273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36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rho</w:t>
            </w:r>
          </w:p>
        </w:tc>
        <w:tc>
          <w:tcPr>
            <w:tcW w:w="1270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>.0829699</w:t>
            </w:r>
          </w:p>
        </w:tc>
        <w:tc>
          <w:tcPr>
            <w:tcW w:w="112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left="15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.0182799</w:t>
            </w:r>
          </w:p>
        </w:tc>
        <w:tc>
          <w:tcPr>
            <w:tcW w:w="833" w:type="dxa"/>
            <w:tcBorders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2" w:type="dxa"/>
            <w:tcBorders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left="30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.0534767</w:t>
            </w:r>
          </w:p>
        </w:tc>
        <w:tc>
          <w:tcPr>
            <w:tcW w:w="92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6"/>
              <w:ind w:right="-15"/>
              <w:rPr>
                <w:sz w:val="18"/>
              </w:rPr>
            </w:pPr>
            <w:r>
              <w:rPr>
                <w:w w:val="95"/>
                <w:sz w:val="18"/>
              </w:rPr>
              <w:t>.1265543</w:t>
            </w:r>
          </w:p>
        </w:tc>
      </w:tr>
    </w:tbl>
    <w:p>
      <w:pPr>
        <w:spacing w:before="174"/>
        <w:ind w:left="161" w:right="0" w:firstLine="0"/>
        <w:jc w:val="left"/>
        <w:rPr>
          <w:rFonts w:ascii="Courier New"/>
          <w:sz w:val="18"/>
        </w:rPr>
      </w:pPr>
      <w:r>
        <w:rPr>
          <w:rFonts w:ascii="Courier New"/>
          <w:w w:val="85"/>
          <w:sz w:val="18"/>
        </w:rPr>
        <w:t>Likelihood-ratio</w:t>
      </w:r>
      <w:r>
        <w:rPr>
          <w:rFonts w:ascii="Courier New"/>
          <w:spacing w:val="35"/>
          <w:w w:val="85"/>
          <w:sz w:val="18"/>
        </w:rPr>
        <w:t> </w:t>
      </w:r>
      <w:r>
        <w:rPr>
          <w:rFonts w:ascii="Courier New"/>
          <w:w w:val="85"/>
          <w:sz w:val="18"/>
        </w:rPr>
        <w:t>test</w:t>
      </w:r>
      <w:r>
        <w:rPr>
          <w:rFonts w:ascii="Courier New"/>
          <w:spacing w:val="36"/>
          <w:w w:val="85"/>
          <w:sz w:val="18"/>
        </w:rPr>
        <w:t> </w:t>
      </w:r>
      <w:r>
        <w:rPr>
          <w:rFonts w:ascii="Courier New"/>
          <w:w w:val="85"/>
          <w:sz w:val="18"/>
        </w:rPr>
        <w:t>of</w:t>
      </w:r>
      <w:r>
        <w:rPr>
          <w:rFonts w:ascii="Courier New"/>
          <w:spacing w:val="36"/>
          <w:w w:val="85"/>
          <w:sz w:val="18"/>
        </w:rPr>
        <w:t> </w:t>
      </w:r>
      <w:r>
        <w:rPr>
          <w:rFonts w:ascii="Courier New"/>
          <w:w w:val="85"/>
          <w:sz w:val="18"/>
        </w:rPr>
        <w:t>rho=0:</w:t>
      </w:r>
      <w:r>
        <w:rPr>
          <w:rFonts w:ascii="Courier New"/>
          <w:spacing w:val="36"/>
          <w:w w:val="85"/>
          <w:sz w:val="18"/>
        </w:rPr>
        <w:t> </w:t>
      </w:r>
      <w:r>
        <w:rPr>
          <w:rFonts w:ascii="Courier New"/>
          <w:w w:val="85"/>
          <w:sz w:val="18"/>
        </w:rPr>
        <w:t>chibar2(01)</w:t>
      </w:r>
      <w:r>
        <w:rPr>
          <w:rFonts w:ascii="Courier New"/>
          <w:spacing w:val="36"/>
          <w:w w:val="85"/>
          <w:sz w:val="18"/>
        </w:rPr>
        <w:t> </w:t>
      </w:r>
      <w:r>
        <w:rPr>
          <w:rFonts w:ascii="Courier New"/>
          <w:w w:val="85"/>
          <w:sz w:val="18"/>
        </w:rPr>
        <w:t>=</w:t>
      </w:r>
      <w:r>
        <w:rPr>
          <w:rFonts w:ascii="Courier New"/>
          <w:spacing w:val="141"/>
          <w:sz w:val="18"/>
        </w:rPr>
        <w:t> </w:t>
      </w:r>
      <w:r>
        <w:rPr>
          <w:rFonts w:ascii="Courier New"/>
          <w:w w:val="85"/>
          <w:sz w:val="18"/>
        </w:rPr>
        <w:t>1277.31</w:t>
      </w:r>
      <w:r>
        <w:rPr>
          <w:rFonts w:ascii="Courier New"/>
          <w:spacing w:val="36"/>
          <w:w w:val="85"/>
          <w:sz w:val="18"/>
        </w:rPr>
        <w:t> </w:t>
      </w:r>
      <w:r>
        <w:rPr>
          <w:rFonts w:ascii="Courier New"/>
          <w:w w:val="85"/>
          <w:sz w:val="18"/>
        </w:rPr>
        <w:t>Prob</w:t>
      </w:r>
      <w:r>
        <w:rPr>
          <w:rFonts w:ascii="Courier New"/>
          <w:spacing w:val="36"/>
          <w:w w:val="85"/>
          <w:sz w:val="18"/>
        </w:rPr>
        <w:t> </w:t>
      </w:r>
      <w:r>
        <w:rPr>
          <w:rFonts w:ascii="Courier New"/>
          <w:w w:val="85"/>
          <w:sz w:val="18"/>
        </w:rPr>
        <w:t>&gt;=</w:t>
      </w:r>
      <w:r>
        <w:rPr>
          <w:rFonts w:ascii="Courier New"/>
          <w:spacing w:val="36"/>
          <w:w w:val="85"/>
          <w:sz w:val="18"/>
        </w:rPr>
        <w:t> </w:t>
      </w:r>
      <w:r>
        <w:rPr>
          <w:rFonts w:ascii="Courier New"/>
          <w:w w:val="85"/>
          <w:sz w:val="18"/>
        </w:rPr>
        <w:t>chibar2</w:t>
      </w:r>
      <w:r>
        <w:rPr>
          <w:rFonts w:ascii="Courier New"/>
          <w:spacing w:val="36"/>
          <w:w w:val="85"/>
          <w:sz w:val="18"/>
        </w:rPr>
        <w:t> </w:t>
      </w:r>
      <w:r>
        <w:rPr>
          <w:rFonts w:ascii="Courier New"/>
          <w:w w:val="85"/>
          <w:sz w:val="18"/>
        </w:rPr>
        <w:t>=</w:t>
      </w:r>
      <w:r>
        <w:rPr>
          <w:rFonts w:ascii="Courier New"/>
          <w:spacing w:val="35"/>
          <w:w w:val="85"/>
          <w:sz w:val="18"/>
        </w:rPr>
        <w:t> </w:t>
      </w:r>
      <w:r>
        <w:rPr>
          <w:rFonts w:ascii="Courier New"/>
          <w:w w:val="85"/>
          <w:sz w:val="18"/>
        </w:rPr>
        <w:t>0.000</w:t>
      </w: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106"/>
        <w:ind w:left="161" w:right="0" w:firstLine="0"/>
        <w:jc w:val="left"/>
        <w:rPr>
          <w:rFonts w:ascii="Courier New"/>
          <w:sz w:val="18"/>
        </w:rPr>
      </w:pPr>
      <w:r>
        <w:rPr>
          <w:rFonts w:ascii="Courier New"/>
          <w:w w:val="85"/>
          <w:sz w:val="18"/>
        </w:rPr>
        <w:t>.</w:t>
      </w:r>
    </w:p>
    <w:p>
      <w:pPr>
        <w:spacing w:after="0"/>
        <w:jc w:val="left"/>
        <w:rPr>
          <w:rFonts w:ascii="Courier New"/>
          <w:sz w:val="18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5" w:right="518"/>
        <w:jc w:val="center"/>
      </w:pPr>
      <w:r>
        <w:rPr/>
        <w:t>TABLE</w:t>
      </w:r>
      <w:r>
        <w:rPr>
          <w:spacing w:val="-2"/>
        </w:rPr>
        <w:t> </w:t>
      </w:r>
      <w:r>
        <w:rPr/>
        <w:t>K5:</w:t>
      </w:r>
      <w:r>
        <w:rPr>
          <w:spacing w:val="1"/>
        </w:rPr>
        <w:t> </w:t>
      </w:r>
      <w:r>
        <w:rPr/>
        <w:t>BREUSCH</w:t>
      </w:r>
      <w:r>
        <w:rPr>
          <w:spacing w:val="-1"/>
        </w:rPr>
        <w:t> </w:t>
      </w:r>
      <w:r>
        <w:rPr/>
        <w:t>PAGAN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4"/>
        </w:rPr>
        <w:t> </w:t>
      </w:r>
      <w:r>
        <w:rPr/>
        <w:t>NGHPS</w:t>
      </w:r>
      <w:r>
        <w:rPr>
          <w:spacing w:val="-2"/>
        </w:rPr>
        <w:t> </w:t>
      </w:r>
      <w:r>
        <w:rPr/>
        <w:t>WAVES</w:t>
      </w:r>
    </w:p>
    <w:p>
      <w:pPr>
        <w:pStyle w:val="BodyText"/>
        <w:spacing w:before="5"/>
        <w:rPr>
          <w:sz w:val="10"/>
        </w:rPr>
      </w:pPr>
    </w:p>
    <w:p>
      <w:pPr>
        <w:spacing w:before="101"/>
        <w:ind w:left="172" w:right="0" w:firstLine="0"/>
        <w:jc w:val="left"/>
        <w:rPr>
          <w:rFonts w:ascii="Courier New"/>
          <w:sz w:val="13"/>
        </w:rPr>
      </w:pPr>
      <w:r>
        <w:rPr>
          <w:rFonts w:ascii="Courier New"/>
          <w:w w:val="150"/>
          <w:sz w:val="13"/>
        </w:rPr>
        <w:t>Breusch</w:t>
      </w:r>
      <w:r>
        <w:rPr>
          <w:rFonts w:ascii="Courier New"/>
          <w:spacing w:val="38"/>
          <w:w w:val="150"/>
          <w:sz w:val="13"/>
        </w:rPr>
        <w:t> </w:t>
      </w:r>
      <w:r>
        <w:rPr>
          <w:rFonts w:ascii="Courier New"/>
          <w:w w:val="150"/>
          <w:sz w:val="13"/>
        </w:rPr>
        <w:t>and</w:t>
      </w:r>
      <w:r>
        <w:rPr>
          <w:rFonts w:ascii="Courier New"/>
          <w:spacing w:val="39"/>
          <w:w w:val="150"/>
          <w:sz w:val="13"/>
        </w:rPr>
        <w:t> </w:t>
      </w:r>
      <w:r>
        <w:rPr>
          <w:rFonts w:ascii="Courier New"/>
          <w:w w:val="150"/>
          <w:sz w:val="13"/>
        </w:rPr>
        <w:t>Pagan</w:t>
      </w:r>
      <w:r>
        <w:rPr>
          <w:rFonts w:ascii="Courier New"/>
          <w:spacing w:val="39"/>
          <w:w w:val="150"/>
          <w:sz w:val="13"/>
        </w:rPr>
        <w:t> </w:t>
      </w:r>
      <w:r>
        <w:rPr>
          <w:rFonts w:ascii="Courier New"/>
          <w:w w:val="150"/>
          <w:sz w:val="13"/>
        </w:rPr>
        <w:t>Lagrangian</w:t>
      </w:r>
      <w:r>
        <w:rPr>
          <w:rFonts w:ascii="Courier New"/>
          <w:spacing w:val="39"/>
          <w:w w:val="150"/>
          <w:sz w:val="13"/>
        </w:rPr>
        <w:t> </w:t>
      </w:r>
      <w:r>
        <w:rPr>
          <w:rFonts w:ascii="Courier New"/>
          <w:w w:val="150"/>
          <w:sz w:val="13"/>
        </w:rPr>
        <w:t>multiplier</w:t>
      </w:r>
      <w:r>
        <w:rPr>
          <w:rFonts w:ascii="Courier New"/>
          <w:spacing w:val="39"/>
          <w:w w:val="150"/>
          <w:sz w:val="13"/>
        </w:rPr>
        <w:t> </w:t>
      </w:r>
      <w:r>
        <w:rPr>
          <w:rFonts w:ascii="Courier New"/>
          <w:w w:val="150"/>
          <w:sz w:val="13"/>
        </w:rPr>
        <w:t>test</w:t>
      </w:r>
      <w:r>
        <w:rPr>
          <w:rFonts w:ascii="Courier New"/>
          <w:spacing w:val="39"/>
          <w:w w:val="150"/>
          <w:sz w:val="13"/>
        </w:rPr>
        <w:t> </w:t>
      </w:r>
      <w:r>
        <w:rPr>
          <w:rFonts w:ascii="Courier New"/>
          <w:w w:val="150"/>
          <w:sz w:val="13"/>
        </w:rPr>
        <w:t>for</w:t>
      </w:r>
      <w:r>
        <w:rPr>
          <w:rFonts w:ascii="Courier New"/>
          <w:spacing w:val="39"/>
          <w:w w:val="150"/>
          <w:sz w:val="13"/>
        </w:rPr>
        <w:t> </w:t>
      </w:r>
      <w:r>
        <w:rPr>
          <w:rFonts w:ascii="Courier New"/>
          <w:w w:val="150"/>
          <w:sz w:val="13"/>
        </w:rPr>
        <w:t>random</w:t>
      </w:r>
      <w:r>
        <w:rPr>
          <w:rFonts w:ascii="Courier New"/>
          <w:spacing w:val="38"/>
          <w:w w:val="150"/>
          <w:sz w:val="13"/>
        </w:rPr>
        <w:t> </w:t>
      </w:r>
      <w:r>
        <w:rPr>
          <w:rFonts w:ascii="Courier New"/>
          <w:w w:val="150"/>
          <w:sz w:val="13"/>
        </w:rPr>
        <w:t>effects</w:t>
      </w:r>
    </w:p>
    <w:p>
      <w:pPr>
        <w:pStyle w:val="BodyText"/>
        <w:spacing w:before="9"/>
        <w:rPr>
          <w:rFonts w:ascii="Courier New"/>
          <w:sz w:val="11"/>
        </w:rPr>
      </w:pPr>
    </w:p>
    <w:p>
      <w:pPr>
        <w:spacing w:before="101"/>
        <w:ind w:left="243" w:right="377" w:firstLine="0"/>
        <w:jc w:val="center"/>
        <w:rPr>
          <w:rFonts w:ascii="Courier New"/>
          <w:sz w:val="13"/>
        </w:rPr>
      </w:pPr>
      <w:r>
        <w:rPr>
          <w:rFonts w:ascii="Courier New"/>
          <w:w w:val="150"/>
          <w:sz w:val="13"/>
        </w:rPr>
        <w:t>medicalcareconsultation[state,t]</w:t>
      </w:r>
      <w:r>
        <w:rPr>
          <w:rFonts w:ascii="Courier New"/>
          <w:spacing w:val="49"/>
          <w:w w:val="150"/>
          <w:sz w:val="13"/>
        </w:rPr>
        <w:t> </w:t>
      </w:r>
      <w:r>
        <w:rPr>
          <w:rFonts w:ascii="Courier New"/>
          <w:w w:val="150"/>
          <w:sz w:val="13"/>
        </w:rPr>
        <w:t>=</w:t>
      </w:r>
      <w:r>
        <w:rPr>
          <w:rFonts w:ascii="Courier New"/>
          <w:spacing w:val="49"/>
          <w:w w:val="150"/>
          <w:sz w:val="13"/>
        </w:rPr>
        <w:t> </w:t>
      </w:r>
      <w:r>
        <w:rPr>
          <w:rFonts w:ascii="Courier New"/>
          <w:w w:val="150"/>
          <w:sz w:val="13"/>
        </w:rPr>
        <w:t>Xb</w:t>
      </w:r>
      <w:r>
        <w:rPr>
          <w:rFonts w:ascii="Courier New"/>
          <w:spacing w:val="49"/>
          <w:w w:val="150"/>
          <w:sz w:val="13"/>
        </w:rPr>
        <w:t> </w:t>
      </w:r>
      <w:r>
        <w:rPr>
          <w:rFonts w:ascii="Courier New"/>
          <w:w w:val="150"/>
          <w:sz w:val="13"/>
        </w:rPr>
        <w:t>+</w:t>
      </w:r>
      <w:r>
        <w:rPr>
          <w:rFonts w:ascii="Courier New"/>
          <w:spacing w:val="49"/>
          <w:w w:val="150"/>
          <w:sz w:val="13"/>
        </w:rPr>
        <w:t> </w:t>
      </w:r>
      <w:r>
        <w:rPr>
          <w:rFonts w:ascii="Courier New"/>
          <w:w w:val="150"/>
          <w:sz w:val="13"/>
        </w:rPr>
        <w:t>u[state]</w:t>
      </w:r>
      <w:r>
        <w:rPr>
          <w:rFonts w:ascii="Courier New"/>
          <w:spacing w:val="49"/>
          <w:w w:val="150"/>
          <w:sz w:val="13"/>
        </w:rPr>
        <w:t> </w:t>
      </w:r>
      <w:r>
        <w:rPr>
          <w:rFonts w:ascii="Courier New"/>
          <w:w w:val="150"/>
          <w:sz w:val="13"/>
        </w:rPr>
        <w:t>+</w:t>
      </w:r>
      <w:r>
        <w:rPr>
          <w:rFonts w:ascii="Courier New"/>
          <w:spacing w:val="49"/>
          <w:w w:val="150"/>
          <w:sz w:val="13"/>
        </w:rPr>
        <w:t> </w:t>
      </w:r>
      <w:r>
        <w:rPr>
          <w:rFonts w:ascii="Courier New"/>
          <w:w w:val="150"/>
          <w:sz w:val="13"/>
        </w:rPr>
        <w:t>e[state,t]</w:t>
      </w:r>
    </w:p>
    <w:p>
      <w:pPr>
        <w:pStyle w:val="BodyText"/>
        <w:spacing w:before="8"/>
        <w:rPr>
          <w:rFonts w:ascii="Courier New"/>
          <w:sz w:val="11"/>
        </w:rPr>
      </w:pPr>
    </w:p>
    <w:p>
      <w:pPr>
        <w:spacing w:before="101" w:after="18"/>
        <w:ind w:left="1153" w:right="0" w:firstLine="0"/>
        <w:jc w:val="left"/>
        <w:rPr>
          <w:rFonts w:ascii="Courier New"/>
          <w:sz w:val="13"/>
        </w:rPr>
      </w:pPr>
      <w:r>
        <w:rPr>
          <w:rFonts w:ascii="Courier New"/>
          <w:w w:val="150"/>
          <w:sz w:val="13"/>
        </w:rPr>
        <w:t>Estimated</w:t>
      </w:r>
      <w:r>
        <w:rPr>
          <w:rFonts w:ascii="Courier New"/>
          <w:spacing w:val="66"/>
          <w:w w:val="150"/>
          <w:sz w:val="13"/>
        </w:rPr>
        <w:t> </w:t>
      </w:r>
      <w:r>
        <w:rPr>
          <w:rFonts w:ascii="Courier New"/>
          <w:w w:val="150"/>
          <w:sz w:val="13"/>
        </w:rPr>
        <w:t>results:</w:t>
      </w:r>
    </w:p>
    <w:p>
      <w:pPr>
        <w:pStyle w:val="BodyText"/>
        <w:ind w:left="2012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246pt;height:47.1pt;mso-position-horizontal-relative:char;mso-position-vertical-relative:line" coordorigin="0,0" coordsize="4920,942">
            <v:shape style="position:absolute;left:131;top:190;width:1332;height:752" coordorigin="131,190" coordsize="1332,752" path="m1288,763l1288,942m1288,572l1288,751m1288,381l1288,560m131,274l237,274m254,274l359,274m377,274l482,274m499,274l604,274m622,274l727,274m744,274l850,274m868,274l972,274m990,274l1095,274m1113,274l1217,274m1235,274l1341,274m1288,190l1288,369m1358,274l1463,274e" filled="false" stroked="true" strokeweight=".740991pt" strokecolor="#000000">
              <v:path arrowok="t"/>
              <v:stroke dashstyle="solid"/>
            </v:shape>
            <v:line style="position:absolute" from="1481,274" to="4897,274" stroked="true" strokeweight=".598502pt" strokecolor="#000000">
              <v:stroke dashstyle="shortdash"/>
            </v:line>
            <v:line style="position:absolute" from="1288,0" to="1288,179" stroked="true" strokeweight=".883481pt" strokecolor="#000000">
              <v:stroke dashstyle="solid"/>
            </v:line>
            <v:shape style="position:absolute;left:2208;top:16;width:382;height:14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50"/>
                        <w:sz w:val="13"/>
                      </w:rPr>
                      <w:t>Var</w:t>
                    </w:r>
                  </w:p>
                </w:txbxContent>
              </v:textbox>
              <w10:wrap type="none"/>
            </v:shape>
            <v:shape style="position:absolute;left:3189;top:16;width:1731;height:14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50"/>
                        <w:sz w:val="13"/>
                      </w:rPr>
                      <w:t>sd</w:t>
                    </w:r>
                    <w:r>
                      <w:rPr>
                        <w:rFonts w:ascii="Courier New"/>
                        <w:spacing w:val="31"/>
                        <w:w w:val="150"/>
                        <w:sz w:val="13"/>
                      </w:rPr>
                      <w:t> </w:t>
                    </w:r>
                    <w:r>
                      <w:rPr>
                        <w:rFonts w:ascii="Courier New"/>
                        <w:w w:val="150"/>
                        <w:sz w:val="13"/>
                      </w:rPr>
                      <w:t>=</w:t>
                    </w:r>
                    <w:r>
                      <w:rPr>
                        <w:rFonts w:ascii="Courier New"/>
                        <w:spacing w:val="32"/>
                        <w:w w:val="150"/>
                        <w:sz w:val="13"/>
                      </w:rPr>
                      <w:t> </w:t>
                    </w:r>
                    <w:r>
                      <w:rPr>
                        <w:rFonts w:ascii="Courier New"/>
                        <w:w w:val="150"/>
                        <w:sz w:val="13"/>
                      </w:rPr>
                      <w:t>sqrt(Var)</w:t>
                    </w:r>
                  </w:p>
                </w:txbxContent>
              </v:textbox>
              <w10:wrap type="none"/>
            </v:shape>
            <v:shape style="position:absolute;left:0;top:397;width:1118;height:530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45"/>
                        <w:sz w:val="13"/>
                      </w:rPr>
                      <w:t>medical~n</w:t>
                    </w:r>
                  </w:p>
                  <w:p>
                    <w:pPr>
                      <w:spacing w:line="190" w:lineRule="atLeast" w:before="1"/>
                      <w:ind w:left="885" w:right="18" w:firstLine="0"/>
                      <w:jc w:val="righ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50"/>
                        <w:sz w:val="13"/>
                      </w:rPr>
                      <w:t>e</w:t>
                    </w:r>
                    <w:r>
                      <w:rPr>
                        <w:rFonts w:ascii="Courier New"/>
                        <w:w w:val="148"/>
                        <w:sz w:val="13"/>
                      </w:rPr>
                      <w:t> </w:t>
                    </w:r>
                    <w:r>
                      <w:rPr>
                        <w:rFonts w:ascii="Courier New"/>
                        <w:w w:val="150"/>
                        <w:sz w:val="13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1717;top:397;width:995;height:53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50"/>
                        <w:sz w:val="13"/>
                      </w:rPr>
                      <w:t>.2201604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50"/>
                        <w:sz w:val="13"/>
                      </w:rPr>
                      <w:t>.0675526</w:t>
                    </w:r>
                  </w:p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50"/>
                        <w:sz w:val="13"/>
                      </w:rPr>
                      <w:t>.0005247</w:t>
                    </w:r>
                  </w:p>
                </w:txbxContent>
              </v:textbox>
              <w10:wrap type="none"/>
            </v:shape>
            <v:shape style="position:absolute;left:3557;top:397;width:995;height:530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45"/>
                        <w:sz w:val="13"/>
                      </w:rPr>
                      <w:t>.4692125</w:t>
                    </w:r>
                  </w:p>
                  <w:p>
                    <w:pPr>
                      <w:spacing w:before="44"/>
                      <w:ind w:left="0" w:right="18" w:firstLine="0"/>
                      <w:jc w:val="righ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45"/>
                        <w:sz w:val="13"/>
                      </w:rPr>
                      <w:t>.2599088</w:t>
                    </w:r>
                  </w:p>
                  <w:p>
                    <w:pPr>
                      <w:spacing w:before="43"/>
                      <w:ind w:left="0" w:right="18" w:firstLine="0"/>
                      <w:jc w:val="righ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50"/>
                        <w:sz w:val="13"/>
                      </w:rPr>
                      <w:t>.022907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spacing w:before="1"/>
        <w:rPr>
          <w:rFonts w:ascii="Courier New"/>
          <w:sz w:val="8"/>
        </w:rPr>
      </w:pPr>
    </w:p>
    <w:p>
      <w:pPr>
        <w:spacing w:after="0"/>
        <w:rPr>
          <w:rFonts w:ascii="Courier New"/>
          <w:sz w:val="8"/>
        </w:rPr>
        <w:sectPr>
          <w:pgSz w:w="12240" w:h="15840"/>
          <w:pgMar w:header="0" w:footer="935" w:top="1360" w:bottom="1200" w:left="1320" w:right="1000"/>
        </w:sectPr>
      </w:pPr>
    </w:p>
    <w:p>
      <w:pPr>
        <w:tabs>
          <w:tab w:pos="2134" w:val="left" w:leader="none"/>
        </w:tabs>
        <w:spacing w:before="101"/>
        <w:ind w:left="1153" w:right="0" w:firstLine="0"/>
        <w:jc w:val="left"/>
        <w:rPr>
          <w:rFonts w:ascii="Courier New"/>
          <w:sz w:val="13"/>
        </w:rPr>
      </w:pPr>
      <w:r>
        <w:rPr>
          <w:rFonts w:ascii="Courier New"/>
          <w:w w:val="150"/>
          <w:sz w:val="13"/>
        </w:rPr>
        <w:t>Test:</w:t>
        <w:tab/>
        <w:t>Var(u)</w:t>
      </w:r>
      <w:r>
        <w:rPr>
          <w:rFonts w:ascii="Courier New"/>
          <w:spacing w:val="15"/>
          <w:w w:val="150"/>
          <w:sz w:val="13"/>
        </w:rPr>
        <w:t> </w:t>
      </w:r>
      <w:r>
        <w:rPr>
          <w:rFonts w:ascii="Courier New"/>
          <w:w w:val="150"/>
          <w:sz w:val="13"/>
        </w:rPr>
        <w:t>=</w:t>
      </w:r>
      <w:r>
        <w:rPr>
          <w:rFonts w:ascii="Courier New"/>
          <w:spacing w:val="15"/>
          <w:w w:val="150"/>
          <w:sz w:val="13"/>
        </w:rPr>
        <w:t> </w:t>
      </w:r>
      <w:r>
        <w:rPr>
          <w:rFonts w:ascii="Courier New"/>
          <w:w w:val="150"/>
          <w:sz w:val="13"/>
        </w:rPr>
        <w:t>0</w:t>
      </w:r>
    </w:p>
    <w:p>
      <w:pPr>
        <w:pStyle w:val="BodyTex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pStyle w:val="BodyText"/>
        <w:spacing w:before="8"/>
        <w:rPr>
          <w:rFonts w:ascii="Courier New"/>
          <w:sz w:val="11"/>
        </w:rPr>
      </w:pPr>
    </w:p>
    <w:p>
      <w:pPr>
        <w:tabs>
          <w:tab w:pos="2297" w:val="left" w:leader="none"/>
        </w:tabs>
        <w:spacing w:line="309" w:lineRule="auto" w:before="0"/>
        <w:ind w:left="-34" w:right="3496" w:firstLine="368"/>
        <w:jc w:val="left"/>
        <w:rPr>
          <w:rFonts w:ascii="Courier New"/>
          <w:sz w:val="13"/>
        </w:rPr>
      </w:pPr>
      <w:r>
        <w:rPr>
          <w:rFonts w:ascii="Courier New"/>
          <w:w w:val="150"/>
          <w:sz w:val="13"/>
        </w:rPr>
        <w:t>chibar2(01)</w:t>
      </w:r>
      <w:r>
        <w:rPr>
          <w:rFonts w:ascii="Courier New"/>
          <w:spacing w:val="51"/>
          <w:w w:val="150"/>
          <w:sz w:val="13"/>
        </w:rPr>
        <w:t> </w:t>
      </w:r>
      <w:r>
        <w:rPr>
          <w:rFonts w:ascii="Courier New"/>
          <w:w w:val="150"/>
          <w:sz w:val="13"/>
        </w:rPr>
        <w:t>=</w:t>
      </w:r>
      <w:r>
        <w:rPr>
          <w:rFonts w:ascii="Courier New"/>
          <w:spacing w:val="52"/>
          <w:w w:val="150"/>
          <w:sz w:val="13"/>
        </w:rPr>
        <w:t> </w:t>
      </w:r>
      <w:r>
        <w:rPr>
          <w:rFonts w:ascii="Courier New"/>
          <w:w w:val="150"/>
          <w:sz w:val="13"/>
        </w:rPr>
        <w:t>32591.73</w:t>
      </w:r>
      <w:r>
        <w:rPr>
          <w:rFonts w:ascii="Courier New"/>
          <w:spacing w:val="-114"/>
          <w:w w:val="150"/>
          <w:sz w:val="13"/>
        </w:rPr>
        <w:t> </w:t>
      </w:r>
      <w:r>
        <w:rPr>
          <w:rFonts w:ascii="Courier New"/>
          <w:w w:val="150"/>
          <w:sz w:val="13"/>
        </w:rPr>
        <w:t>Prob</w:t>
      </w:r>
      <w:r>
        <w:rPr>
          <w:rFonts w:ascii="Courier New"/>
          <w:spacing w:val="23"/>
          <w:w w:val="150"/>
          <w:sz w:val="13"/>
        </w:rPr>
        <w:t> </w:t>
      </w:r>
      <w:r>
        <w:rPr>
          <w:rFonts w:ascii="Courier New"/>
          <w:w w:val="150"/>
          <w:sz w:val="13"/>
        </w:rPr>
        <w:t>&gt;</w:t>
      </w:r>
      <w:r>
        <w:rPr>
          <w:rFonts w:ascii="Courier New"/>
          <w:spacing w:val="24"/>
          <w:w w:val="150"/>
          <w:sz w:val="13"/>
        </w:rPr>
        <w:t> </w:t>
      </w:r>
      <w:r>
        <w:rPr>
          <w:rFonts w:ascii="Courier New"/>
          <w:w w:val="150"/>
          <w:sz w:val="13"/>
        </w:rPr>
        <w:t>chibar2</w:t>
      </w:r>
      <w:r>
        <w:rPr>
          <w:rFonts w:ascii="Courier New"/>
          <w:spacing w:val="23"/>
          <w:w w:val="150"/>
          <w:sz w:val="13"/>
        </w:rPr>
        <w:t> </w:t>
      </w:r>
      <w:r>
        <w:rPr>
          <w:rFonts w:ascii="Courier New"/>
          <w:w w:val="150"/>
          <w:sz w:val="13"/>
        </w:rPr>
        <w:t>=</w:t>
        <w:tab/>
        <w:t>0.0000</w:t>
      </w:r>
    </w:p>
    <w:p>
      <w:pPr>
        <w:spacing w:after="0" w:line="309" w:lineRule="auto"/>
        <w:jc w:val="left"/>
        <w:rPr>
          <w:rFonts w:ascii="Courier New"/>
          <w:sz w:val="13"/>
        </w:rPr>
        <w:sectPr>
          <w:type w:val="continuous"/>
          <w:pgSz w:w="12240" w:h="15840"/>
          <w:pgMar w:top="1380" w:bottom="280" w:left="1320" w:right="1000"/>
          <w:cols w:num="2" w:equalWidth="0">
            <w:col w:w="3355" w:space="40"/>
            <w:col w:w="6525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26"/>
        </w:rPr>
      </w:pPr>
    </w:p>
    <w:p>
      <w:pPr>
        <w:pStyle w:val="BodyText"/>
        <w:spacing w:before="90"/>
        <w:ind w:left="197" w:right="517"/>
        <w:jc w:val="center"/>
      </w:pPr>
      <w:r>
        <w:rPr/>
        <w:t>TABLE</w:t>
      </w:r>
      <w:r>
        <w:rPr>
          <w:spacing w:val="-1"/>
        </w:rPr>
        <w:t> </w:t>
      </w:r>
      <w:r>
        <w:rPr/>
        <w:t>K6: HAUSMAN</w:t>
      </w:r>
      <w:r>
        <w:rPr>
          <w:spacing w:val="-1"/>
        </w:rPr>
        <w:t> </w:t>
      </w:r>
      <w:r>
        <w:rPr/>
        <w:t>TEST FOR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/>
        <w:t>NGHPS</w:t>
      </w:r>
      <w:r>
        <w:rPr>
          <w:spacing w:val="-1"/>
        </w:rPr>
        <w:t> </w:t>
      </w:r>
      <w:r>
        <w:rPr/>
        <w:t>WAVES</w:t>
      </w:r>
    </w:p>
    <w:p>
      <w:pPr>
        <w:pStyle w:val="BodyText"/>
        <w:rPr>
          <w:sz w:val="16"/>
        </w:rPr>
      </w:pPr>
    </w:p>
    <w:p>
      <w:pPr>
        <w:spacing w:before="101" w:after="35"/>
        <w:ind w:left="2319" w:right="0" w:firstLine="0"/>
        <w:jc w:val="left"/>
        <w:rPr>
          <w:rFonts w:ascii="Courier New"/>
          <w:sz w:val="17"/>
        </w:rPr>
      </w:pPr>
      <w:r>
        <w:rPr/>
        <w:pict>
          <v:shape style="position:absolute;margin-left:157.798279pt;margin-top:9.396724pt;width:18.95pt;height:.1pt;mso-position-horizontal-relative:page;mso-position-vertical-relative:paragraph;z-index:15796224" coordorigin="3156,188" coordsize="379,0" path="m3156,188l3240,188m3254,188l3338,188m3352,188l3436,188m3450,188l3534,188e" filled="false" stroked="true" strokeweight=".7447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46.031982pt;margin-top:9.396724pt;width:18.95pt;height:.1pt;mso-position-horizontal-relative:page;mso-position-vertical-relative:paragraph;z-index:15796736" coordorigin="4921,188" coordsize="379,0" path="m4921,188l5005,188m5019,188l5103,188m5117,188l5201,188m5215,188l5299,188e" filled="false" stroked="true" strokeweight=".744725pt" strokecolor="#000000">
            <v:path arrowok="t"/>
            <v:stroke dashstyle="solid"/>
            <w10:wrap type="none"/>
          </v:shape>
        </w:pict>
      </w:r>
      <w:r>
        <w:rPr>
          <w:rFonts w:ascii="Courier New"/>
          <w:sz w:val="17"/>
        </w:rPr>
        <w:t>Coefficients</w:t>
      </w:r>
    </w:p>
    <w:tbl>
      <w:tblPr>
        <w:tblW w:w="0" w:type="auto"/>
        <w:jc w:val="left"/>
        <w:tblInd w:w="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7"/>
        <w:gridCol w:w="1419"/>
        <w:gridCol w:w="1373"/>
        <w:gridCol w:w="1422"/>
        <w:gridCol w:w="2104"/>
      </w:tblGrid>
      <w:tr>
        <w:trPr>
          <w:trHeight w:val="596" w:hRule="atLeast"/>
        </w:trPr>
        <w:tc>
          <w:tcPr>
            <w:tcW w:w="1317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92" w:type="dxa"/>
            <w:gridSpan w:val="2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tabs>
                <w:tab w:pos="1912" w:val="left" w:leader="none"/>
              </w:tabs>
              <w:spacing w:before="22"/>
              <w:ind w:left="637"/>
              <w:jc w:val="left"/>
              <w:rPr>
                <w:sz w:val="17"/>
              </w:rPr>
            </w:pPr>
            <w:r>
              <w:rPr>
                <w:sz w:val="17"/>
              </w:rPr>
              <w:t>(b)</w:t>
              <w:tab/>
              <w:t>(B)</w:t>
            </w:r>
          </w:p>
          <w:p>
            <w:pPr>
              <w:pStyle w:val="TableParagraph"/>
              <w:tabs>
                <w:tab w:pos="2010" w:val="left" w:leader="none"/>
              </w:tabs>
              <w:spacing w:before="56"/>
              <w:ind w:left="735"/>
              <w:jc w:val="left"/>
              <w:rPr>
                <w:sz w:val="17"/>
              </w:rPr>
            </w:pPr>
            <w:r>
              <w:rPr>
                <w:sz w:val="17"/>
              </w:rPr>
              <w:t>fe</w:t>
              <w:tab/>
              <w:t>re</w:t>
            </w:r>
          </w:p>
        </w:tc>
        <w:tc>
          <w:tcPr>
            <w:tcW w:w="142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2"/>
              <w:ind w:left="261" w:right="1"/>
              <w:jc w:val="center"/>
              <w:rPr>
                <w:sz w:val="17"/>
              </w:rPr>
            </w:pPr>
            <w:r>
              <w:rPr>
                <w:sz w:val="17"/>
              </w:rPr>
              <w:t>(b-B)</w:t>
            </w:r>
          </w:p>
          <w:p>
            <w:pPr>
              <w:pStyle w:val="TableParagraph"/>
              <w:spacing w:before="56"/>
              <w:ind w:left="261" w:right="99"/>
              <w:jc w:val="center"/>
              <w:rPr>
                <w:sz w:val="17"/>
              </w:rPr>
            </w:pPr>
            <w:r>
              <w:rPr>
                <w:sz w:val="17"/>
              </w:rPr>
              <w:t>Difference</w:t>
            </w:r>
          </w:p>
        </w:tc>
        <w:tc>
          <w:tcPr>
            <w:tcW w:w="2104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line="309" w:lineRule="auto" w:before="22"/>
              <w:ind w:left="843" w:hanging="687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sqrt(diag(V_b-V_B))</w:t>
            </w:r>
            <w:r>
              <w:rPr>
                <w:spacing w:val="1"/>
                <w:w w:val="90"/>
                <w:sz w:val="17"/>
              </w:rPr>
              <w:t> </w:t>
            </w:r>
            <w:r>
              <w:rPr>
                <w:sz w:val="17"/>
              </w:rPr>
              <w:t>S.E.</w:t>
            </w:r>
          </w:p>
        </w:tc>
      </w:tr>
      <w:tr>
        <w:trPr>
          <w:trHeight w:val="372" w:hRule="atLeast"/>
        </w:trPr>
        <w:tc>
          <w:tcPr>
            <w:tcW w:w="1317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52"/>
              <w:ind w:right="135"/>
              <w:rPr>
                <w:sz w:val="17"/>
              </w:rPr>
            </w:pPr>
            <w:r>
              <w:rPr>
                <w:sz w:val="17"/>
              </w:rPr>
              <w:t>familysize</w:t>
            </w:r>
          </w:p>
        </w:tc>
        <w:tc>
          <w:tcPr>
            <w:tcW w:w="1419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52"/>
              <w:ind w:right="190"/>
              <w:rPr>
                <w:sz w:val="17"/>
              </w:rPr>
            </w:pPr>
            <w:r>
              <w:rPr>
                <w:sz w:val="17"/>
              </w:rPr>
              <w:t>-.0783541</w:t>
            </w:r>
          </w:p>
        </w:tc>
        <w:tc>
          <w:tcPr>
            <w:tcW w:w="1373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2"/>
              <w:ind w:right="287"/>
              <w:rPr>
                <w:sz w:val="17"/>
              </w:rPr>
            </w:pPr>
            <w:r>
              <w:rPr>
                <w:sz w:val="17"/>
              </w:rPr>
              <w:t>-.077649</w:t>
            </w:r>
          </w:p>
        </w:tc>
        <w:tc>
          <w:tcPr>
            <w:tcW w:w="1422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2"/>
              <w:ind w:right="140"/>
              <w:rPr>
                <w:sz w:val="17"/>
              </w:rPr>
            </w:pPr>
            <w:r>
              <w:rPr>
                <w:sz w:val="17"/>
              </w:rPr>
              <w:t>-.0007051</w:t>
            </w:r>
          </w:p>
        </w:tc>
        <w:tc>
          <w:tcPr>
            <w:tcW w:w="2104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2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w w:val="95"/>
                <w:sz w:val="17"/>
              </w:rPr>
              <w:t>noeducation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-.0082333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-.0079665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-.0002668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w w:val="90"/>
                <w:sz w:val="17"/>
              </w:rPr>
              <w:t>primaryedu~n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.1249219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.1261304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-.0012084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9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w w:val="90"/>
                <w:sz w:val="17"/>
              </w:rPr>
              <w:t>secondarye~n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.1090681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.1092829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-.0002148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9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w w:val="90"/>
                <w:sz w:val="17"/>
              </w:rPr>
              <w:t>highereduc~n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.0839563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.0854645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-.0015083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sz w:val="17"/>
              </w:rPr>
              <w:t>.0001478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-.025554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-.0271041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.0015501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sz w:val="17"/>
              </w:rPr>
              <w:t>.000583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.0123751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.0129402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-.0005651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9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sz w:val="17"/>
              </w:rPr>
              <w:t>married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.0216141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.0216713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-.0000571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w w:val="90"/>
                <w:sz w:val="17"/>
              </w:rPr>
              <w:t>nevermarried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.0055644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.0062034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-.000639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w w:val="90"/>
                <w:sz w:val="17"/>
              </w:rPr>
              <w:t>singlepare~s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-.0193074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-.0188553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-.0004521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9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sz w:val="17"/>
              </w:rPr>
              <w:t>widowed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-.003121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-.0033321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.0002111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sz w:val="17"/>
              </w:rPr>
              <w:t>.000023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.0136999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.0132782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.0004216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-.2355666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-.2347379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-.0008287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w w:val="90"/>
                <w:sz w:val="17"/>
              </w:rPr>
              <w:t>wagesandsa~s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.0706887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.0710683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-.0003796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w w:val="90"/>
                <w:sz w:val="17"/>
              </w:rPr>
              <w:t>businessen~s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.0018788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.0019497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-.0000709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w w:val="90"/>
                <w:sz w:val="17"/>
              </w:rPr>
              <w:t>cropandliv~s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.1817898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.1846501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-.0028603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w w:val="95"/>
                <w:sz w:val="17"/>
              </w:rPr>
              <w:t>remittances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.0291739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.0303744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-.0012005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sz w:val="17"/>
              </w:rPr>
              <w:t>.0000631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sz w:val="17"/>
              </w:rPr>
              <w:t>pensions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.0276799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.0282074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-.0005274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w w:val="90"/>
                <w:sz w:val="17"/>
              </w:rPr>
              <w:t>dividendfr~n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-.1164792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-.1230948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.0066156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sz w:val="17"/>
              </w:rPr>
              <w:t>.0005164</w:t>
            </w:r>
          </w:p>
        </w:tc>
      </w:tr>
      <w:tr>
        <w:trPr>
          <w:trHeight w:val="248" w:hRule="atLeast"/>
        </w:trPr>
        <w:tc>
          <w:tcPr>
            <w:tcW w:w="1317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w w:val="90"/>
                <w:sz w:val="17"/>
              </w:rPr>
              <w:t>incomefrom~s</w:t>
            </w:r>
          </w:p>
        </w:tc>
        <w:tc>
          <w:tcPr>
            <w:tcW w:w="1419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.0372361</w:t>
            </w:r>
          </w:p>
        </w:tc>
        <w:tc>
          <w:tcPr>
            <w:tcW w:w="1373" w:type="dxa"/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.0387115</w:t>
            </w:r>
          </w:p>
        </w:tc>
        <w:tc>
          <w:tcPr>
            <w:tcW w:w="1422" w:type="dxa"/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-.0014753</w:t>
            </w:r>
          </w:p>
        </w:tc>
        <w:tc>
          <w:tcPr>
            <w:tcW w:w="2104" w:type="dxa"/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sz w:val="17"/>
              </w:rPr>
              <w:t>.0000785</w:t>
            </w:r>
          </w:p>
        </w:tc>
      </w:tr>
      <w:tr>
        <w:trPr>
          <w:trHeight w:val="354" w:hRule="atLeast"/>
        </w:trPr>
        <w:tc>
          <w:tcPr>
            <w:tcW w:w="1317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28"/>
              <w:ind w:right="135"/>
              <w:rPr>
                <w:sz w:val="17"/>
              </w:rPr>
            </w:pPr>
            <w:r>
              <w:rPr>
                <w:w w:val="90"/>
                <w:sz w:val="17"/>
              </w:rPr>
              <w:t>ginicoeffi~t</w:t>
            </w:r>
          </w:p>
        </w:tc>
        <w:tc>
          <w:tcPr>
            <w:tcW w:w="1419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8"/>
              <w:ind w:right="190"/>
              <w:rPr>
                <w:sz w:val="17"/>
              </w:rPr>
            </w:pPr>
            <w:r>
              <w:rPr>
                <w:sz w:val="17"/>
              </w:rPr>
              <w:t>-.0030742</w:t>
            </w:r>
          </w:p>
        </w:tc>
        <w:tc>
          <w:tcPr>
            <w:tcW w:w="1373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8"/>
              <w:ind w:right="287"/>
              <w:rPr>
                <w:sz w:val="17"/>
              </w:rPr>
            </w:pPr>
            <w:r>
              <w:rPr>
                <w:sz w:val="17"/>
              </w:rPr>
              <w:t>-.0030785</w:t>
            </w:r>
          </w:p>
        </w:tc>
        <w:tc>
          <w:tcPr>
            <w:tcW w:w="142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8"/>
              <w:ind w:right="140"/>
              <w:rPr>
                <w:sz w:val="17"/>
              </w:rPr>
            </w:pPr>
            <w:r>
              <w:rPr>
                <w:sz w:val="17"/>
              </w:rPr>
              <w:t>4.24e-06</w:t>
            </w:r>
          </w:p>
        </w:tc>
        <w:tc>
          <w:tcPr>
            <w:tcW w:w="2104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8"/>
              <w:ind w:right="675"/>
              <w:rPr>
                <w:sz w:val="17"/>
              </w:rPr>
            </w:pPr>
            <w:r>
              <w:rPr>
                <w:w w:val="90"/>
                <w:sz w:val="17"/>
              </w:rPr>
              <w:t>.</w:t>
            </w:r>
          </w:p>
        </w:tc>
      </w:tr>
    </w:tbl>
    <w:p>
      <w:pPr>
        <w:spacing w:line="309" w:lineRule="auto" w:before="154"/>
        <w:ind w:left="1338" w:right="2112" w:firstLine="1470"/>
        <w:jc w:val="left"/>
        <w:rPr>
          <w:rFonts w:ascii="Courier New"/>
          <w:sz w:val="17"/>
        </w:rPr>
      </w:pPr>
      <w:r>
        <w:rPr>
          <w:rFonts w:ascii="Courier New"/>
          <w:w w:val="95"/>
          <w:sz w:val="17"/>
        </w:rPr>
        <w:t>b</w:t>
      </w:r>
      <w:r>
        <w:rPr>
          <w:rFonts w:ascii="Courier New"/>
          <w:spacing w:val="4"/>
          <w:w w:val="95"/>
          <w:sz w:val="17"/>
        </w:rPr>
        <w:t> </w:t>
      </w:r>
      <w:r>
        <w:rPr>
          <w:rFonts w:ascii="Courier New"/>
          <w:w w:val="95"/>
          <w:sz w:val="17"/>
        </w:rPr>
        <w:t>=</w:t>
      </w:r>
      <w:r>
        <w:rPr>
          <w:rFonts w:ascii="Courier New"/>
          <w:spacing w:val="4"/>
          <w:w w:val="95"/>
          <w:sz w:val="17"/>
        </w:rPr>
        <w:t> </w:t>
      </w:r>
      <w:r>
        <w:rPr>
          <w:rFonts w:ascii="Courier New"/>
          <w:w w:val="95"/>
          <w:sz w:val="17"/>
        </w:rPr>
        <w:t>consistent</w:t>
      </w:r>
      <w:r>
        <w:rPr>
          <w:rFonts w:ascii="Courier New"/>
          <w:spacing w:val="4"/>
          <w:w w:val="95"/>
          <w:sz w:val="17"/>
        </w:rPr>
        <w:t> </w:t>
      </w:r>
      <w:r>
        <w:rPr>
          <w:rFonts w:ascii="Courier New"/>
          <w:w w:val="95"/>
          <w:sz w:val="17"/>
        </w:rPr>
        <w:t>under</w:t>
      </w:r>
      <w:r>
        <w:rPr>
          <w:rFonts w:ascii="Courier New"/>
          <w:spacing w:val="4"/>
          <w:w w:val="95"/>
          <w:sz w:val="17"/>
        </w:rPr>
        <w:t> </w:t>
      </w:r>
      <w:r>
        <w:rPr>
          <w:rFonts w:ascii="Courier New"/>
          <w:w w:val="95"/>
          <w:sz w:val="17"/>
        </w:rPr>
        <w:t>Ho</w:t>
      </w:r>
      <w:r>
        <w:rPr>
          <w:rFonts w:ascii="Courier New"/>
          <w:spacing w:val="5"/>
          <w:w w:val="95"/>
          <w:sz w:val="17"/>
        </w:rPr>
        <w:t> </w:t>
      </w:r>
      <w:r>
        <w:rPr>
          <w:rFonts w:ascii="Courier New"/>
          <w:w w:val="95"/>
          <w:sz w:val="17"/>
        </w:rPr>
        <w:t>and</w:t>
      </w:r>
      <w:r>
        <w:rPr>
          <w:rFonts w:ascii="Courier New"/>
          <w:spacing w:val="4"/>
          <w:w w:val="95"/>
          <w:sz w:val="17"/>
        </w:rPr>
        <w:t> </w:t>
      </w:r>
      <w:r>
        <w:rPr>
          <w:rFonts w:ascii="Courier New"/>
          <w:w w:val="95"/>
          <w:sz w:val="17"/>
        </w:rPr>
        <w:t>Ha;</w:t>
      </w:r>
      <w:r>
        <w:rPr>
          <w:rFonts w:ascii="Courier New"/>
          <w:spacing w:val="4"/>
          <w:w w:val="95"/>
          <w:sz w:val="17"/>
        </w:rPr>
        <w:t> </w:t>
      </w:r>
      <w:r>
        <w:rPr>
          <w:rFonts w:ascii="Courier New"/>
          <w:w w:val="95"/>
          <w:sz w:val="17"/>
        </w:rPr>
        <w:t>obtained</w:t>
      </w:r>
      <w:r>
        <w:rPr>
          <w:rFonts w:ascii="Courier New"/>
          <w:spacing w:val="4"/>
          <w:w w:val="95"/>
          <w:sz w:val="17"/>
        </w:rPr>
        <w:t> </w:t>
      </w:r>
      <w:r>
        <w:rPr>
          <w:rFonts w:ascii="Courier New"/>
          <w:w w:val="95"/>
          <w:sz w:val="17"/>
        </w:rPr>
        <w:t>from</w:t>
      </w:r>
      <w:r>
        <w:rPr>
          <w:rFonts w:ascii="Courier New"/>
          <w:spacing w:val="4"/>
          <w:w w:val="95"/>
          <w:sz w:val="17"/>
        </w:rPr>
        <w:t> </w:t>
      </w:r>
      <w:r>
        <w:rPr>
          <w:rFonts w:ascii="Courier New"/>
          <w:w w:val="95"/>
          <w:sz w:val="17"/>
        </w:rPr>
        <w:t>xtreg</w:t>
      </w:r>
      <w:r>
        <w:rPr>
          <w:rFonts w:ascii="Courier New"/>
          <w:spacing w:val="-94"/>
          <w:w w:val="95"/>
          <w:sz w:val="17"/>
        </w:rPr>
        <w:t> </w:t>
      </w:r>
      <w:r>
        <w:rPr>
          <w:rFonts w:ascii="Courier New"/>
          <w:w w:val="95"/>
          <w:sz w:val="17"/>
        </w:rPr>
        <w:t>B</w:t>
      </w:r>
      <w:r>
        <w:rPr>
          <w:rFonts w:ascii="Courier New"/>
          <w:spacing w:val="4"/>
          <w:w w:val="95"/>
          <w:sz w:val="17"/>
        </w:rPr>
        <w:t> </w:t>
      </w:r>
      <w:r>
        <w:rPr>
          <w:rFonts w:ascii="Courier New"/>
          <w:w w:val="95"/>
          <w:sz w:val="17"/>
        </w:rPr>
        <w:t>=</w:t>
      </w:r>
      <w:r>
        <w:rPr>
          <w:rFonts w:ascii="Courier New"/>
          <w:spacing w:val="5"/>
          <w:w w:val="95"/>
          <w:sz w:val="17"/>
        </w:rPr>
        <w:t> </w:t>
      </w:r>
      <w:r>
        <w:rPr>
          <w:rFonts w:ascii="Courier New"/>
          <w:w w:val="95"/>
          <w:sz w:val="17"/>
        </w:rPr>
        <w:t>inconsistent</w:t>
      </w:r>
      <w:r>
        <w:rPr>
          <w:rFonts w:ascii="Courier New"/>
          <w:spacing w:val="5"/>
          <w:w w:val="95"/>
          <w:sz w:val="17"/>
        </w:rPr>
        <w:t> </w:t>
      </w:r>
      <w:r>
        <w:rPr>
          <w:rFonts w:ascii="Courier New"/>
          <w:w w:val="95"/>
          <w:sz w:val="17"/>
        </w:rPr>
        <w:t>under</w:t>
      </w:r>
      <w:r>
        <w:rPr>
          <w:rFonts w:ascii="Courier New"/>
          <w:spacing w:val="5"/>
          <w:w w:val="95"/>
          <w:sz w:val="17"/>
        </w:rPr>
        <w:t> </w:t>
      </w:r>
      <w:r>
        <w:rPr>
          <w:rFonts w:ascii="Courier New"/>
          <w:w w:val="95"/>
          <w:sz w:val="17"/>
        </w:rPr>
        <w:t>Ha,</w:t>
      </w:r>
      <w:r>
        <w:rPr>
          <w:rFonts w:ascii="Courier New"/>
          <w:spacing w:val="5"/>
          <w:w w:val="95"/>
          <w:sz w:val="17"/>
        </w:rPr>
        <w:t> </w:t>
      </w:r>
      <w:r>
        <w:rPr>
          <w:rFonts w:ascii="Courier New"/>
          <w:w w:val="95"/>
          <w:sz w:val="17"/>
        </w:rPr>
        <w:t>efficient</w:t>
      </w:r>
      <w:r>
        <w:rPr>
          <w:rFonts w:ascii="Courier New"/>
          <w:spacing w:val="5"/>
          <w:w w:val="95"/>
          <w:sz w:val="17"/>
        </w:rPr>
        <w:t> </w:t>
      </w:r>
      <w:r>
        <w:rPr>
          <w:rFonts w:ascii="Courier New"/>
          <w:w w:val="95"/>
          <w:sz w:val="17"/>
        </w:rPr>
        <w:t>under</w:t>
      </w:r>
      <w:r>
        <w:rPr>
          <w:rFonts w:ascii="Courier New"/>
          <w:spacing w:val="5"/>
          <w:w w:val="95"/>
          <w:sz w:val="17"/>
        </w:rPr>
        <w:t> </w:t>
      </w:r>
      <w:r>
        <w:rPr>
          <w:rFonts w:ascii="Courier New"/>
          <w:w w:val="95"/>
          <w:sz w:val="17"/>
        </w:rPr>
        <w:t>Ho;</w:t>
      </w:r>
      <w:r>
        <w:rPr>
          <w:rFonts w:ascii="Courier New"/>
          <w:spacing w:val="5"/>
          <w:w w:val="95"/>
          <w:sz w:val="17"/>
        </w:rPr>
        <w:t> </w:t>
      </w:r>
      <w:r>
        <w:rPr>
          <w:rFonts w:ascii="Courier New"/>
          <w:w w:val="95"/>
          <w:sz w:val="17"/>
        </w:rPr>
        <w:t>obtained</w:t>
      </w:r>
      <w:r>
        <w:rPr>
          <w:rFonts w:ascii="Courier New"/>
          <w:spacing w:val="5"/>
          <w:w w:val="95"/>
          <w:sz w:val="17"/>
        </w:rPr>
        <w:t> </w:t>
      </w:r>
      <w:r>
        <w:rPr>
          <w:rFonts w:ascii="Courier New"/>
          <w:w w:val="95"/>
          <w:sz w:val="17"/>
        </w:rPr>
        <w:t>from</w:t>
      </w:r>
      <w:r>
        <w:rPr>
          <w:rFonts w:ascii="Courier New"/>
          <w:spacing w:val="5"/>
          <w:w w:val="95"/>
          <w:sz w:val="17"/>
        </w:rPr>
        <w:t> </w:t>
      </w:r>
      <w:r>
        <w:rPr>
          <w:rFonts w:ascii="Courier New"/>
          <w:w w:val="95"/>
          <w:sz w:val="17"/>
        </w:rPr>
        <w:t>xtreg</w:t>
      </w:r>
    </w:p>
    <w:p>
      <w:pPr>
        <w:pStyle w:val="BodyText"/>
        <w:spacing w:before="2"/>
        <w:rPr>
          <w:rFonts w:ascii="Courier New"/>
          <w:sz w:val="13"/>
        </w:rPr>
      </w:pPr>
    </w:p>
    <w:p>
      <w:pPr>
        <w:spacing w:before="101"/>
        <w:ind w:left="554" w:right="0" w:firstLine="0"/>
        <w:jc w:val="left"/>
        <w:rPr>
          <w:rFonts w:ascii="Courier New"/>
          <w:sz w:val="17"/>
        </w:rPr>
      </w:pPr>
      <w:r>
        <w:rPr>
          <w:rFonts w:ascii="Courier New"/>
          <w:w w:val="95"/>
          <w:sz w:val="17"/>
        </w:rPr>
        <w:t>Test:</w:t>
      </w:r>
      <w:r>
        <w:rPr>
          <w:rFonts w:ascii="Courier New"/>
          <w:spacing w:val="99"/>
          <w:sz w:val="17"/>
        </w:rPr>
        <w:t> </w:t>
      </w:r>
      <w:r>
        <w:rPr>
          <w:rFonts w:ascii="Courier New"/>
          <w:w w:val="95"/>
          <w:sz w:val="17"/>
        </w:rPr>
        <w:t>Ho:</w:t>
      </w:r>
      <w:r>
        <w:rPr>
          <w:rFonts w:ascii="Courier New"/>
          <w:spacing w:val="99"/>
          <w:sz w:val="17"/>
        </w:rPr>
        <w:t> </w:t>
      </w:r>
      <w:r>
        <w:rPr>
          <w:rFonts w:ascii="Courier New"/>
          <w:w w:val="95"/>
          <w:sz w:val="17"/>
        </w:rPr>
        <w:t>difference</w:t>
      </w:r>
      <w:r>
        <w:rPr>
          <w:rFonts w:ascii="Courier New"/>
          <w:spacing w:val="6"/>
          <w:w w:val="95"/>
          <w:sz w:val="17"/>
        </w:rPr>
        <w:t> </w:t>
      </w:r>
      <w:r>
        <w:rPr>
          <w:rFonts w:ascii="Courier New"/>
          <w:w w:val="95"/>
          <w:sz w:val="17"/>
        </w:rPr>
        <w:t>in</w:t>
      </w:r>
      <w:r>
        <w:rPr>
          <w:rFonts w:ascii="Courier New"/>
          <w:spacing w:val="6"/>
          <w:w w:val="95"/>
          <w:sz w:val="17"/>
        </w:rPr>
        <w:t> </w:t>
      </w:r>
      <w:r>
        <w:rPr>
          <w:rFonts w:ascii="Courier New"/>
          <w:w w:val="95"/>
          <w:sz w:val="17"/>
        </w:rPr>
        <w:t>coefficients</w:t>
      </w:r>
      <w:r>
        <w:rPr>
          <w:rFonts w:ascii="Courier New"/>
          <w:spacing w:val="6"/>
          <w:w w:val="95"/>
          <w:sz w:val="17"/>
        </w:rPr>
        <w:t> </w:t>
      </w:r>
      <w:r>
        <w:rPr>
          <w:rFonts w:ascii="Courier New"/>
          <w:w w:val="95"/>
          <w:sz w:val="17"/>
        </w:rPr>
        <w:t>not</w:t>
      </w:r>
      <w:r>
        <w:rPr>
          <w:rFonts w:ascii="Courier New"/>
          <w:spacing w:val="6"/>
          <w:w w:val="95"/>
          <w:sz w:val="17"/>
        </w:rPr>
        <w:t> </w:t>
      </w:r>
      <w:r>
        <w:rPr>
          <w:rFonts w:ascii="Courier New"/>
          <w:w w:val="95"/>
          <w:sz w:val="17"/>
        </w:rPr>
        <w:t>systematic</w:t>
      </w:r>
    </w:p>
    <w:p>
      <w:pPr>
        <w:pStyle w:val="BodyText"/>
        <w:rPr>
          <w:rFonts w:ascii="Courier New"/>
          <w:sz w:val="18"/>
        </w:rPr>
      </w:pPr>
    </w:p>
    <w:p>
      <w:pPr>
        <w:spacing w:before="101"/>
        <w:ind w:left="1829" w:right="0" w:firstLine="0"/>
        <w:jc w:val="left"/>
        <w:rPr>
          <w:rFonts w:ascii="Courier New"/>
          <w:sz w:val="17"/>
        </w:rPr>
      </w:pPr>
      <w:r>
        <w:rPr>
          <w:rFonts w:ascii="Courier New"/>
          <w:w w:val="90"/>
          <w:sz w:val="17"/>
        </w:rPr>
        <w:t>chi2(21)</w:t>
      </w:r>
      <w:r>
        <w:rPr>
          <w:rFonts w:ascii="Courier New"/>
          <w:spacing w:val="88"/>
          <w:w w:val="90"/>
          <w:sz w:val="17"/>
        </w:rPr>
        <w:t> </w:t>
      </w:r>
      <w:r>
        <w:rPr>
          <w:rFonts w:ascii="Courier New"/>
          <w:w w:val="90"/>
          <w:sz w:val="17"/>
        </w:rPr>
        <w:t>=</w:t>
      </w:r>
      <w:r>
        <w:rPr>
          <w:rFonts w:ascii="Courier New"/>
          <w:spacing w:val="88"/>
          <w:w w:val="90"/>
          <w:sz w:val="17"/>
        </w:rPr>
        <w:t> </w:t>
      </w:r>
      <w:r>
        <w:rPr>
          <w:rFonts w:ascii="Courier New"/>
          <w:w w:val="90"/>
          <w:sz w:val="17"/>
        </w:rPr>
        <w:t>(b-B)'[(V_b-V_B)^(-1)](b-B)</w:t>
      </w:r>
    </w:p>
    <w:p>
      <w:pPr>
        <w:tabs>
          <w:tab w:pos="3397" w:val="left" w:leader="none"/>
        </w:tabs>
        <w:spacing w:before="57"/>
        <w:ind w:left="2711" w:right="0" w:firstLine="0"/>
        <w:jc w:val="left"/>
        <w:rPr>
          <w:rFonts w:ascii="Courier New"/>
          <w:sz w:val="17"/>
        </w:rPr>
      </w:pPr>
      <w:r>
        <w:rPr>
          <w:rFonts w:ascii="Courier New"/>
          <w:sz w:val="17"/>
        </w:rPr>
        <w:t>=</w:t>
        <w:tab/>
        <w:t>366.32</w:t>
      </w:r>
    </w:p>
    <w:p>
      <w:pPr>
        <w:tabs>
          <w:tab w:pos="3397" w:val="left" w:leader="none"/>
        </w:tabs>
        <w:spacing w:before="56"/>
        <w:ind w:left="1730" w:right="0" w:firstLine="0"/>
        <w:jc w:val="left"/>
        <w:rPr>
          <w:rFonts w:ascii="Courier New"/>
          <w:sz w:val="17"/>
        </w:rPr>
      </w:pPr>
      <w:r>
        <w:rPr>
          <w:rFonts w:ascii="Courier New"/>
          <w:w w:val="95"/>
          <w:sz w:val="17"/>
        </w:rPr>
        <w:t>Prob&gt;chi2</w:t>
      </w:r>
      <w:r>
        <w:rPr>
          <w:rFonts w:ascii="Courier New"/>
          <w:spacing w:val="4"/>
          <w:w w:val="95"/>
          <w:sz w:val="17"/>
        </w:rPr>
        <w:t> </w:t>
      </w:r>
      <w:r>
        <w:rPr>
          <w:rFonts w:ascii="Courier New"/>
          <w:w w:val="95"/>
          <w:sz w:val="17"/>
        </w:rPr>
        <w:t>=</w:t>
        <w:tab/>
      </w:r>
      <w:r>
        <w:rPr>
          <w:rFonts w:ascii="Courier New"/>
          <w:sz w:val="17"/>
        </w:rPr>
        <w:t>0.0000</w:t>
      </w:r>
    </w:p>
    <w:p>
      <w:pPr>
        <w:spacing w:after="0"/>
        <w:jc w:val="left"/>
        <w:rPr>
          <w:rFonts w:ascii="Courier New"/>
          <w:sz w:val="17"/>
        </w:rPr>
        <w:sectPr>
          <w:type w:val="continuous"/>
          <w:pgSz w:w="12240" w:h="15840"/>
          <w:pgMar w:top="1380" w:bottom="280" w:left="1320" w:right="1000"/>
        </w:sectPr>
      </w:pPr>
    </w:p>
    <w:p>
      <w:pPr>
        <w:pStyle w:val="Heading5"/>
        <w:spacing w:line="274" w:lineRule="exact" w:before="77"/>
        <w:ind w:left="197" w:right="513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L:</w:t>
      </w:r>
      <w:r>
        <w:rPr>
          <w:spacing w:val="-2"/>
        </w:rPr>
        <w:t> </w:t>
      </w:r>
      <w:r>
        <w:rPr/>
        <w:t>Income</w:t>
      </w:r>
      <w:r>
        <w:rPr>
          <w:spacing w:val="-3"/>
        </w:rPr>
        <w:t> </w:t>
      </w:r>
      <w:r>
        <w:rPr/>
        <w:t>Inequality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Health-Seeking</w:t>
      </w:r>
      <w:r>
        <w:rPr>
          <w:spacing w:val="-1"/>
        </w:rPr>
        <w:t> </w:t>
      </w:r>
      <w:r>
        <w:rPr/>
        <w:t>Behavior</w:t>
      </w:r>
      <w:r>
        <w:rPr>
          <w:spacing w:val="-1"/>
        </w:rPr>
        <w:t> </w:t>
      </w:r>
      <w:r>
        <w:rPr/>
        <w:t>Wave</w:t>
      </w:r>
      <w:r>
        <w:rPr>
          <w:spacing w:val="-2"/>
        </w:rPr>
        <w:t> </w:t>
      </w:r>
      <w:r>
        <w:rPr/>
        <w:t>I Estimations</w:t>
      </w:r>
    </w:p>
    <w:p>
      <w:pPr>
        <w:pStyle w:val="BodyText"/>
        <w:spacing w:line="274" w:lineRule="exact"/>
        <w:ind w:left="197" w:right="512"/>
        <w:jc w:val="center"/>
      </w:pPr>
      <w:r>
        <w:rPr/>
        <w:t>TABLE</w:t>
      </w:r>
      <w:r>
        <w:rPr>
          <w:spacing w:val="-2"/>
        </w:rPr>
        <w:t> </w:t>
      </w:r>
      <w:r>
        <w:rPr/>
        <w:t>L1:</w:t>
      </w:r>
      <w:r>
        <w:rPr>
          <w:spacing w:val="-2"/>
        </w:rPr>
        <w:t> </w:t>
      </w:r>
      <w:r>
        <w:rPr/>
        <w:t>POLS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WAVE</w:t>
      </w:r>
      <w:r>
        <w:rPr>
          <w:spacing w:val="-1"/>
        </w:rPr>
        <w:t> </w:t>
      </w:r>
      <w:r>
        <w:rPr/>
        <w:t>I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6"/>
        <w:gridCol w:w="2457"/>
        <w:gridCol w:w="425"/>
        <w:gridCol w:w="897"/>
      </w:tblGrid>
      <w:tr>
        <w:trPr>
          <w:trHeight w:val="317" w:hRule="atLeast"/>
        </w:trPr>
        <w:tc>
          <w:tcPr>
            <w:tcW w:w="3686" w:type="dxa"/>
          </w:tcPr>
          <w:p>
            <w:pPr>
              <w:pStyle w:val="TableParagraph"/>
              <w:spacing w:before="4"/>
              <w:ind w:left="50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Logistic</w:t>
            </w:r>
            <w:r>
              <w:rPr>
                <w:spacing w:val="83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regression</w:t>
            </w:r>
          </w:p>
        </w:tc>
        <w:tc>
          <w:tcPr>
            <w:tcW w:w="2457" w:type="dxa"/>
          </w:tcPr>
          <w:p>
            <w:pPr>
              <w:pStyle w:val="TableParagraph"/>
              <w:spacing w:before="4"/>
              <w:ind w:left="1089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Number</w:t>
            </w:r>
            <w:r>
              <w:rPr>
                <w:spacing w:val="38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of</w:t>
            </w:r>
            <w:r>
              <w:rPr>
                <w:spacing w:val="37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obs</w:t>
            </w:r>
          </w:p>
        </w:tc>
        <w:tc>
          <w:tcPr>
            <w:tcW w:w="425" w:type="dxa"/>
          </w:tcPr>
          <w:p>
            <w:pPr>
              <w:pStyle w:val="TableParagraph"/>
              <w:spacing w:before="4"/>
              <w:ind w:left="144"/>
              <w:jc w:val="left"/>
              <w:rPr>
                <w:sz w:val="24"/>
              </w:rPr>
            </w:pPr>
            <w:r>
              <w:rPr>
                <w:w w:val="61"/>
                <w:sz w:val="24"/>
              </w:rPr>
              <w:t>=</w:t>
            </w:r>
          </w:p>
        </w:tc>
        <w:tc>
          <w:tcPr>
            <w:tcW w:w="897" w:type="dxa"/>
          </w:tcPr>
          <w:p>
            <w:pPr>
              <w:pStyle w:val="TableParagraph"/>
              <w:spacing w:before="4"/>
              <w:ind w:right="46"/>
              <w:rPr>
                <w:sz w:val="24"/>
              </w:rPr>
            </w:pPr>
            <w:r>
              <w:rPr>
                <w:w w:val="70"/>
                <w:sz w:val="24"/>
              </w:rPr>
              <w:t>26184</w:t>
            </w:r>
          </w:p>
        </w:tc>
      </w:tr>
      <w:tr>
        <w:trPr>
          <w:trHeight w:val="356" w:hRule="atLeast"/>
        </w:trPr>
        <w:tc>
          <w:tcPr>
            <w:tcW w:w="36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57" w:type="dxa"/>
          </w:tcPr>
          <w:p>
            <w:pPr>
              <w:pStyle w:val="TableParagraph"/>
              <w:spacing w:before="43"/>
              <w:ind w:left="1089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LR</w:t>
            </w:r>
            <w:r>
              <w:rPr>
                <w:spacing w:val="50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chi2(22)</w:t>
            </w:r>
          </w:p>
        </w:tc>
        <w:tc>
          <w:tcPr>
            <w:tcW w:w="425" w:type="dxa"/>
          </w:tcPr>
          <w:p>
            <w:pPr>
              <w:pStyle w:val="TableParagraph"/>
              <w:spacing w:before="43"/>
              <w:ind w:left="144"/>
              <w:jc w:val="left"/>
              <w:rPr>
                <w:sz w:val="24"/>
              </w:rPr>
            </w:pPr>
            <w:r>
              <w:rPr>
                <w:w w:val="61"/>
                <w:sz w:val="24"/>
              </w:rPr>
              <w:t>=</w:t>
            </w:r>
          </w:p>
        </w:tc>
        <w:tc>
          <w:tcPr>
            <w:tcW w:w="897" w:type="dxa"/>
          </w:tcPr>
          <w:p>
            <w:pPr>
              <w:pStyle w:val="TableParagraph"/>
              <w:spacing w:before="43"/>
              <w:ind w:right="46"/>
              <w:rPr>
                <w:sz w:val="24"/>
              </w:rPr>
            </w:pPr>
            <w:r>
              <w:rPr>
                <w:w w:val="70"/>
                <w:sz w:val="24"/>
              </w:rPr>
              <w:t>5328.51</w:t>
            </w:r>
          </w:p>
        </w:tc>
      </w:tr>
      <w:tr>
        <w:trPr>
          <w:trHeight w:val="356" w:hRule="atLeast"/>
        </w:trPr>
        <w:tc>
          <w:tcPr>
            <w:tcW w:w="36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57" w:type="dxa"/>
          </w:tcPr>
          <w:p>
            <w:pPr>
              <w:pStyle w:val="TableParagraph"/>
              <w:spacing w:before="44"/>
              <w:ind w:left="1089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Prob</w:t>
            </w:r>
            <w:r>
              <w:rPr>
                <w:spacing w:val="31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&gt;</w:t>
            </w:r>
            <w:r>
              <w:rPr>
                <w:spacing w:val="33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chi2</w:t>
            </w:r>
          </w:p>
        </w:tc>
        <w:tc>
          <w:tcPr>
            <w:tcW w:w="425" w:type="dxa"/>
          </w:tcPr>
          <w:p>
            <w:pPr>
              <w:pStyle w:val="TableParagraph"/>
              <w:spacing w:before="44"/>
              <w:ind w:left="144"/>
              <w:jc w:val="left"/>
              <w:rPr>
                <w:sz w:val="24"/>
              </w:rPr>
            </w:pPr>
            <w:r>
              <w:rPr>
                <w:w w:val="61"/>
                <w:sz w:val="24"/>
              </w:rPr>
              <w:t>=</w:t>
            </w:r>
          </w:p>
        </w:tc>
        <w:tc>
          <w:tcPr>
            <w:tcW w:w="897" w:type="dxa"/>
          </w:tcPr>
          <w:p>
            <w:pPr>
              <w:pStyle w:val="TableParagraph"/>
              <w:spacing w:before="44"/>
              <w:ind w:right="46"/>
              <w:rPr>
                <w:sz w:val="24"/>
              </w:rPr>
            </w:pPr>
            <w:r>
              <w:rPr>
                <w:w w:val="70"/>
                <w:sz w:val="24"/>
              </w:rPr>
              <w:t>0.0000</w:t>
            </w:r>
          </w:p>
        </w:tc>
      </w:tr>
      <w:tr>
        <w:trPr>
          <w:trHeight w:val="317" w:hRule="atLeast"/>
        </w:trPr>
        <w:tc>
          <w:tcPr>
            <w:tcW w:w="3686" w:type="dxa"/>
          </w:tcPr>
          <w:p>
            <w:pPr>
              <w:pStyle w:val="TableParagraph"/>
              <w:spacing w:line="253" w:lineRule="exact" w:before="43"/>
              <w:ind w:left="50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Log</w:t>
            </w:r>
            <w:r>
              <w:rPr>
                <w:spacing w:val="45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likelihood</w:t>
            </w:r>
            <w:r>
              <w:rPr>
                <w:spacing w:val="45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=</w:t>
            </w:r>
            <w:r>
              <w:rPr>
                <w:spacing w:val="115"/>
                <w:sz w:val="24"/>
              </w:rPr>
              <w:t> </w:t>
            </w:r>
            <w:r>
              <w:rPr>
                <w:w w:val="60"/>
                <w:sz w:val="24"/>
              </w:rPr>
              <w:t>-6075.251</w:t>
            </w:r>
          </w:p>
        </w:tc>
        <w:tc>
          <w:tcPr>
            <w:tcW w:w="2457" w:type="dxa"/>
          </w:tcPr>
          <w:p>
            <w:pPr>
              <w:pStyle w:val="TableParagraph"/>
              <w:spacing w:line="253" w:lineRule="exact" w:before="43"/>
              <w:ind w:left="1089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Pseudo</w:t>
            </w:r>
            <w:r>
              <w:rPr>
                <w:spacing w:val="42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R2</w:t>
            </w:r>
          </w:p>
        </w:tc>
        <w:tc>
          <w:tcPr>
            <w:tcW w:w="425" w:type="dxa"/>
          </w:tcPr>
          <w:p>
            <w:pPr>
              <w:pStyle w:val="TableParagraph"/>
              <w:spacing w:line="253" w:lineRule="exact" w:before="43"/>
              <w:ind w:left="144"/>
              <w:jc w:val="left"/>
              <w:rPr>
                <w:sz w:val="24"/>
              </w:rPr>
            </w:pPr>
            <w:r>
              <w:rPr>
                <w:w w:val="61"/>
                <w:sz w:val="24"/>
              </w:rPr>
              <w:t>=</w:t>
            </w:r>
          </w:p>
        </w:tc>
        <w:tc>
          <w:tcPr>
            <w:tcW w:w="897" w:type="dxa"/>
          </w:tcPr>
          <w:p>
            <w:pPr>
              <w:pStyle w:val="TableParagraph"/>
              <w:spacing w:line="253" w:lineRule="exact" w:before="43"/>
              <w:ind w:right="46"/>
              <w:rPr>
                <w:sz w:val="24"/>
              </w:rPr>
            </w:pPr>
            <w:r>
              <w:rPr>
                <w:w w:val="70"/>
                <w:sz w:val="24"/>
              </w:rPr>
              <w:t>0.3049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tbl>
      <w:tblPr>
        <w:tblW w:w="0" w:type="auto"/>
        <w:jc w:val="left"/>
        <w:tblInd w:w="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9"/>
        <w:gridCol w:w="1226"/>
        <w:gridCol w:w="1087"/>
        <w:gridCol w:w="804"/>
        <w:gridCol w:w="803"/>
        <w:gridCol w:w="1276"/>
        <w:gridCol w:w="894"/>
      </w:tblGrid>
      <w:tr>
        <w:trPr>
          <w:trHeight w:val="683" w:hRule="atLeast"/>
        </w:trPr>
        <w:tc>
          <w:tcPr>
            <w:tcW w:w="3159" w:type="dxa"/>
            <w:tcBorders>
              <w:top w:val="dashSmallGap" w:sz="12" w:space="0" w:color="000000"/>
              <w:bottom w:val="dashSmallGap" w:sz="12" w:space="0" w:color="000000"/>
              <w:right w:val="dashed" w:sz="6" w:space="0" w:color="000000"/>
            </w:tcBorders>
          </w:tcPr>
          <w:p>
            <w:pPr>
              <w:pStyle w:val="TableParagraph"/>
              <w:spacing w:before="220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medicalcareconsultation</w:t>
            </w:r>
          </w:p>
        </w:tc>
        <w:tc>
          <w:tcPr>
            <w:tcW w:w="1226" w:type="dxa"/>
            <w:tcBorders>
              <w:top w:val="dashSmallGap" w:sz="12" w:space="0" w:color="000000"/>
              <w:left w:val="dashed" w:sz="6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0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Coef.</w:t>
            </w:r>
          </w:p>
        </w:tc>
        <w:tc>
          <w:tcPr>
            <w:tcW w:w="1087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0"/>
              <w:ind w:left="156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Std.</w:t>
            </w:r>
            <w:r>
              <w:rPr>
                <w:spacing w:val="42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Err.</w:t>
            </w:r>
          </w:p>
        </w:tc>
        <w:tc>
          <w:tcPr>
            <w:tcW w:w="804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0"/>
              <w:ind w:left="486"/>
              <w:jc w:val="left"/>
              <w:rPr>
                <w:sz w:val="24"/>
              </w:rPr>
            </w:pPr>
            <w:r>
              <w:rPr>
                <w:w w:val="61"/>
                <w:sz w:val="24"/>
              </w:rPr>
              <w:t>z</w:t>
            </w:r>
          </w:p>
        </w:tc>
        <w:tc>
          <w:tcPr>
            <w:tcW w:w="803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0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P&gt;|z|</w:t>
            </w:r>
          </w:p>
        </w:tc>
        <w:tc>
          <w:tcPr>
            <w:tcW w:w="1276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0"/>
              <w:ind w:left="297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[95%</w:t>
            </w:r>
            <w:r>
              <w:rPr>
                <w:spacing w:val="55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Conf.</w:t>
            </w:r>
          </w:p>
        </w:tc>
        <w:tc>
          <w:tcPr>
            <w:tcW w:w="894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0"/>
              <w:ind w:right="-15"/>
              <w:rPr>
                <w:sz w:val="24"/>
              </w:rPr>
            </w:pPr>
            <w:r>
              <w:rPr>
                <w:w w:val="65"/>
                <w:sz w:val="24"/>
              </w:rPr>
              <w:t>Interval]</w:t>
            </w:r>
          </w:p>
        </w:tc>
      </w:tr>
      <w:tr>
        <w:trPr>
          <w:trHeight w:val="532" w:hRule="atLeast"/>
        </w:trPr>
        <w:tc>
          <w:tcPr>
            <w:tcW w:w="3159" w:type="dxa"/>
            <w:tcBorders>
              <w:top w:val="dashSmallGap" w:sz="12" w:space="0" w:color="000000"/>
              <w:right w:val="dashed" w:sz="6" w:space="0" w:color="000000"/>
            </w:tcBorders>
          </w:tcPr>
          <w:p>
            <w:pPr>
              <w:pStyle w:val="TableParagraph"/>
              <w:spacing w:before="220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familysize</w:t>
            </w:r>
          </w:p>
        </w:tc>
        <w:tc>
          <w:tcPr>
            <w:tcW w:w="1226" w:type="dxa"/>
            <w:tcBorders>
              <w:top w:val="dashSmallGap" w:sz="12" w:space="0" w:color="000000"/>
              <w:left w:val="dashed" w:sz="6" w:space="0" w:color="000000"/>
            </w:tcBorders>
          </w:tcPr>
          <w:p>
            <w:pPr>
              <w:pStyle w:val="TableParagraph"/>
              <w:spacing w:before="220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-.0205841</w:t>
            </w:r>
          </w:p>
        </w:tc>
        <w:tc>
          <w:tcPr>
            <w:tcW w:w="1087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0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.0145471</w:t>
            </w:r>
          </w:p>
        </w:tc>
        <w:tc>
          <w:tcPr>
            <w:tcW w:w="804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0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-1.42</w:t>
            </w:r>
          </w:p>
        </w:tc>
        <w:tc>
          <w:tcPr>
            <w:tcW w:w="803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0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0.157</w:t>
            </w:r>
          </w:p>
        </w:tc>
        <w:tc>
          <w:tcPr>
            <w:tcW w:w="1276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0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-.0490959</w:t>
            </w:r>
          </w:p>
        </w:tc>
        <w:tc>
          <w:tcPr>
            <w:tcW w:w="894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0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.0079276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nobasiceducation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-.0238041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.0747328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-0.32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0.750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-.1702778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.1226696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4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primaryeducation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4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2.244705</w:t>
            </w:r>
          </w:p>
        </w:tc>
        <w:tc>
          <w:tcPr>
            <w:tcW w:w="1087" w:type="dxa"/>
          </w:tcPr>
          <w:p>
            <w:pPr>
              <w:pStyle w:val="TableParagraph"/>
              <w:spacing w:before="44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1.354949</w:t>
            </w:r>
          </w:p>
        </w:tc>
        <w:tc>
          <w:tcPr>
            <w:tcW w:w="804" w:type="dxa"/>
          </w:tcPr>
          <w:p>
            <w:pPr>
              <w:pStyle w:val="TableParagraph"/>
              <w:spacing w:before="44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1.66</w:t>
            </w:r>
          </w:p>
        </w:tc>
        <w:tc>
          <w:tcPr>
            <w:tcW w:w="803" w:type="dxa"/>
          </w:tcPr>
          <w:p>
            <w:pPr>
              <w:pStyle w:val="TableParagraph"/>
              <w:spacing w:before="44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0.098</w:t>
            </w:r>
          </w:p>
        </w:tc>
        <w:tc>
          <w:tcPr>
            <w:tcW w:w="1276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-.4109467</w:t>
            </w:r>
          </w:p>
        </w:tc>
        <w:tc>
          <w:tcPr>
            <w:tcW w:w="894" w:type="dxa"/>
          </w:tcPr>
          <w:p>
            <w:pPr>
              <w:pStyle w:val="TableParagraph"/>
              <w:spacing w:before="44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4.900357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secondaryeducation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.4936334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250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.047252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10.45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97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.4010212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.5862457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higherdegree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.1197544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.0364683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3.28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0.001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97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.0482779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.1912308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male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.0940527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.1110084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0.85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0.397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-.1235198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.3116252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female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.0622761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.0602539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1.03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0.301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-.0558193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.1803715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4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married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4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.4439548</w:t>
            </w:r>
          </w:p>
        </w:tc>
        <w:tc>
          <w:tcPr>
            <w:tcW w:w="1087" w:type="dxa"/>
          </w:tcPr>
          <w:p>
            <w:pPr>
              <w:pStyle w:val="TableParagraph"/>
              <w:spacing w:before="44"/>
              <w:ind w:left="250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.228872</w:t>
            </w:r>
          </w:p>
        </w:tc>
        <w:tc>
          <w:tcPr>
            <w:tcW w:w="804" w:type="dxa"/>
          </w:tcPr>
          <w:p>
            <w:pPr>
              <w:pStyle w:val="TableParagraph"/>
              <w:spacing w:before="44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1.94</w:t>
            </w:r>
          </w:p>
        </w:tc>
        <w:tc>
          <w:tcPr>
            <w:tcW w:w="803" w:type="dxa"/>
          </w:tcPr>
          <w:p>
            <w:pPr>
              <w:pStyle w:val="TableParagraph"/>
              <w:spacing w:before="44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0.052</w:t>
            </w:r>
          </w:p>
        </w:tc>
        <w:tc>
          <w:tcPr>
            <w:tcW w:w="1276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-.0046262</w:t>
            </w:r>
          </w:p>
        </w:tc>
        <w:tc>
          <w:tcPr>
            <w:tcW w:w="894" w:type="dxa"/>
          </w:tcPr>
          <w:p>
            <w:pPr>
              <w:pStyle w:val="TableParagraph"/>
              <w:spacing w:before="44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.8925358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singleparent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1.674341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1.126871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1.49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0.137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-.5342854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3.882967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widowed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.3868048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.2964624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1.30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0.192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-.1942508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.9678603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nevermarried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-.7196103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.0516406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-13.93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97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-.820824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65"/>
                <w:sz w:val="24"/>
              </w:rPr>
              <w:t>-.6183965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4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yes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4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.3829988</w:t>
            </w:r>
          </w:p>
        </w:tc>
        <w:tc>
          <w:tcPr>
            <w:tcW w:w="1087" w:type="dxa"/>
          </w:tcPr>
          <w:p>
            <w:pPr>
              <w:pStyle w:val="TableParagraph"/>
              <w:spacing w:before="44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.2175915</w:t>
            </w:r>
          </w:p>
        </w:tc>
        <w:tc>
          <w:tcPr>
            <w:tcW w:w="804" w:type="dxa"/>
          </w:tcPr>
          <w:p>
            <w:pPr>
              <w:pStyle w:val="TableParagraph"/>
              <w:spacing w:before="44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1.76</w:t>
            </w:r>
          </w:p>
        </w:tc>
        <w:tc>
          <w:tcPr>
            <w:tcW w:w="803" w:type="dxa"/>
          </w:tcPr>
          <w:p>
            <w:pPr>
              <w:pStyle w:val="TableParagraph"/>
              <w:spacing w:before="44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0.078</w:t>
            </w:r>
          </w:p>
        </w:tc>
        <w:tc>
          <w:tcPr>
            <w:tcW w:w="1276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-.0434728</w:t>
            </w:r>
          </w:p>
        </w:tc>
        <w:tc>
          <w:tcPr>
            <w:tcW w:w="894" w:type="dxa"/>
          </w:tcPr>
          <w:p>
            <w:pPr>
              <w:pStyle w:val="TableParagraph"/>
              <w:spacing w:before="44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.8094703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no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-2.823109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.0525162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-53.76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-2.926038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65"/>
                <w:sz w:val="24"/>
              </w:rPr>
              <w:t>-2.720179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wagesandsalaries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.3736593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.1477315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2.53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0.011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97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.0841109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.6632077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65"/>
                <w:sz w:val="24"/>
              </w:rPr>
              <w:t>entreprisesbusinessandtrading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.0019419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.0023675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0.82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0.412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-.0026984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.0065822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4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farmingcropandlivestock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4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.5175838</w:t>
            </w:r>
          </w:p>
        </w:tc>
        <w:tc>
          <w:tcPr>
            <w:tcW w:w="1087" w:type="dxa"/>
          </w:tcPr>
          <w:p>
            <w:pPr>
              <w:pStyle w:val="TableParagraph"/>
              <w:spacing w:before="44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.2912931</w:t>
            </w:r>
          </w:p>
        </w:tc>
        <w:tc>
          <w:tcPr>
            <w:tcW w:w="804" w:type="dxa"/>
          </w:tcPr>
          <w:p>
            <w:pPr>
              <w:pStyle w:val="TableParagraph"/>
              <w:spacing w:before="44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1.78</w:t>
            </w:r>
          </w:p>
        </w:tc>
        <w:tc>
          <w:tcPr>
            <w:tcW w:w="803" w:type="dxa"/>
          </w:tcPr>
          <w:p>
            <w:pPr>
              <w:pStyle w:val="TableParagraph"/>
              <w:spacing w:before="44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0.076</w:t>
            </w:r>
          </w:p>
        </w:tc>
        <w:tc>
          <w:tcPr>
            <w:tcW w:w="1276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-.0533401</w:t>
            </w:r>
          </w:p>
        </w:tc>
        <w:tc>
          <w:tcPr>
            <w:tcW w:w="894" w:type="dxa"/>
          </w:tcPr>
          <w:p>
            <w:pPr>
              <w:pStyle w:val="TableParagraph"/>
              <w:spacing w:before="44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1.088508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remittance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-.2027175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.0425149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-4.77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0.000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-.2860452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65"/>
                <w:sz w:val="24"/>
              </w:rPr>
              <w:t>-.1193898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60"/>
                <w:sz w:val="24"/>
              </w:rPr>
              <w:t>monetaryandconditionaltransfers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.7142648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.2718391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2.63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0.009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97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.1814699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1.24706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pension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-.0130192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.0107115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-1.22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0.224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-.0340133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.0079749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4"/>
              <w:ind w:right="126"/>
              <w:rPr>
                <w:sz w:val="24"/>
              </w:rPr>
            </w:pPr>
            <w:r>
              <w:rPr>
                <w:w w:val="60"/>
                <w:sz w:val="24"/>
              </w:rPr>
              <w:t>dividendandinterestfrominvestmen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4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-.0622416</w:t>
            </w:r>
          </w:p>
        </w:tc>
        <w:tc>
          <w:tcPr>
            <w:tcW w:w="1087" w:type="dxa"/>
          </w:tcPr>
          <w:p>
            <w:pPr>
              <w:pStyle w:val="TableParagraph"/>
              <w:spacing w:before="44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.1108936</w:t>
            </w:r>
          </w:p>
        </w:tc>
        <w:tc>
          <w:tcPr>
            <w:tcW w:w="804" w:type="dxa"/>
          </w:tcPr>
          <w:p>
            <w:pPr>
              <w:pStyle w:val="TableParagraph"/>
              <w:spacing w:before="44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-0.56</w:t>
            </w:r>
          </w:p>
        </w:tc>
        <w:tc>
          <w:tcPr>
            <w:tcW w:w="803" w:type="dxa"/>
          </w:tcPr>
          <w:p>
            <w:pPr>
              <w:pStyle w:val="TableParagraph"/>
              <w:spacing w:before="44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0.575</w:t>
            </w:r>
          </w:p>
        </w:tc>
        <w:tc>
          <w:tcPr>
            <w:tcW w:w="1276" w:type="dxa"/>
          </w:tcPr>
          <w:p>
            <w:pPr>
              <w:pStyle w:val="TableParagraph"/>
              <w:spacing w:before="44"/>
              <w:ind w:left="297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-.279589</w:t>
            </w:r>
          </w:p>
        </w:tc>
        <w:tc>
          <w:tcPr>
            <w:tcW w:w="894" w:type="dxa"/>
          </w:tcPr>
          <w:p>
            <w:pPr>
              <w:pStyle w:val="TableParagraph"/>
              <w:spacing w:before="44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.1551057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60"/>
                <w:sz w:val="24"/>
              </w:rPr>
              <w:t>incomefrompropertiesandhouseowne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-.0469328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.0563821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-0.83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0.405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-.1574396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.063574</w:t>
            </w:r>
          </w:p>
        </w:tc>
      </w:tr>
      <w:tr>
        <w:trPr>
          <w:trHeight w:val="356" w:hRule="atLeast"/>
        </w:trPr>
        <w:tc>
          <w:tcPr>
            <w:tcW w:w="3159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ginicoefficient</w:t>
            </w:r>
          </w:p>
        </w:tc>
        <w:tc>
          <w:tcPr>
            <w:tcW w:w="1226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-.2041868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250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.074047</w:t>
            </w:r>
          </w:p>
        </w:tc>
        <w:tc>
          <w:tcPr>
            <w:tcW w:w="804" w:type="dxa"/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-2.76</w:t>
            </w:r>
          </w:p>
        </w:tc>
        <w:tc>
          <w:tcPr>
            <w:tcW w:w="803" w:type="dxa"/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0.006</w:t>
            </w:r>
          </w:p>
        </w:tc>
        <w:tc>
          <w:tcPr>
            <w:tcW w:w="1276" w:type="dxa"/>
          </w:tcPr>
          <w:p>
            <w:pPr>
              <w:pStyle w:val="TableParagraph"/>
              <w:spacing w:before="43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-.3493164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65"/>
                <w:sz w:val="24"/>
              </w:rPr>
              <w:t>-.0590573</w:t>
            </w:r>
          </w:p>
        </w:tc>
      </w:tr>
      <w:tr>
        <w:trPr>
          <w:trHeight w:val="507" w:hRule="atLeast"/>
        </w:trPr>
        <w:tc>
          <w:tcPr>
            <w:tcW w:w="3159" w:type="dxa"/>
            <w:tcBorders>
              <w:bottom w:val="dashSmallGap" w:sz="12" w:space="0" w:color="000000"/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6"/>
              <w:rPr>
                <w:sz w:val="24"/>
              </w:rPr>
            </w:pPr>
            <w:r>
              <w:rPr>
                <w:w w:val="70"/>
                <w:sz w:val="24"/>
              </w:rPr>
              <w:t>_cons</w:t>
            </w:r>
          </w:p>
        </w:tc>
        <w:tc>
          <w:tcPr>
            <w:tcW w:w="1226" w:type="dxa"/>
            <w:tcBorders>
              <w:left w:val="dashed" w:sz="6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43"/>
              <w:ind w:right="130"/>
              <w:rPr>
                <w:sz w:val="24"/>
              </w:rPr>
            </w:pPr>
            <w:r>
              <w:rPr>
                <w:w w:val="70"/>
                <w:sz w:val="24"/>
              </w:rPr>
              <w:t>-1.491469</w:t>
            </w:r>
          </w:p>
        </w:tc>
        <w:tc>
          <w:tcPr>
            <w:tcW w:w="1087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1.661914</w:t>
            </w:r>
          </w:p>
        </w:tc>
        <w:tc>
          <w:tcPr>
            <w:tcW w:w="804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-0.90</w:t>
            </w:r>
          </w:p>
        </w:tc>
        <w:tc>
          <w:tcPr>
            <w:tcW w:w="803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3"/>
              <w:ind w:left="112" w:right="135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0.369</w:t>
            </w:r>
          </w:p>
        </w:tc>
        <w:tc>
          <w:tcPr>
            <w:tcW w:w="1276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3"/>
              <w:ind w:left="20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-4.748761</w:t>
            </w:r>
          </w:p>
        </w:tc>
        <w:tc>
          <w:tcPr>
            <w:tcW w:w="894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3"/>
              <w:ind w:right="-15"/>
              <w:rPr>
                <w:sz w:val="24"/>
              </w:rPr>
            </w:pPr>
            <w:r>
              <w:rPr>
                <w:w w:val="70"/>
                <w:sz w:val="24"/>
              </w:rPr>
              <w:t>1.765823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4"/>
        <w:jc w:val="center"/>
      </w:pPr>
      <w:r>
        <w:rPr/>
        <w:t>TABLE</w:t>
      </w:r>
      <w:r>
        <w:rPr>
          <w:spacing w:val="-2"/>
        </w:rPr>
        <w:t> </w:t>
      </w:r>
      <w:r>
        <w:rPr/>
        <w:t>L2: FIXED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WAVE</w:t>
      </w:r>
      <w:r>
        <w:rPr>
          <w:spacing w:val="-1"/>
        </w:rPr>
        <w:t> </w:t>
      </w:r>
      <w:r>
        <w:rPr/>
        <w:t>I</w:t>
      </w:r>
    </w:p>
    <w:p>
      <w:pPr>
        <w:spacing w:before="39"/>
        <w:ind w:left="160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&gt;</w:t>
      </w:r>
      <w:r>
        <w:rPr>
          <w:rFonts w:ascii="Courier New"/>
          <w:spacing w:val="30"/>
          <w:w w:val="80"/>
          <w:sz w:val="19"/>
        </w:rPr>
        <w:t> </w:t>
      </w:r>
      <w:r>
        <w:rPr>
          <w:rFonts w:ascii="Courier New"/>
          <w:w w:val="80"/>
          <w:sz w:val="19"/>
        </w:rPr>
        <w:t>useowne</w:t>
      </w:r>
      <w:r>
        <w:rPr>
          <w:rFonts w:ascii="Courier New"/>
          <w:spacing w:val="30"/>
          <w:w w:val="80"/>
          <w:sz w:val="19"/>
        </w:rPr>
        <w:t> </w:t>
      </w:r>
      <w:r>
        <w:rPr>
          <w:rFonts w:ascii="Courier New"/>
          <w:w w:val="80"/>
          <w:sz w:val="19"/>
        </w:rPr>
        <w:t>ginicoefficient,</w:t>
      </w:r>
      <w:r>
        <w:rPr>
          <w:rFonts w:ascii="Courier New"/>
          <w:spacing w:val="30"/>
          <w:w w:val="80"/>
          <w:sz w:val="19"/>
        </w:rPr>
        <w:t> </w:t>
      </w:r>
      <w:r>
        <w:rPr>
          <w:rFonts w:ascii="Courier New"/>
          <w:w w:val="80"/>
          <w:sz w:val="19"/>
        </w:rPr>
        <w:t>fe</w:t>
      </w:r>
    </w:p>
    <w:p>
      <w:pPr>
        <w:pStyle w:val="BodyText"/>
        <w:spacing w:before="8"/>
        <w:rPr>
          <w:rFonts w:ascii="Courier New"/>
          <w:sz w:val="29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0"/>
        <w:gridCol w:w="2384"/>
        <w:gridCol w:w="477"/>
        <w:gridCol w:w="762"/>
      </w:tblGrid>
      <w:tr>
        <w:trPr>
          <w:trHeight w:val="245" w:hRule="atLeast"/>
        </w:trPr>
        <w:tc>
          <w:tcPr>
            <w:tcW w:w="3910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Fixed-effects</w:t>
            </w:r>
            <w:r>
              <w:rPr>
                <w:spacing w:val="46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(within)</w:t>
            </w:r>
            <w:r>
              <w:rPr>
                <w:spacing w:val="47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regression</w:t>
            </w:r>
          </w:p>
        </w:tc>
        <w:tc>
          <w:tcPr>
            <w:tcW w:w="2384" w:type="dxa"/>
          </w:tcPr>
          <w:p>
            <w:pPr>
              <w:pStyle w:val="TableParagraph"/>
              <w:spacing w:line="215" w:lineRule="exact"/>
              <w:ind w:left="717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Number</w:t>
            </w:r>
            <w:r>
              <w:rPr>
                <w:spacing w:val="18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of</w:t>
            </w:r>
            <w:r>
              <w:rPr>
                <w:spacing w:val="19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obs</w:t>
            </w:r>
          </w:p>
        </w:tc>
        <w:tc>
          <w:tcPr>
            <w:tcW w:w="477" w:type="dxa"/>
          </w:tcPr>
          <w:p>
            <w:pPr>
              <w:pStyle w:val="TableParagraph"/>
              <w:spacing w:line="215" w:lineRule="exact"/>
              <w:ind w:left="145"/>
              <w:jc w:val="left"/>
              <w:rPr>
                <w:sz w:val="19"/>
              </w:rPr>
            </w:pPr>
            <w:r>
              <w:rPr>
                <w:w w:val="78"/>
                <w:sz w:val="19"/>
              </w:rPr>
              <w:t>=</w:t>
            </w:r>
          </w:p>
        </w:tc>
        <w:tc>
          <w:tcPr>
            <w:tcW w:w="762" w:type="dxa"/>
          </w:tcPr>
          <w:p>
            <w:pPr>
              <w:pStyle w:val="TableParagraph"/>
              <w:spacing w:line="215" w:lineRule="exact"/>
              <w:ind w:right="47"/>
              <w:rPr>
                <w:sz w:val="19"/>
              </w:rPr>
            </w:pPr>
            <w:r>
              <w:rPr>
                <w:w w:val="90"/>
                <w:sz w:val="19"/>
              </w:rPr>
              <w:t>26184</w:t>
            </w:r>
          </w:p>
        </w:tc>
      </w:tr>
      <w:tr>
        <w:trPr>
          <w:trHeight w:val="245" w:hRule="atLeast"/>
        </w:trPr>
        <w:tc>
          <w:tcPr>
            <w:tcW w:w="3910" w:type="dxa"/>
          </w:tcPr>
          <w:p>
            <w:pPr>
              <w:pStyle w:val="TableParagraph"/>
              <w:spacing w:line="195" w:lineRule="exact" w:before="30"/>
              <w:ind w:left="50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Group</w:t>
            </w:r>
            <w:r>
              <w:rPr>
                <w:spacing w:val="29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variable:</w:t>
            </w:r>
            <w:r>
              <w:rPr>
                <w:spacing w:val="30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state</w:t>
            </w:r>
          </w:p>
        </w:tc>
        <w:tc>
          <w:tcPr>
            <w:tcW w:w="2384" w:type="dxa"/>
          </w:tcPr>
          <w:p>
            <w:pPr>
              <w:pStyle w:val="TableParagraph"/>
              <w:spacing w:line="195" w:lineRule="exact" w:before="30"/>
              <w:ind w:left="717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Number</w:t>
            </w:r>
            <w:r>
              <w:rPr>
                <w:spacing w:val="22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of</w:t>
            </w:r>
            <w:r>
              <w:rPr>
                <w:spacing w:val="24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groups</w:t>
            </w:r>
          </w:p>
        </w:tc>
        <w:tc>
          <w:tcPr>
            <w:tcW w:w="477" w:type="dxa"/>
          </w:tcPr>
          <w:p>
            <w:pPr>
              <w:pStyle w:val="TableParagraph"/>
              <w:spacing w:line="195" w:lineRule="exact" w:before="30"/>
              <w:ind w:left="145"/>
              <w:jc w:val="left"/>
              <w:rPr>
                <w:sz w:val="19"/>
              </w:rPr>
            </w:pPr>
            <w:r>
              <w:rPr>
                <w:w w:val="78"/>
                <w:sz w:val="19"/>
              </w:rPr>
              <w:t>=</w:t>
            </w:r>
          </w:p>
        </w:tc>
        <w:tc>
          <w:tcPr>
            <w:tcW w:w="762" w:type="dxa"/>
          </w:tcPr>
          <w:p>
            <w:pPr>
              <w:pStyle w:val="TableParagraph"/>
              <w:spacing w:line="195" w:lineRule="exact" w:before="30"/>
              <w:ind w:right="47"/>
              <w:rPr>
                <w:sz w:val="19"/>
              </w:rPr>
            </w:pPr>
            <w:r>
              <w:rPr>
                <w:w w:val="90"/>
                <w:sz w:val="19"/>
              </w:rPr>
              <w:t>37</w:t>
            </w:r>
          </w:p>
        </w:tc>
      </w:tr>
    </w:tbl>
    <w:p>
      <w:pPr>
        <w:pStyle w:val="BodyText"/>
        <w:spacing w:before="8"/>
        <w:rPr>
          <w:rFonts w:ascii="Courier New"/>
          <w:sz w:val="29"/>
        </w:rPr>
      </w:pPr>
    </w:p>
    <w:p>
      <w:pPr>
        <w:tabs>
          <w:tab w:pos="4738" w:val="left" w:leader="none"/>
          <w:tab w:pos="7593" w:val="right" w:leader="none"/>
        </w:tabs>
        <w:spacing w:before="0"/>
        <w:ind w:left="160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R-sq:</w:t>
      </w:r>
      <w:r>
        <w:rPr>
          <w:rFonts w:ascii="Courier New"/>
          <w:spacing w:val="97"/>
          <w:sz w:val="19"/>
        </w:rPr>
        <w:t> </w:t>
      </w:r>
      <w:r>
        <w:rPr>
          <w:rFonts w:ascii="Courier New"/>
          <w:w w:val="80"/>
          <w:sz w:val="19"/>
        </w:rPr>
        <w:t>within</w:t>
      </w:r>
      <w:r>
        <w:rPr>
          <w:rFonts w:ascii="Courier New"/>
          <w:spacing w:val="96"/>
          <w:sz w:val="19"/>
        </w:rPr>
        <w:t> </w:t>
      </w:r>
      <w:r>
        <w:rPr>
          <w:rFonts w:ascii="Courier New"/>
          <w:w w:val="80"/>
          <w:sz w:val="19"/>
        </w:rPr>
        <w:t>=</w:t>
      </w:r>
      <w:r>
        <w:rPr>
          <w:rFonts w:ascii="Courier New"/>
          <w:spacing w:val="17"/>
          <w:w w:val="80"/>
          <w:sz w:val="19"/>
        </w:rPr>
        <w:t> </w:t>
      </w:r>
      <w:r>
        <w:rPr>
          <w:rFonts w:ascii="Courier New"/>
          <w:w w:val="80"/>
          <w:sz w:val="19"/>
        </w:rPr>
        <w:t>0.2589</w:t>
        <w:tab/>
      </w:r>
      <w:r>
        <w:rPr>
          <w:rFonts w:ascii="Courier New"/>
          <w:w w:val="85"/>
          <w:sz w:val="19"/>
        </w:rPr>
        <w:t>Obs</w:t>
      </w:r>
      <w:r>
        <w:rPr>
          <w:rFonts w:ascii="Courier New"/>
          <w:spacing w:val="-2"/>
          <w:w w:val="85"/>
          <w:sz w:val="19"/>
        </w:rPr>
        <w:t> </w:t>
      </w:r>
      <w:r>
        <w:rPr>
          <w:rFonts w:ascii="Courier New"/>
          <w:w w:val="85"/>
          <w:sz w:val="19"/>
        </w:rPr>
        <w:t>per</w:t>
      </w:r>
      <w:r>
        <w:rPr>
          <w:rFonts w:ascii="Courier New"/>
          <w:spacing w:val="-3"/>
          <w:w w:val="85"/>
          <w:sz w:val="19"/>
        </w:rPr>
        <w:t> </w:t>
      </w:r>
      <w:r>
        <w:rPr>
          <w:rFonts w:ascii="Courier New"/>
          <w:w w:val="85"/>
          <w:sz w:val="19"/>
        </w:rPr>
        <w:t>group:</w:t>
      </w:r>
      <w:r>
        <w:rPr>
          <w:rFonts w:ascii="Courier New"/>
          <w:spacing w:val="-3"/>
          <w:w w:val="85"/>
          <w:sz w:val="19"/>
        </w:rPr>
        <w:t> </w:t>
      </w:r>
      <w:r>
        <w:rPr>
          <w:rFonts w:ascii="Courier New"/>
          <w:w w:val="85"/>
          <w:sz w:val="19"/>
        </w:rPr>
        <w:t>min</w:t>
      </w:r>
      <w:r>
        <w:rPr>
          <w:rFonts w:ascii="Courier New"/>
          <w:spacing w:val="-3"/>
          <w:w w:val="85"/>
          <w:sz w:val="19"/>
        </w:rPr>
        <w:t> </w:t>
      </w:r>
      <w:r>
        <w:rPr>
          <w:rFonts w:ascii="Courier New"/>
          <w:w w:val="85"/>
          <w:sz w:val="19"/>
        </w:rPr>
        <w:t>=</w:t>
        <w:tab/>
        <w:t>215</w:t>
      </w:r>
    </w:p>
    <w:p>
      <w:pPr>
        <w:tabs>
          <w:tab w:pos="6169" w:val="left" w:leader="none"/>
          <w:tab w:pos="7593" w:val="right" w:leader="none"/>
        </w:tabs>
        <w:spacing w:before="60"/>
        <w:ind w:left="828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between</w:t>
      </w:r>
      <w:r>
        <w:rPr>
          <w:rFonts w:ascii="Courier New"/>
          <w:spacing w:val="20"/>
          <w:w w:val="80"/>
          <w:sz w:val="19"/>
        </w:rPr>
        <w:t> </w:t>
      </w:r>
      <w:r>
        <w:rPr>
          <w:rFonts w:ascii="Courier New"/>
          <w:w w:val="80"/>
          <w:sz w:val="19"/>
        </w:rPr>
        <w:t>=</w:t>
      </w:r>
      <w:r>
        <w:rPr>
          <w:rFonts w:ascii="Courier New"/>
          <w:spacing w:val="22"/>
          <w:w w:val="80"/>
          <w:sz w:val="19"/>
        </w:rPr>
        <w:t> </w:t>
      </w:r>
      <w:r>
        <w:rPr>
          <w:rFonts w:ascii="Courier New"/>
          <w:w w:val="80"/>
          <w:sz w:val="19"/>
        </w:rPr>
        <w:t>0.3399</w:t>
        <w:tab/>
      </w:r>
      <w:r>
        <w:rPr>
          <w:rFonts w:ascii="Courier New"/>
          <w:w w:val="85"/>
          <w:sz w:val="19"/>
        </w:rPr>
        <w:t>avg</w:t>
      </w:r>
      <w:r>
        <w:rPr>
          <w:rFonts w:ascii="Courier New"/>
          <w:spacing w:val="-3"/>
          <w:w w:val="85"/>
          <w:sz w:val="19"/>
        </w:rPr>
        <w:t> </w:t>
      </w:r>
      <w:r>
        <w:rPr>
          <w:rFonts w:ascii="Courier New"/>
          <w:w w:val="85"/>
          <w:sz w:val="19"/>
        </w:rPr>
        <w:t>=</w:t>
        <w:tab/>
        <w:t>707.7</w:t>
      </w:r>
    </w:p>
    <w:p>
      <w:pPr>
        <w:tabs>
          <w:tab w:pos="6169" w:val="left" w:leader="none"/>
          <w:tab w:pos="7593" w:val="right" w:leader="none"/>
        </w:tabs>
        <w:spacing w:before="61"/>
        <w:ind w:left="828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overall</w:t>
      </w:r>
      <w:r>
        <w:rPr>
          <w:rFonts w:ascii="Courier New"/>
          <w:spacing w:val="20"/>
          <w:w w:val="80"/>
          <w:sz w:val="19"/>
        </w:rPr>
        <w:t> </w:t>
      </w:r>
      <w:r>
        <w:rPr>
          <w:rFonts w:ascii="Courier New"/>
          <w:w w:val="80"/>
          <w:sz w:val="19"/>
        </w:rPr>
        <w:t>=</w:t>
      </w:r>
      <w:r>
        <w:rPr>
          <w:rFonts w:ascii="Courier New"/>
          <w:spacing w:val="22"/>
          <w:w w:val="80"/>
          <w:sz w:val="19"/>
        </w:rPr>
        <w:t> </w:t>
      </w:r>
      <w:r>
        <w:rPr>
          <w:rFonts w:ascii="Courier New"/>
          <w:w w:val="80"/>
          <w:sz w:val="19"/>
        </w:rPr>
        <w:t>0.2651</w:t>
        <w:tab/>
      </w:r>
      <w:r>
        <w:rPr>
          <w:rFonts w:ascii="Courier New"/>
          <w:w w:val="90"/>
          <w:sz w:val="19"/>
        </w:rPr>
        <w:t>max</w:t>
      </w:r>
      <w:r>
        <w:rPr>
          <w:rFonts w:ascii="Courier New"/>
          <w:spacing w:val="-14"/>
          <w:w w:val="90"/>
          <w:sz w:val="19"/>
        </w:rPr>
        <w:t> </w:t>
      </w:r>
      <w:r>
        <w:rPr>
          <w:rFonts w:ascii="Courier New"/>
          <w:w w:val="90"/>
          <w:sz w:val="19"/>
        </w:rPr>
        <w:t>=</w:t>
        <w:tab/>
        <w:t>1367</w:t>
      </w:r>
    </w:p>
    <w:p>
      <w:pPr>
        <w:pStyle w:val="BodyText"/>
        <w:spacing w:before="9"/>
        <w:rPr>
          <w:rFonts w:ascii="Courier New"/>
          <w:sz w:val="29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3"/>
        <w:gridCol w:w="429"/>
        <w:gridCol w:w="238"/>
        <w:gridCol w:w="1859"/>
        <w:gridCol w:w="2574"/>
        <w:gridCol w:w="667"/>
        <w:gridCol w:w="810"/>
      </w:tblGrid>
      <w:tr>
        <w:trPr>
          <w:trHeight w:val="245" w:hRule="atLeast"/>
        </w:trPr>
        <w:tc>
          <w:tcPr>
            <w:tcW w:w="3479" w:type="dxa"/>
            <w:gridSpan w:val="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74" w:type="dxa"/>
          </w:tcPr>
          <w:p>
            <w:pPr>
              <w:pStyle w:val="TableParagraph"/>
              <w:spacing w:line="215" w:lineRule="exact"/>
              <w:ind w:left="11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F(22,26125)</w:t>
            </w:r>
          </w:p>
        </w:tc>
        <w:tc>
          <w:tcPr>
            <w:tcW w:w="667" w:type="dxa"/>
          </w:tcPr>
          <w:p>
            <w:pPr>
              <w:pStyle w:val="TableParagraph"/>
              <w:spacing w:line="215" w:lineRule="exact"/>
              <w:ind w:right="188"/>
              <w:rPr>
                <w:sz w:val="19"/>
              </w:rPr>
            </w:pPr>
            <w:r>
              <w:rPr>
                <w:w w:val="78"/>
                <w:sz w:val="19"/>
              </w:rPr>
              <w:t>=</w:t>
            </w:r>
          </w:p>
        </w:tc>
        <w:tc>
          <w:tcPr>
            <w:tcW w:w="810" w:type="dxa"/>
          </w:tcPr>
          <w:p>
            <w:pPr>
              <w:pStyle w:val="TableParagraph"/>
              <w:spacing w:line="215" w:lineRule="exact"/>
              <w:ind w:right="44"/>
              <w:rPr>
                <w:sz w:val="19"/>
              </w:rPr>
            </w:pPr>
            <w:r>
              <w:rPr>
                <w:w w:val="90"/>
                <w:sz w:val="19"/>
              </w:rPr>
              <w:t>414.89</w:t>
            </w:r>
          </w:p>
        </w:tc>
      </w:tr>
      <w:tr>
        <w:trPr>
          <w:trHeight w:val="245" w:hRule="atLeast"/>
        </w:trPr>
        <w:tc>
          <w:tcPr>
            <w:tcW w:w="953" w:type="dxa"/>
          </w:tcPr>
          <w:p>
            <w:pPr>
              <w:pStyle w:val="TableParagraph"/>
              <w:spacing w:line="195" w:lineRule="exact" w:before="30"/>
              <w:ind w:left="50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corr(u_i,</w:t>
            </w:r>
          </w:p>
        </w:tc>
        <w:tc>
          <w:tcPr>
            <w:tcW w:w="429" w:type="dxa"/>
          </w:tcPr>
          <w:p>
            <w:pPr>
              <w:pStyle w:val="TableParagraph"/>
              <w:spacing w:line="195" w:lineRule="exact" w:before="30"/>
              <w:ind w:left="50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Xb)</w:t>
            </w:r>
          </w:p>
        </w:tc>
        <w:tc>
          <w:tcPr>
            <w:tcW w:w="238" w:type="dxa"/>
          </w:tcPr>
          <w:p>
            <w:pPr>
              <w:pStyle w:val="TableParagraph"/>
              <w:spacing w:line="195" w:lineRule="exact" w:before="30"/>
              <w:ind w:left="98"/>
              <w:jc w:val="left"/>
              <w:rPr>
                <w:sz w:val="19"/>
              </w:rPr>
            </w:pPr>
            <w:r>
              <w:rPr>
                <w:w w:val="78"/>
                <w:sz w:val="19"/>
              </w:rPr>
              <w:t>=</w:t>
            </w:r>
          </w:p>
        </w:tc>
        <w:tc>
          <w:tcPr>
            <w:tcW w:w="1859" w:type="dxa"/>
          </w:tcPr>
          <w:p>
            <w:pPr>
              <w:pStyle w:val="TableParagraph"/>
              <w:spacing w:line="195" w:lineRule="exact" w:before="30"/>
              <w:ind w:left="51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-0.0359</w:t>
            </w:r>
          </w:p>
        </w:tc>
        <w:tc>
          <w:tcPr>
            <w:tcW w:w="2574" w:type="dxa"/>
          </w:tcPr>
          <w:p>
            <w:pPr>
              <w:pStyle w:val="TableParagraph"/>
              <w:spacing w:line="195" w:lineRule="exact" w:before="30"/>
              <w:ind w:left="1148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Prob</w:t>
            </w:r>
            <w:r>
              <w:rPr>
                <w:spacing w:val="12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&gt;</w:t>
            </w:r>
            <w:r>
              <w:rPr>
                <w:spacing w:val="11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F</w:t>
            </w:r>
          </w:p>
        </w:tc>
        <w:tc>
          <w:tcPr>
            <w:tcW w:w="667" w:type="dxa"/>
          </w:tcPr>
          <w:p>
            <w:pPr>
              <w:pStyle w:val="TableParagraph"/>
              <w:spacing w:line="195" w:lineRule="exact" w:before="30"/>
              <w:ind w:right="188"/>
              <w:rPr>
                <w:sz w:val="19"/>
              </w:rPr>
            </w:pPr>
            <w:r>
              <w:rPr>
                <w:w w:val="78"/>
                <w:sz w:val="19"/>
              </w:rPr>
              <w:t>=</w:t>
            </w:r>
          </w:p>
        </w:tc>
        <w:tc>
          <w:tcPr>
            <w:tcW w:w="810" w:type="dxa"/>
          </w:tcPr>
          <w:p>
            <w:pPr>
              <w:pStyle w:val="TableParagraph"/>
              <w:spacing w:line="195" w:lineRule="exact" w:before="30"/>
              <w:ind w:right="44"/>
              <w:rPr>
                <w:sz w:val="19"/>
              </w:rPr>
            </w:pPr>
            <w:r>
              <w:rPr>
                <w:w w:val="90"/>
                <w:sz w:val="19"/>
              </w:rPr>
              <w:t>0.0000</w:t>
            </w: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 w:after="1"/>
        <w:rPr>
          <w:rFonts w:ascii="Courier New"/>
          <w:sz w:val="17"/>
        </w:r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8"/>
        <w:gridCol w:w="1237"/>
        <w:gridCol w:w="2575"/>
        <w:gridCol w:w="286"/>
        <w:gridCol w:w="1144"/>
        <w:gridCol w:w="901"/>
      </w:tblGrid>
      <w:tr>
        <w:trPr>
          <w:trHeight w:val="531" w:hRule="atLeast"/>
        </w:trPr>
        <w:tc>
          <w:tcPr>
            <w:tcW w:w="3188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68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medicalcareconsultation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8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Coef.</w:t>
            </w:r>
          </w:p>
        </w:tc>
        <w:tc>
          <w:tcPr>
            <w:tcW w:w="2575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tabs>
                <w:tab w:pos="1430" w:val="left" w:leader="none"/>
                <w:tab w:pos="1907" w:val="left" w:leader="none"/>
              </w:tabs>
              <w:spacing w:before="168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Std.</w:t>
            </w:r>
            <w:r>
              <w:rPr>
                <w:spacing w:val="19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Err.</w:t>
              <w:tab/>
            </w:r>
            <w:r>
              <w:rPr>
                <w:w w:val="90"/>
                <w:sz w:val="19"/>
              </w:rPr>
              <w:t>t</w:t>
              <w:tab/>
              <w:t>P&gt;|t|</w:t>
            </w:r>
          </w:p>
        </w:tc>
        <w:tc>
          <w:tcPr>
            <w:tcW w:w="286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8"/>
              <w:ind w:left="15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[95%</w:t>
            </w:r>
            <w:r>
              <w:rPr>
                <w:spacing w:val="25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Conf.</w:t>
            </w:r>
          </w:p>
        </w:tc>
        <w:tc>
          <w:tcPr>
            <w:tcW w:w="901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8"/>
              <w:ind w:right="-15"/>
              <w:rPr>
                <w:sz w:val="19"/>
              </w:rPr>
            </w:pPr>
            <w:r>
              <w:rPr>
                <w:w w:val="80"/>
                <w:sz w:val="19"/>
              </w:rPr>
              <w:t>Interval]</w:t>
            </w:r>
          </w:p>
        </w:tc>
      </w:tr>
      <w:tr>
        <w:trPr>
          <w:trHeight w:val="414" w:hRule="atLeast"/>
        </w:trPr>
        <w:tc>
          <w:tcPr>
            <w:tcW w:w="3188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68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familysize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68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-.0011981</w:t>
            </w:r>
          </w:p>
        </w:tc>
        <w:tc>
          <w:tcPr>
            <w:tcW w:w="2575" w:type="dxa"/>
            <w:tcBorders>
              <w:top w:val="dashSmallGap" w:sz="8" w:space="0" w:color="000000"/>
            </w:tcBorders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168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.0010264</w:t>
              <w:tab/>
            </w:r>
            <w:r>
              <w:rPr>
                <w:w w:val="90"/>
                <w:sz w:val="19"/>
              </w:rPr>
              <w:t>-1.17</w:t>
              <w:tab/>
              <w:t>0.243</w:t>
            </w:r>
          </w:p>
        </w:tc>
        <w:tc>
          <w:tcPr>
            <w:tcW w:w="286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8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-.0032099</w:t>
            </w:r>
          </w:p>
        </w:tc>
        <w:tc>
          <w:tcPr>
            <w:tcW w:w="901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8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.0008136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nobasiceducation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-.0030291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.0056471</w:t>
              <w:tab/>
            </w:r>
            <w:r>
              <w:rPr>
                <w:w w:val="90"/>
                <w:sz w:val="19"/>
              </w:rPr>
              <w:t>-0.54</w:t>
              <w:tab/>
              <w:t>0.592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-.0140978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.0080396</w:t>
            </w:r>
          </w:p>
        </w:tc>
      </w:tr>
      <w:tr>
        <w:trPr>
          <w:trHeight w:val="276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primaryeducation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.0885304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.0809501</w:t>
              <w:tab/>
            </w:r>
            <w:r>
              <w:rPr>
                <w:w w:val="90"/>
                <w:sz w:val="19"/>
              </w:rPr>
              <w:t>1.09</w:t>
              <w:tab/>
              <w:t>0.274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-.0701361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.247197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secondaryeducation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.0568798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.0044768</w:t>
              <w:tab/>
            </w:r>
            <w:r>
              <w:rPr>
                <w:w w:val="90"/>
                <w:sz w:val="19"/>
              </w:rPr>
              <w:t>12.71</w:t>
              <w:tab/>
              <w:t>0.000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250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.048105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.0656546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higherdegree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.0105431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.0029785</w:t>
              <w:tab/>
            </w:r>
            <w:r>
              <w:rPr>
                <w:w w:val="90"/>
                <w:sz w:val="19"/>
              </w:rPr>
              <w:t>3.54</w:t>
              <w:tab/>
              <w:t>0.000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15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.0047051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.0163811</w:t>
            </w:r>
          </w:p>
        </w:tc>
      </w:tr>
      <w:tr>
        <w:trPr>
          <w:trHeight w:val="276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male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.0032494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.0072921</w:t>
              <w:tab/>
            </w:r>
            <w:r>
              <w:rPr>
                <w:w w:val="90"/>
                <w:sz w:val="19"/>
              </w:rPr>
              <w:t>0.45</w:t>
              <w:tab/>
              <w:t>0.656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-.0110435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.0175422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female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.0066684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.0048962</w:t>
              <w:tab/>
            </w:r>
            <w:r>
              <w:rPr>
                <w:w w:val="90"/>
                <w:sz w:val="19"/>
              </w:rPr>
              <w:t>1.36</w:t>
              <w:tab/>
              <w:t>0.173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-.0029284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.0162652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married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.0186876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.0135088</w:t>
              <w:tab/>
            </w:r>
            <w:r>
              <w:rPr>
                <w:w w:val="90"/>
                <w:sz w:val="19"/>
              </w:rPr>
              <w:t>1.38</w:t>
              <w:tab/>
              <w:t>0.167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-.0077904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.0451656</w:t>
            </w:r>
          </w:p>
        </w:tc>
      </w:tr>
      <w:tr>
        <w:trPr>
          <w:trHeight w:val="276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singleparent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.0660844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.0676395</w:t>
              <w:tab/>
            </w:r>
            <w:r>
              <w:rPr>
                <w:w w:val="90"/>
                <w:sz w:val="19"/>
              </w:rPr>
              <w:t>0.98</w:t>
              <w:tab/>
              <w:t>0.329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-.0664928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.1986616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widowed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.012789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.0188076</w:t>
              <w:tab/>
            </w:r>
            <w:r>
              <w:rPr>
                <w:w w:val="90"/>
                <w:sz w:val="19"/>
              </w:rPr>
              <w:t>0.68</w:t>
              <w:tab/>
              <w:t>0.497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15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-.024075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.049653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nevermarried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-.0610221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048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.0039035</w:t>
              <w:tab/>
              <w:t>-15.63</w:t>
              <w:tab/>
            </w:r>
            <w:r>
              <w:rPr>
                <w:w w:val="90"/>
                <w:sz w:val="19"/>
              </w:rPr>
              <w:t>0.000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-.0686732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80"/>
                <w:sz w:val="19"/>
              </w:rPr>
              <w:t>-.0533711</w:t>
            </w:r>
          </w:p>
        </w:tc>
      </w:tr>
      <w:tr>
        <w:trPr>
          <w:trHeight w:val="276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yes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.0195877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.0143972</w:t>
              <w:tab/>
            </w:r>
            <w:r>
              <w:rPr>
                <w:w w:val="90"/>
                <w:sz w:val="19"/>
              </w:rPr>
              <w:t>1.36</w:t>
              <w:tab/>
              <w:t>0.174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-.0086316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.0478069</w:t>
            </w:r>
          </w:p>
        </w:tc>
      </w:tr>
      <w:tr>
        <w:trPr>
          <w:trHeight w:val="276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no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-.3630601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048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.0045725</w:t>
              <w:tab/>
              <w:t>-79.40</w:t>
              <w:tab/>
            </w:r>
            <w:r>
              <w:rPr>
                <w:w w:val="90"/>
                <w:sz w:val="19"/>
              </w:rPr>
              <w:t>0.000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-.3720225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80"/>
                <w:sz w:val="19"/>
              </w:rPr>
              <w:t>-.3540977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wagesandsalaries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.0582655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.0130569</w:t>
              <w:tab/>
            </w:r>
            <w:r>
              <w:rPr>
                <w:w w:val="90"/>
                <w:sz w:val="19"/>
              </w:rPr>
              <w:t>4.46</w:t>
              <w:tab/>
              <w:t>0.000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15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.0326733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.0838576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85"/>
                <w:sz w:val="19"/>
              </w:rPr>
              <w:t>entreprisesbusinessandtrading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.000033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.0001529</w:t>
              <w:tab/>
            </w:r>
            <w:r>
              <w:rPr>
                <w:w w:val="90"/>
                <w:sz w:val="19"/>
              </w:rPr>
              <w:t>0.22</w:t>
              <w:tab/>
              <w:t>0.829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-.0002668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.0003328</w:t>
            </w:r>
          </w:p>
        </w:tc>
      </w:tr>
      <w:tr>
        <w:trPr>
          <w:trHeight w:val="276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farmingcropandlivestock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.0321479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.0227306</w:t>
              <w:tab/>
            </w:r>
            <w:r>
              <w:rPr>
                <w:w w:val="90"/>
                <w:sz w:val="19"/>
              </w:rPr>
              <w:t>1.41</w:t>
              <w:tab/>
              <w:t>0.157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-.0124053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.0767011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remittance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-.0169009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.0029333</w:t>
              <w:tab/>
            </w:r>
            <w:r>
              <w:rPr>
                <w:w w:val="90"/>
                <w:sz w:val="19"/>
              </w:rPr>
              <w:t>-5.76</w:t>
              <w:tab/>
              <w:t>0.000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-.0226503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80"/>
                <w:sz w:val="19"/>
              </w:rPr>
              <w:t>-.0111515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80"/>
                <w:sz w:val="19"/>
              </w:rPr>
              <w:t>monetaryandconditionaltransfers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.0481133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.0206857</w:t>
              <w:tab/>
            </w:r>
            <w:r>
              <w:rPr>
                <w:w w:val="90"/>
                <w:sz w:val="19"/>
              </w:rPr>
              <w:t>2.33</w:t>
              <w:tab/>
              <w:t>0.020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15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.0075681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.0886584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pension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.0017324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.0019672</w:t>
              <w:tab/>
            </w:r>
            <w:r>
              <w:rPr>
                <w:w w:val="90"/>
                <w:sz w:val="19"/>
              </w:rPr>
              <w:t>0.88</w:t>
              <w:tab/>
              <w:t>0.379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-.0021234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.0055882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75"/>
                <w:sz w:val="19"/>
              </w:rPr>
              <w:t>dividendandinterestfrominvestmen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-.0040263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.0067445</w:t>
              <w:tab/>
            </w:r>
            <w:r>
              <w:rPr>
                <w:w w:val="90"/>
                <w:sz w:val="19"/>
              </w:rPr>
              <w:t>-0.60</w:t>
              <w:tab/>
              <w:t>0.551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-.0172459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.0091932</w:t>
            </w:r>
          </w:p>
        </w:tc>
      </w:tr>
      <w:tr>
        <w:trPr>
          <w:trHeight w:val="275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75"/>
                <w:sz w:val="19"/>
              </w:rPr>
              <w:t>incomefrompropertiesandhouseowne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-.0001126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.0010338</w:t>
              <w:tab/>
            </w:r>
            <w:r>
              <w:rPr>
                <w:w w:val="90"/>
                <w:sz w:val="19"/>
              </w:rPr>
              <w:t>-0.11</w:t>
              <w:tab/>
              <w:t>0.913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-.0021389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.0019138</w:t>
            </w:r>
          </w:p>
        </w:tc>
      </w:tr>
      <w:tr>
        <w:trPr>
          <w:trHeight w:val="276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ginicoefficient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-.0162472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44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.0051521</w:t>
              <w:tab/>
            </w:r>
            <w:r>
              <w:rPr>
                <w:w w:val="90"/>
                <w:sz w:val="19"/>
              </w:rPr>
              <w:t>-3.15</w:t>
              <w:tab/>
              <w:t>0.002</w:t>
            </w: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-.0263456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80"/>
                <w:sz w:val="19"/>
              </w:rPr>
              <w:t>-.0061488</w:t>
            </w:r>
          </w:p>
        </w:tc>
      </w:tr>
      <w:tr>
        <w:trPr>
          <w:trHeight w:val="393" w:hRule="atLeast"/>
        </w:trPr>
        <w:tc>
          <w:tcPr>
            <w:tcW w:w="3188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_cons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.5559419</w:t>
            </w:r>
          </w:p>
        </w:tc>
        <w:tc>
          <w:tcPr>
            <w:tcW w:w="2575" w:type="dxa"/>
            <w:tcBorders>
              <w:bottom w:val="dashSmallGap" w:sz="8" w:space="0" w:color="000000"/>
            </w:tcBorders>
          </w:tcPr>
          <w:p>
            <w:pPr>
              <w:pStyle w:val="TableParagraph"/>
              <w:tabs>
                <w:tab w:pos="1239" w:val="left" w:leader="none"/>
                <w:tab w:pos="1907" w:val="left" w:leader="none"/>
              </w:tabs>
              <w:spacing w:before="30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.1004829</w:t>
              <w:tab/>
            </w:r>
            <w:r>
              <w:rPr>
                <w:w w:val="90"/>
                <w:sz w:val="19"/>
              </w:rPr>
              <w:t>5.53</w:t>
              <w:tab/>
              <w:t>0.000</w:t>
            </w:r>
          </w:p>
        </w:tc>
        <w:tc>
          <w:tcPr>
            <w:tcW w:w="286" w:type="dxa"/>
            <w:tcBorders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0"/>
              <w:ind w:left="34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.35899</w:t>
            </w:r>
          </w:p>
        </w:tc>
        <w:tc>
          <w:tcPr>
            <w:tcW w:w="901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0"/>
              <w:ind w:right="-15"/>
              <w:rPr>
                <w:sz w:val="19"/>
              </w:rPr>
            </w:pPr>
            <w:r>
              <w:rPr>
                <w:w w:val="90"/>
                <w:sz w:val="19"/>
              </w:rPr>
              <w:t>.7528938</w:t>
            </w:r>
          </w:p>
        </w:tc>
      </w:tr>
      <w:tr>
        <w:trPr>
          <w:trHeight w:val="413" w:hRule="atLeast"/>
        </w:trPr>
        <w:tc>
          <w:tcPr>
            <w:tcW w:w="3188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68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sigma_u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68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.04195521</w:t>
            </w:r>
          </w:p>
        </w:tc>
        <w:tc>
          <w:tcPr>
            <w:tcW w:w="2575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76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sigma_e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.25963145</w:t>
            </w:r>
          </w:p>
        </w:tc>
        <w:tc>
          <w:tcPr>
            <w:tcW w:w="25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93" w:hRule="atLeast"/>
        </w:trPr>
        <w:tc>
          <w:tcPr>
            <w:tcW w:w="3188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30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rho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0"/>
              <w:ind w:right="134"/>
              <w:rPr>
                <w:sz w:val="19"/>
              </w:rPr>
            </w:pPr>
            <w:r>
              <w:rPr>
                <w:w w:val="90"/>
                <w:sz w:val="19"/>
              </w:rPr>
              <w:t>.02544849</w:t>
            </w:r>
          </w:p>
        </w:tc>
        <w:tc>
          <w:tcPr>
            <w:tcW w:w="2575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0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(fraction</w:t>
            </w:r>
            <w:r>
              <w:rPr>
                <w:spacing w:val="26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of</w:t>
            </w:r>
            <w:r>
              <w:rPr>
                <w:spacing w:val="26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variance</w:t>
            </w:r>
            <w:r>
              <w:rPr>
                <w:spacing w:val="25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due</w:t>
            </w:r>
          </w:p>
        </w:tc>
        <w:tc>
          <w:tcPr>
            <w:tcW w:w="28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to</w:t>
            </w:r>
          </w:p>
        </w:tc>
        <w:tc>
          <w:tcPr>
            <w:tcW w:w="1144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0"/>
              <w:ind w:left="59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u_i)</w:t>
            </w:r>
          </w:p>
        </w:tc>
        <w:tc>
          <w:tcPr>
            <w:tcW w:w="901" w:type="dxa"/>
            <w:tcBorders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2735" w:val="left" w:leader="none"/>
          <w:tab w:pos="4452" w:val="left" w:leader="none"/>
          <w:tab w:pos="5978" w:val="left" w:leader="none"/>
        </w:tabs>
        <w:spacing w:before="170"/>
        <w:ind w:left="160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F</w:t>
      </w:r>
      <w:r>
        <w:rPr>
          <w:rFonts w:ascii="Courier New"/>
          <w:spacing w:val="17"/>
          <w:w w:val="80"/>
          <w:sz w:val="19"/>
        </w:rPr>
        <w:t> </w:t>
      </w:r>
      <w:r>
        <w:rPr>
          <w:rFonts w:ascii="Courier New"/>
          <w:w w:val="80"/>
          <w:sz w:val="19"/>
        </w:rPr>
        <w:t>test</w:t>
      </w:r>
      <w:r>
        <w:rPr>
          <w:rFonts w:ascii="Courier New"/>
          <w:spacing w:val="18"/>
          <w:w w:val="80"/>
          <w:sz w:val="19"/>
        </w:rPr>
        <w:t> </w:t>
      </w:r>
      <w:r>
        <w:rPr>
          <w:rFonts w:ascii="Courier New"/>
          <w:w w:val="80"/>
          <w:sz w:val="19"/>
        </w:rPr>
        <w:t>that</w:t>
      </w:r>
      <w:r>
        <w:rPr>
          <w:rFonts w:ascii="Courier New"/>
          <w:spacing w:val="18"/>
          <w:w w:val="80"/>
          <w:sz w:val="19"/>
        </w:rPr>
        <w:t> </w:t>
      </w:r>
      <w:r>
        <w:rPr>
          <w:rFonts w:ascii="Courier New"/>
          <w:w w:val="80"/>
          <w:sz w:val="19"/>
        </w:rPr>
        <w:t>all</w:t>
      </w:r>
      <w:r>
        <w:rPr>
          <w:rFonts w:ascii="Courier New"/>
          <w:spacing w:val="17"/>
          <w:w w:val="80"/>
          <w:sz w:val="19"/>
        </w:rPr>
        <w:t> </w:t>
      </w:r>
      <w:r>
        <w:rPr>
          <w:rFonts w:ascii="Courier New"/>
          <w:w w:val="80"/>
          <w:sz w:val="19"/>
        </w:rPr>
        <w:t>u_i=0:</w:t>
        <w:tab/>
        <w:t>F(36,</w:t>
      </w:r>
      <w:r>
        <w:rPr>
          <w:rFonts w:ascii="Courier New"/>
          <w:spacing w:val="20"/>
          <w:w w:val="80"/>
          <w:sz w:val="19"/>
        </w:rPr>
        <w:t> </w:t>
      </w:r>
      <w:r>
        <w:rPr>
          <w:rFonts w:ascii="Courier New"/>
          <w:w w:val="80"/>
          <w:sz w:val="19"/>
        </w:rPr>
        <w:t>26125)</w:t>
      </w:r>
      <w:r>
        <w:rPr>
          <w:rFonts w:ascii="Courier New"/>
          <w:spacing w:val="18"/>
          <w:w w:val="80"/>
          <w:sz w:val="19"/>
        </w:rPr>
        <w:t> </w:t>
      </w:r>
      <w:r>
        <w:rPr>
          <w:rFonts w:ascii="Courier New"/>
          <w:w w:val="80"/>
          <w:sz w:val="19"/>
        </w:rPr>
        <w:t>=</w:t>
        <w:tab/>
      </w:r>
      <w:r>
        <w:rPr>
          <w:rFonts w:ascii="Courier New"/>
          <w:w w:val="90"/>
          <w:sz w:val="19"/>
        </w:rPr>
        <w:t>12.55</w:t>
        <w:tab/>
      </w:r>
      <w:r>
        <w:rPr>
          <w:rFonts w:ascii="Courier New"/>
          <w:w w:val="80"/>
          <w:sz w:val="19"/>
        </w:rPr>
        <w:t>Prob</w:t>
      </w:r>
      <w:r>
        <w:rPr>
          <w:rFonts w:ascii="Courier New"/>
          <w:spacing w:val="14"/>
          <w:w w:val="80"/>
          <w:sz w:val="19"/>
        </w:rPr>
        <w:t> </w:t>
      </w:r>
      <w:r>
        <w:rPr>
          <w:rFonts w:ascii="Courier New"/>
          <w:w w:val="80"/>
          <w:sz w:val="19"/>
        </w:rPr>
        <w:t>&gt;</w:t>
      </w:r>
      <w:r>
        <w:rPr>
          <w:rFonts w:ascii="Courier New"/>
          <w:spacing w:val="16"/>
          <w:w w:val="80"/>
          <w:sz w:val="19"/>
        </w:rPr>
        <w:t> </w:t>
      </w:r>
      <w:r>
        <w:rPr>
          <w:rFonts w:ascii="Courier New"/>
          <w:w w:val="80"/>
          <w:sz w:val="19"/>
        </w:rPr>
        <w:t>F</w:t>
      </w:r>
      <w:r>
        <w:rPr>
          <w:rFonts w:ascii="Courier New"/>
          <w:spacing w:val="14"/>
          <w:w w:val="80"/>
          <w:sz w:val="19"/>
        </w:rPr>
        <w:t> </w:t>
      </w:r>
      <w:r>
        <w:rPr>
          <w:rFonts w:ascii="Courier New"/>
          <w:w w:val="80"/>
          <w:sz w:val="19"/>
        </w:rPr>
        <w:t>=</w:t>
      </w:r>
      <w:r>
        <w:rPr>
          <w:rFonts w:ascii="Courier New"/>
          <w:spacing w:val="15"/>
          <w:w w:val="80"/>
          <w:sz w:val="19"/>
        </w:rPr>
        <w:t> </w:t>
      </w:r>
      <w:r>
        <w:rPr>
          <w:rFonts w:ascii="Courier New"/>
          <w:w w:val="80"/>
          <w:sz w:val="19"/>
        </w:rPr>
        <w:t>0.0000</w:t>
      </w:r>
    </w:p>
    <w:p>
      <w:pPr>
        <w:spacing w:after="0"/>
        <w:jc w:val="left"/>
        <w:rPr>
          <w:rFonts w:ascii="Courier New"/>
          <w:sz w:val="19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243" w:right="557"/>
        <w:jc w:val="center"/>
      </w:pPr>
      <w:r>
        <w:rPr/>
        <w:t>TABLE</w:t>
      </w:r>
      <w:r>
        <w:rPr>
          <w:spacing w:val="-1"/>
        </w:rPr>
        <w:t> </w:t>
      </w:r>
      <w:r>
        <w:rPr/>
        <w:t>L3:</w:t>
      </w:r>
      <w:r>
        <w:rPr>
          <w:spacing w:val="-2"/>
        </w:rPr>
        <w:t> </w:t>
      </w:r>
      <w:r>
        <w:rPr/>
        <w:t>RANDOM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WAVE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before="8"/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8"/>
        <w:gridCol w:w="2432"/>
        <w:gridCol w:w="286"/>
        <w:gridCol w:w="858"/>
      </w:tblGrid>
      <w:tr>
        <w:trPr>
          <w:trHeight w:val="220" w:hRule="atLeast"/>
        </w:trPr>
        <w:tc>
          <w:tcPr>
            <w:tcW w:w="3958" w:type="dxa"/>
          </w:tcPr>
          <w:p>
            <w:pPr>
              <w:pStyle w:val="TableParagraph"/>
              <w:ind w:left="50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Random-effects</w:t>
            </w:r>
            <w:r>
              <w:rPr>
                <w:spacing w:val="39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logistic</w:t>
            </w:r>
            <w:r>
              <w:rPr>
                <w:spacing w:val="40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regression</w:t>
            </w:r>
          </w:p>
        </w:tc>
        <w:tc>
          <w:tcPr>
            <w:tcW w:w="2432" w:type="dxa"/>
          </w:tcPr>
          <w:p>
            <w:pPr>
              <w:pStyle w:val="TableParagraph"/>
              <w:ind w:left="669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Number</w:t>
            </w:r>
            <w:r>
              <w:rPr>
                <w:spacing w:val="15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of</w:t>
            </w:r>
            <w:r>
              <w:rPr>
                <w:spacing w:val="16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obs</w:t>
            </w:r>
          </w:p>
        </w:tc>
        <w:tc>
          <w:tcPr>
            <w:tcW w:w="286" w:type="dxa"/>
          </w:tcPr>
          <w:p>
            <w:pPr>
              <w:pStyle w:val="TableParagraph"/>
              <w:ind w:left="49"/>
              <w:jc w:val="left"/>
              <w:rPr>
                <w:sz w:val="17"/>
              </w:rPr>
            </w:pPr>
            <w:r>
              <w:rPr>
                <w:w w:val="88"/>
                <w:sz w:val="17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ind w:right="48"/>
              <w:rPr>
                <w:sz w:val="17"/>
              </w:rPr>
            </w:pPr>
            <w:r>
              <w:rPr>
                <w:sz w:val="17"/>
              </w:rPr>
              <w:t>26184</w:t>
            </w:r>
          </w:p>
        </w:tc>
      </w:tr>
      <w:tr>
        <w:trPr>
          <w:trHeight w:val="371" w:hRule="atLeast"/>
        </w:trPr>
        <w:tc>
          <w:tcPr>
            <w:tcW w:w="3958" w:type="dxa"/>
          </w:tcPr>
          <w:p>
            <w:pPr>
              <w:pStyle w:val="TableParagraph"/>
              <w:spacing w:before="27"/>
              <w:ind w:left="50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Group</w:t>
            </w:r>
            <w:r>
              <w:rPr>
                <w:spacing w:val="24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variable:</w:t>
            </w:r>
            <w:r>
              <w:rPr>
                <w:spacing w:val="25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state</w:t>
            </w:r>
          </w:p>
        </w:tc>
        <w:tc>
          <w:tcPr>
            <w:tcW w:w="2432" w:type="dxa"/>
          </w:tcPr>
          <w:p>
            <w:pPr>
              <w:pStyle w:val="TableParagraph"/>
              <w:spacing w:before="27"/>
              <w:ind w:left="669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Number</w:t>
            </w:r>
            <w:r>
              <w:rPr>
                <w:spacing w:val="18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of</w:t>
            </w:r>
            <w:r>
              <w:rPr>
                <w:spacing w:val="20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groups</w:t>
            </w:r>
          </w:p>
        </w:tc>
        <w:tc>
          <w:tcPr>
            <w:tcW w:w="286" w:type="dxa"/>
          </w:tcPr>
          <w:p>
            <w:pPr>
              <w:pStyle w:val="TableParagraph"/>
              <w:spacing w:before="27"/>
              <w:ind w:left="49"/>
              <w:jc w:val="left"/>
              <w:rPr>
                <w:sz w:val="17"/>
              </w:rPr>
            </w:pPr>
            <w:r>
              <w:rPr>
                <w:w w:val="88"/>
                <w:sz w:val="17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27"/>
              <w:ind w:right="48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</w:tr>
      <w:tr>
        <w:trPr>
          <w:trHeight w:val="371" w:hRule="atLeast"/>
        </w:trPr>
        <w:tc>
          <w:tcPr>
            <w:tcW w:w="3958" w:type="dxa"/>
          </w:tcPr>
          <w:p>
            <w:pPr>
              <w:pStyle w:val="TableParagraph"/>
              <w:spacing w:before="151"/>
              <w:ind w:left="50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Random</w:t>
            </w:r>
            <w:r>
              <w:rPr>
                <w:spacing w:val="20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effects</w:t>
            </w:r>
            <w:r>
              <w:rPr>
                <w:spacing w:val="19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u_i</w:t>
            </w:r>
            <w:r>
              <w:rPr>
                <w:spacing w:val="19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~</w:t>
            </w:r>
            <w:r>
              <w:rPr>
                <w:spacing w:val="19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Gaussian</w:t>
            </w:r>
          </w:p>
        </w:tc>
        <w:tc>
          <w:tcPr>
            <w:tcW w:w="2432" w:type="dxa"/>
          </w:tcPr>
          <w:p>
            <w:pPr>
              <w:pStyle w:val="TableParagraph"/>
              <w:spacing w:before="151"/>
              <w:ind w:right="49"/>
              <w:rPr>
                <w:sz w:val="17"/>
              </w:rPr>
            </w:pPr>
            <w:r>
              <w:rPr>
                <w:w w:val="90"/>
                <w:sz w:val="17"/>
              </w:rPr>
              <w:t>Obs</w:t>
            </w:r>
            <w:r>
              <w:rPr>
                <w:spacing w:val="16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per</w:t>
            </w:r>
            <w:r>
              <w:rPr>
                <w:spacing w:val="15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group:</w:t>
            </w:r>
            <w:r>
              <w:rPr>
                <w:spacing w:val="16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min</w:t>
            </w:r>
          </w:p>
        </w:tc>
        <w:tc>
          <w:tcPr>
            <w:tcW w:w="286" w:type="dxa"/>
          </w:tcPr>
          <w:p>
            <w:pPr>
              <w:pStyle w:val="TableParagraph"/>
              <w:spacing w:before="151"/>
              <w:ind w:left="49"/>
              <w:jc w:val="left"/>
              <w:rPr>
                <w:sz w:val="17"/>
              </w:rPr>
            </w:pPr>
            <w:r>
              <w:rPr>
                <w:w w:val="88"/>
                <w:sz w:val="17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151"/>
              <w:ind w:right="48"/>
              <w:rPr>
                <w:sz w:val="17"/>
              </w:rPr>
            </w:pPr>
            <w:r>
              <w:rPr>
                <w:sz w:val="17"/>
              </w:rPr>
              <w:t>215</w:t>
            </w:r>
          </w:p>
        </w:tc>
      </w:tr>
      <w:tr>
        <w:trPr>
          <w:trHeight w:val="247" w:hRule="atLeast"/>
        </w:trPr>
        <w:tc>
          <w:tcPr>
            <w:tcW w:w="395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spacing w:before="27"/>
              <w:ind w:right="49"/>
              <w:rPr>
                <w:sz w:val="17"/>
              </w:rPr>
            </w:pPr>
            <w:r>
              <w:rPr>
                <w:sz w:val="17"/>
              </w:rPr>
              <w:t>avg</w:t>
            </w:r>
          </w:p>
        </w:tc>
        <w:tc>
          <w:tcPr>
            <w:tcW w:w="286" w:type="dxa"/>
          </w:tcPr>
          <w:p>
            <w:pPr>
              <w:pStyle w:val="TableParagraph"/>
              <w:spacing w:before="27"/>
              <w:ind w:left="49"/>
              <w:jc w:val="left"/>
              <w:rPr>
                <w:sz w:val="17"/>
              </w:rPr>
            </w:pPr>
            <w:r>
              <w:rPr>
                <w:w w:val="88"/>
                <w:sz w:val="17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27"/>
              <w:ind w:right="48"/>
              <w:rPr>
                <w:sz w:val="17"/>
              </w:rPr>
            </w:pPr>
            <w:r>
              <w:rPr>
                <w:sz w:val="17"/>
              </w:rPr>
              <w:t>707.7</w:t>
            </w:r>
          </w:p>
        </w:tc>
      </w:tr>
      <w:tr>
        <w:trPr>
          <w:trHeight w:val="371" w:hRule="atLeast"/>
        </w:trPr>
        <w:tc>
          <w:tcPr>
            <w:tcW w:w="395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spacing w:before="27"/>
              <w:ind w:right="49"/>
              <w:rPr>
                <w:sz w:val="17"/>
              </w:rPr>
            </w:pPr>
            <w:r>
              <w:rPr>
                <w:sz w:val="17"/>
              </w:rPr>
              <w:t>max</w:t>
            </w:r>
          </w:p>
        </w:tc>
        <w:tc>
          <w:tcPr>
            <w:tcW w:w="286" w:type="dxa"/>
          </w:tcPr>
          <w:p>
            <w:pPr>
              <w:pStyle w:val="TableParagraph"/>
              <w:spacing w:before="27"/>
              <w:ind w:left="49"/>
              <w:jc w:val="left"/>
              <w:rPr>
                <w:sz w:val="17"/>
              </w:rPr>
            </w:pPr>
            <w:r>
              <w:rPr>
                <w:w w:val="88"/>
                <w:sz w:val="17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27"/>
              <w:ind w:right="48"/>
              <w:rPr>
                <w:sz w:val="17"/>
              </w:rPr>
            </w:pPr>
            <w:r>
              <w:rPr>
                <w:sz w:val="17"/>
              </w:rPr>
              <w:t>1367</w:t>
            </w:r>
          </w:p>
        </w:tc>
      </w:tr>
      <w:tr>
        <w:trPr>
          <w:trHeight w:val="495" w:hRule="atLeast"/>
        </w:trPr>
        <w:tc>
          <w:tcPr>
            <w:tcW w:w="3958" w:type="dxa"/>
          </w:tcPr>
          <w:p>
            <w:pPr>
              <w:pStyle w:val="TableParagraph"/>
              <w:spacing w:before="151"/>
              <w:ind w:left="50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Integration</w:t>
            </w:r>
            <w:r>
              <w:rPr>
                <w:spacing w:val="37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method:</w:t>
            </w:r>
            <w:r>
              <w:rPr>
                <w:spacing w:val="36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mvaghermite</w:t>
            </w:r>
          </w:p>
        </w:tc>
        <w:tc>
          <w:tcPr>
            <w:tcW w:w="2432" w:type="dxa"/>
          </w:tcPr>
          <w:p>
            <w:pPr>
              <w:pStyle w:val="TableParagraph"/>
              <w:spacing w:before="151"/>
              <w:ind w:right="49"/>
              <w:rPr>
                <w:sz w:val="17"/>
              </w:rPr>
            </w:pPr>
            <w:r>
              <w:rPr>
                <w:w w:val="90"/>
                <w:sz w:val="17"/>
              </w:rPr>
              <w:t>Integration</w:t>
            </w:r>
            <w:r>
              <w:rPr>
                <w:spacing w:val="34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points</w:t>
            </w:r>
          </w:p>
        </w:tc>
        <w:tc>
          <w:tcPr>
            <w:tcW w:w="286" w:type="dxa"/>
          </w:tcPr>
          <w:p>
            <w:pPr>
              <w:pStyle w:val="TableParagraph"/>
              <w:spacing w:before="151"/>
              <w:ind w:left="49"/>
              <w:jc w:val="left"/>
              <w:rPr>
                <w:sz w:val="17"/>
              </w:rPr>
            </w:pPr>
            <w:r>
              <w:rPr>
                <w:w w:val="88"/>
                <w:sz w:val="17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151"/>
              <w:ind w:right="48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</w:tr>
      <w:tr>
        <w:trPr>
          <w:trHeight w:val="371" w:hRule="atLeast"/>
        </w:trPr>
        <w:tc>
          <w:tcPr>
            <w:tcW w:w="395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spacing w:before="151"/>
              <w:ind w:left="669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Wald</w:t>
            </w:r>
            <w:r>
              <w:rPr>
                <w:spacing w:val="25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chi2(22)</w:t>
            </w:r>
          </w:p>
        </w:tc>
        <w:tc>
          <w:tcPr>
            <w:tcW w:w="286" w:type="dxa"/>
          </w:tcPr>
          <w:p>
            <w:pPr>
              <w:pStyle w:val="TableParagraph"/>
              <w:spacing w:before="151"/>
              <w:ind w:left="49"/>
              <w:jc w:val="left"/>
              <w:rPr>
                <w:sz w:val="17"/>
              </w:rPr>
            </w:pPr>
            <w:r>
              <w:rPr>
                <w:w w:val="88"/>
                <w:sz w:val="17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151"/>
              <w:ind w:right="48"/>
              <w:rPr>
                <w:sz w:val="17"/>
              </w:rPr>
            </w:pPr>
            <w:r>
              <w:rPr>
                <w:sz w:val="17"/>
              </w:rPr>
              <w:t>3852.87</w:t>
            </w:r>
          </w:p>
        </w:tc>
      </w:tr>
      <w:tr>
        <w:trPr>
          <w:trHeight w:val="220" w:hRule="atLeast"/>
        </w:trPr>
        <w:tc>
          <w:tcPr>
            <w:tcW w:w="3958" w:type="dxa"/>
          </w:tcPr>
          <w:p>
            <w:pPr>
              <w:pStyle w:val="TableParagraph"/>
              <w:spacing w:line="173" w:lineRule="exact" w:before="27"/>
              <w:ind w:left="50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Log</w:t>
            </w:r>
            <w:r>
              <w:rPr>
                <w:spacing w:val="19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likelihood</w:t>
            </w:r>
            <w:r>
              <w:rPr>
                <w:spacing w:val="116"/>
                <w:sz w:val="17"/>
              </w:rPr>
              <w:t> </w:t>
            </w:r>
            <w:r>
              <w:rPr>
                <w:w w:val="90"/>
                <w:sz w:val="17"/>
              </w:rPr>
              <w:t>=</w:t>
            </w:r>
            <w:r>
              <w:rPr>
                <w:spacing w:val="21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-5929.9803</w:t>
            </w:r>
          </w:p>
        </w:tc>
        <w:tc>
          <w:tcPr>
            <w:tcW w:w="2432" w:type="dxa"/>
          </w:tcPr>
          <w:p>
            <w:pPr>
              <w:pStyle w:val="TableParagraph"/>
              <w:spacing w:line="173" w:lineRule="exact" w:before="27"/>
              <w:ind w:left="669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Prob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&gt;</w:t>
            </w:r>
            <w:r>
              <w:rPr>
                <w:spacing w:val="-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chi2</w:t>
            </w:r>
          </w:p>
        </w:tc>
        <w:tc>
          <w:tcPr>
            <w:tcW w:w="286" w:type="dxa"/>
          </w:tcPr>
          <w:p>
            <w:pPr>
              <w:pStyle w:val="TableParagraph"/>
              <w:spacing w:line="173" w:lineRule="exact" w:before="27"/>
              <w:ind w:left="49"/>
              <w:jc w:val="left"/>
              <w:rPr>
                <w:sz w:val="17"/>
              </w:rPr>
            </w:pPr>
            <w:r>
              <w:rPr>
                <w:w w:val="88"/>
                <w:sz w:val="17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line="173" w:lineRule="exact" w:before="27"/>
              <w:ind w:right="48"/>
              <w:rPr>
                <w:sz w:val="17"/>
              </w:rPr>
            </w:pPr>
            <w:r>
              <w:rPr>
                <w:sz w:val="17"/>
              </w:rPr>
              <w:t>0.0000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8"/>
        <w:gridCol w:w="1237"/>
        <w:gridCol w:w="1096"/>
        <w:gridCol w:w="810"/>
        <w:gridCol w:w="809"/>
        <w:gridCol w:w="1286"/>
        <w:gridCol w:w="900"/>
      </w:tblGrid>
      <w:tr>
        <w:trPr>
          <w:trHeight w:val="475" w:hRule="atLeast"/>
        </w:trPr>
        <w:tc>
          <w:tcPr>
            <w:tcW w:w="3188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50"/>
              <w:ind w:right="131"/>
              <w:rPr>
                <w:sz w:val="17"/>
              </w:rPr>
            </w:pPr>
            <w:r>
              <w:rPr>
                <w:sz w:val="17"/>
              </w:rPr>
              <w:t>medicalcareconsultation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0"/>
              <w:ind w:right="135"/>
              <w:rPr>
                <w:sz w:val="17"/>
              </w:rPr>
            </w:pPr>
            <w:r>
              <w:rPr>
                <w:sz w:val="17"/>
              </w:rPr>
              <w:t>Coef.</w:t>
            </w:r>
          </w:p>
        </w:tc>
        <w:tc>
          <w:tcPr>
            <w:tcW w:w="1096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0"/>
              <w:ind w:left="154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Std.</w:t>
            </w:r>
            <w:r>
              <w:rPr>
                <w:spacing w:val="18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Err.</w:t>
            </w:r>
          </w:p>
        </w:tc>
        <w:tc>
          <w:tcPr>
            <w:tcW w:w="810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0"/>
              <w:ind w:left="488"/>
              <w:jc w:val="left"/>
              <w:rPr>
                <w:sz w:val="17"/>
              </w:rPr>
            </w:pPr>
            <w:r>
              <w:rPr>
                <w:w w:val="88"/>
                <w:sz w:val="17"/>
              </w:rPr>
              <w:t>z</w:t>
            </w:r>
          </w:p>
        </w:tc>
        <w:tc>
          <w:tcPr>
            <w:tcW w:w="809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0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P&gt;|z|</w:t>
            </w:r>
          </w:p>
        </w:tc>
        <w:tc>
          <w:tcPr>
            <w:tcW w:w="1286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0"/>
              <w:ind w:left="300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[95%</w:t>
            </w:r>
            <w:r>
              <w:rPr>
                <w:spacing w:val="21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Conf.</w:t>
            </w:r>
          </w:p>
        </w:tc>
        <w:tc>
          <w:tcPr>
            <w:tcW w:w="900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0"/>
              <w:ind w:right="-29"/>
              <w:rPr>
                <w:sz w:val="17"/>
              </w:rPr>
            </w:pPr>
            <w:r>
              <w:rPr>
                <w:w w:val="90"/>
                <w:sz w:val="17"/>
              </w:rPr>
              <w:t>Interval]</w:t>
            </w:r>
          </w:p>
        </w:tc>
      </w:tr>
      <w:tr>
        <w:trPr>
          <w:trHeight w:val="371" w:hRule="atLeast"/>
        </w:trPr>
        <w:tc>
          <w:tcPr>
            <w:tcW w:w="3188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51"/>
              <w:ind w:right="131"/>
              <w:rPr>
                <w:sz w:val="17"/>
              </w:rPr>
            </w:pPr>
            <w:r>
              <w:rPr>
                <w:sz w:val="17"/>
              </w:rPr>
              <w:t>familysize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51"/>
              <w:ind w:right="135"/>
              <w:rPr>
                <w:sz w:val="17"/>
              </w:rPr>
            </w:pPr>
            <w:r>
              <w:rPr>
                <w:sz w:val="17"/>
              </w:rPr>
              <w:t>-.0189489</w:t>
            </w:r>
          </w:p>
        </w:tc>
        <w:tc>
          <w:tcPr>
            <w:tcW w:w="109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1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.0153239</w:t>
            </w:r>
          </w:p>
        </w:tc>
        <w:tc>
          <w:tcPr>
            <w:tcW w:w="81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1"/>
              <w:ind w:right="134"/>
              <w:rPr>
                <w:sz w:val="17"/>
              </w:rPr>
            </w:pPr>
            <w:r>
              <w:rPr>
                <w:sz w:val="17"/>
              </w:rPr>
              <w:t>-1.24</w:t>
            </w:r>
          </w:p>
        </w:tc>
        <w:tc>
          <w:tcPr>
            <w:tcW w:w="809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1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0.216</w:t>
            </w:r>
          </w:p>
        </w:tc>
        <w:tc>
          <w:tcPr>
            <w:tcW w:w="128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1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-.0489831</w:t>
            </w:r>
          </w:p>
        </w:tc>
        <w:tc>
          <w:tcPr>
            <w:tcW w:w="90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1"/>
              <w:ind w:right="-29"/>
              <w:rPr>
                <w:sz w:val="17"/>
              </w:rPr>
            </w:pPr>
            <w:r>
              <w:rPr>
                <w:sz w:val="17"/>
              </w:rPr>
              <w:t>.0110854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nobasiceducation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-.0414266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.0769718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-0.54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0.590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-.1922886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.1094354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primaryeducation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1.958467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1.388522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1.41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0.158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-.7629871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4.67992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secondaryeducation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.458121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.0486371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9.42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395"/>
              <w:jc w:val="left"/>
              <w:rPr>
                <w:sz w:val="17"/>
              </w:rPr>
            </w:pPr>
            <w:r>
              <w:rPr>
                <w:sz w:val="17"/>
              </w:rPr>
              <w:t>.362794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.5534479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higherdegree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.1141327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.0371085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3.08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0.002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300"/>
              <w:jc w:val="left"/>
              <w:rPr>
                <w:sz w:val="17"/>
              </w:rPr>
            </w:pPr>
            <w:r>
              <w:rPr>
                <w:sz w:val="17"/>
              </w:rPr>
              <w:t>.0414014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.186864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.0486074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.1137431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0.43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0.669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300"/>
              <w:jc w:val="left"/>
              <w:rPr>
                <w:sz w:val="17"/>
              </w:rPr>
            </w:pPr>
            <w:r>
              <w:rPr>
                <w:sz w:val="17"/>
              </w:rPr>
              <w:t>-.174325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.2715399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.0770621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.0616763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1.25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0.211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-.0438211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.1979454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married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.3931076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.2346099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1.68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0.094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-.0667194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.8529346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singleparent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1.492792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1.155017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1.29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0.196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-.7709991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3.756583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widowed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.3017982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.3044093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0.99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0.321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-.2948331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.8984295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nevermarried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-.862973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.0562857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-15.33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300"/>
              <w:jc w:val="left"/>
              <w:rPr>
                <w:sz w:val="17"/>
              </w:rPr>
            </w:pPr>
            <w:r>
              <w:rPr>
                <w:sz w:val="17"/>
              </w:rPr>
              <w:t>-.973291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-.752655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.3368784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.2247012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1.50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0.134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-.1035278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.7772847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-2.892777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.0553001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-52.31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-3.001164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w w:val="90"/>
                <w:sz w:val="17"/>
              </w:rPr>
              <w:t>-2.784391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wagesandsalaries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.3803207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.1508933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2.52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0.012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300"/>
              <w:jc w:val="left"/>
              <w:rPr>
                <w:sz w:val="17"/>
              </w:rPr>
            </w:pPr>
            <w:r>
              <w:rPr>
                <w:sz w:val="17"/>
              </w:rPr>
              <w:t>.0845752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.6760662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w w:val="95"/>
                <w:sz w:val="17"/>
              </w:rPr>
              <w:t>entreprisesbusinessandtrading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.0007238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.0024245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0.30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0.765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-.0040281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.0054757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farmingcropandlivestock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.4861379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.2991299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1.63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0.104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-.1001458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1.072422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remittance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-.2328434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.0451379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-5.16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300"/>
              <w:jc w:val="left"/>
              <w:rPr>
                <w:sz w:val="17"/>
              </w:rPr>
            </w:pPr>
            <w:r>
              <w:rPr>
                <w:sz w:val="17"/>
              </w:rPr>
              <w:t>-.321312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w w:val="90"/>
                <w:sz w:val="17"/>
              </w:rPr>
              <w:t>-.1443747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w w:val="90"/>
                <w:sz w:val="17"/>
              </w:rPr>
              <w:t>monetaryandconditionaltransfers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.7076487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.2687392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2.63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0.008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300"/>
              <w:jc w:val="left"/>
              <w:rPr>
                <w:sz w:val="17"/>
              </w:rPr>
            </w:pPr>
            <w:r>
              <w:rPr>
                <w:sz w:val="17"/>
              </w:rPr>
              <w:t>.1809294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1.234368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pension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.0047887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249"/>
              <w:jc w:val="left"/>
              <w:rPr>
                <w:sz w:val="17"/>
              </w:rPr>
            </w:pPr>
            <w:r>
              <w:rPr>
                <w:sz w:val="17"/>
              </w:rPr>
              <w:t>.024858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0.19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0.847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-.0439322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.0535095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w w:val="85"/>
                <w:sz w:val="17"/>
              </w:rPr>
              <w:t>dividendandinterestfrominvestmen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-.0400701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.1145896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-0.35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0.727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-.2646615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.1845214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w w:val="85"/>
                <w:sz w:val="17"/>
              </w:rPr>
              <w:t>incomefrompropertiesandhouseowne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-.0539949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.0587506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-0.92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0.358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-.1691439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.0611542</w:t>
            </w:r>
          </w:p>
        </w:tc>
      </w:tr>
      <w:tr>
        <w:trPr>
          <w:trHeight w:val="247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ginicoefficient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-.195393</w:t>
            </w:r>
          </w:p>
        </w:tc>
        <w:tc>
          <w:tcPr>
            <w:tcW w:w="1096" w:type="dxa"/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.0777297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-2.51</w:t>
            </w:r>
          </w:p>
        </w:tc>
        <w:tc>
          <w:tcPr>
            <w:tcW w:w="809" w:type="dxa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0.012</w:t>
            </w:r>
          </w:p>
        </w:tc>
        <w:tc>
          <w:tcPr>
            <w:tcW w:w="1286" w:type="dxa"/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-.3477405</w:t>
            </w:r>
          </w:p>
        </w:tc>
        <w:tc>
          <w:tcPr>
            <w:tcW w:w="900" w:type="dxa"/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w w:val="90"/>
                <w:sz w:val="17"/>
              </w:rPr>
              <w:t>-.0430455</w:t>
            </w:r>
          </w:p>
        </w:tc>
      </w:tr>
      <w:tr>
        <w:trPr>
          <w:trHeight w:val="352" w:hRule="atLeast"/>
        </w:trPr>
        <w:tc>
          <w:tcPr>
            <w:tcW w:w="3188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_cons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-.7910711</w:t>
            </w:r>
          </w:p>
        </w:tc>
        <w:tc>
          <w:tcPr>
            <w:tcW w:w="109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1.705125</w:t>
            </w:r>
          </w:p>
        </w:tc>
        <w:tc>
          <w:tcPr>
            <w:tcW w:w="81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right="134"/>
              <w:rPr>
                <w:sz w:val="17"/>
              </w:rPr>
            </w:pPr>
            <w:r>
              <w:rPr>
                <w:sz w:val="17"/>
              </w:rPr>
              <w:t>-0.46</w:t>
            </w:r>
          </w:p>
        </w:tc>
        <w:tc>
          <w:tcPr>
            <w:tcW w:w="809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sz w:val="17"/>
              </w:rPr>
              <w:t>0.643</w:t>
            </w:r>
          </w:p>
        </w:tc>
        <w:tc>
          <w:tcPr>
            <w:tcW w:w="128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-4.133055</w:t>
            </w:r>
          </w:p>
        </w:tc>
        <w:tc>
          <w:tcPr>
            <w:tcW w:w="90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2.550912</w:t>
            </w:r>
          </w:p>
        </w:tc>
      </w:tr>
      <w:tr>
        <w:trPr>
          <w:trHeight w:val="475" w:hRule="atLeast"/>
        </w:trPr>
        <w:tc>
          <w:tcPr>
            <w:tcW w:w="3188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50"/>
              <w:ind w:right="131"/>
              <w:rPr>
                <w:sz w:val="17"/>
              </w:rPr>
            </w:pPr>
            <w:r>
              <w:rPr>
                <w:sz w:val="17"/>
              </w:rPr>
              <w:t>/lnsig2u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0"/>
              <w:ind w:right="135"/>
              <w:rPr>
                <w:sz w:val="17"/>
              </w:rPr>
            </w:pPr>
            <w:r>
              <w:rPr>
                <w:sz w:val="17"/>
              </w:rPr>
              <w:t>-1.170979</w:t>
            </w:r>
          </w:p>
        </w:tc>
        <w:tc>
          <w:tcPr>
            <w:tcW w:w="1096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0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.2670048</w:t>
            </w:r>
          </w:p>
        </w:tc>
        <w:tc>
          <w:tcPr>
            <w:tcW w:w="810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0"/>
              <w:ind w:left="204"/>
              <w:jc w:val="left"/>
              <w:rPr>
                <w:sz w:val="17"/>
              </w:rPr>
            </w:pPr>
            <w:r>
              <w:rPr>
                <w:sz w:val="17"/>
              </w:rPr>
              <w:t>-1.694299</w:t>
            </w:r>
          </w:p>
        </w:tc>
        <w:tc>
          <w:tcPr>
            <w:tcW w:w="900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0"/>
              <w:ind w:right="-29"/>
              <w:rPr>
                <w:sz w:val="17"/>
              </w:rPr>
            </w:pPr>
            <w:r>
              <w:rPr>
                <w:w w:val="90"/>
                <w:sz w:val="17"/>
              </w:rPr>
              <w:t>-.6476591</w:t>
            </w:r>
          </w:p>
        </w:tc>
      </w:tr>
      <w:tr>
        <w:trPr>
          <w:trHeight w:val="370" w:hRule="atLeast"/>
        </w:trPr>
        <w:tc>
          <w:tcPr>
            <w:tcW w:w="3188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50"/>
              <w:ind w:right="131"/>
              <w:rPr>
                <w:sz w:val="17"/>
              </w:rPr>
            </w:pPr>
            <w:r>
              <w:rPr>
                <w:sz w:val="17"/>
              </w:rPr>
              <w:t>sigma_u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50"/>
              <w:ind w:right="135"/>
              <w:rPr>
                <w:sz w:val="17"/>
              </w:rPr>
            </w:pPr>
            <w:r>
              <w:rPr>
                <w:sz w:val="17"/>
              </w:rPr>
              <w:t>.5568333</w:t>
            </w:r>
          </w:p>
        </w:tc>
        <w:tc>
          <w:tcPr>
            <w:tcW w:w="109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0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.0743386</w:t>
            </w:r>
          </w:p>
        </w:tc>
        <w:tc>
          <w:tcPr>
            <w:tcW w:w="810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0"/>
              <w:ind w:left="300"/>
              <w:jc w:val="left"/>
              <w:rPr>
                <w:sz w:val="17"/>
              </w:rPr>
            </w:pPr>
            <w:r>
              <w:rPr>
                <w:sz w:val="17"/>
              </w:rPr>
              <w:t>.4286351</w:t>
            </w:r>
          </w:p>
        </w:tc>
        <w:tc>
          <w:tcPr>
            <w:tcW w:w="90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0"/>
              <w:ind w:right="-29"/>
              <w:rPr>
                <w:sz w:val="17"/>
              </w:rPr>
            </w:pPr>
            <w:r>
              <w:rPr>
                <w:sz w:val="17"/>
              </w:rPr>
              <w:t>.7233735</w:t>
            </w:r>
          </w:p>
        </w:tc>
      </w:tr>
      <w:tr>
        <w:trPr>
          <w:trHeight w:val="352" w:hRule="atLeast"/>
        </w:trPr>
        <w:tc>
          <w:tcPr>
            <w:tcW w:w="3188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7"/>
              </w:rPr>
            </w:pPr>
            <w:r>
              <w:rPr>
                <w:sz w:val="17"/>
              </w:rPr>
              <w:t>rho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7"/>
              </w:rPr>
            </w:pPr>
            <w:r>
              <w:rPr>
                <w:sz w:val="17"/>
              </w:rPr>
              <w:t>.0861303</w:t>
            </w:r>
          </w:p>
        </w:tc>
        <w:tc>
          <w:tcPr>
            <w:tcW w:w="109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left="154"/>
              <w:jc w:val="left"/>
              <w:rPr>
                <w:sz w:val="17"/>
              </w:rPr>
            </w:pPr>
            <w:r>
              <w:rPr>
                <w:sz w:val="17"/>
              </w:rPr>
              <w:t>.0210165</w:t>
            </w:r>
          </w:p>
        </w:tc>
        <w:tc>
          <w:tcPr>
            <w:tcW w:w="810" w:type="dxa"/>
            <w:tcBorders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tcBorders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left="300"/>
              <w:jc w:val="left"/>
              <w:rPr>
                <w:sz w:val="17"/>
              </w:rPr>
            </w:pPr>
            <w:r>
              <w:rPr>
                <w:sz w:val="17"/>
              </w:rPr>
              <w:t>.0528927</w:t>
            </w:r>
          </w:p>
        </w:tc>
        <w:tc>
          <w:tcPr>
            <w:tcW w:w="90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right="-29"/>
              <w:rPr>
                <w:sz w:val="17"/>
              </w:rPr>
            </w:pPr>
            <w:r>
              <w:rPr>
                <w:sz w:val="17"/>
              </w:rPr>
              <w:t>.137228</w:t>
            </w:r>
          </w:p>
        </w:tc>
      </w:tr>
    </w:tbl>
    <w:p>
      <w:pPr>
        <w:tabs>
          <w:tab w:pos="4738" w:val="left" w:leader="none"/>
        </w:tabs>
        <w:spacing w:before="153"/>
        <w:ind w:left="160" w:right="0" w:firstLine="0"/>
        <w:jc w:val="left"/>
        <w:rPr>
          <w:rFonts w:ascii="Courier New"/>
          <w:sz w:val="17"/>
        </w:rPr>
      </w:pPr>
      <w:r>
        <w:rPr>
          <w:rFonts w:ascii="Courier New"/>
          <w:w w:val="90"/>
          <w:sz w:val="17"/>
        </w:rPr>
        <w:t>Likelihood-ratio</w:t>
      </w:r>
      <w:r>
        <w:rPr>
          <w:rFonts w:ascii="Courier New"/>
          <w:spacing w:val="24"/>
          <w:w w:val="90"/>
          <w:sz w:val="17"/>
        </w:rPr>
        <w:t> </w:t>
      </w:r>
      <w:r>
        <w:rPr>
          <w:rFonts w:ascii="Courier New"/>
          <w:w w:val="90"/>
          <w:sz w:val="17"/>
        </w:rPr>
        <w:t>test</w:t>
      </w:r>
      <w:r>
        <w:rPr>
          <w:rFonts w:ascii="Courier New"/>
          <w:spacing w:val="24"/>
          <w:w w:val="90"/>
          <w:sz w:val="17"/>
        </w:rPr>
        <w:t> </w:t>
      </w:r>
      <w:r>
        <w:rPr>
          <w:rFonts w:ascii="Courier New"/>
          <w:w w:val="90"/>
          <w:sz w:val="17"/>
        </w:rPr>
        <w:t>of</w:t>
      </w:r>
      <w:r>
        <w:rPr>
          <w:rFonts w:ascii="Courier New"/>
          <w:spacing w:val="24"/>
          <w:w w:val="90"/>
          <w:sz w:val="17"/>
        </w:rPr>
        <w:t> </w:t>
      </w:r>
      <w:r>
        <w:rPr>
          <w:rFonts w:ascii="Courier New"/>
          <w:w w:val="90"/>
          <w:sz w:val="17"/>
        </w:rPr>
        <w:t>rho=0:</w:t>
      </w:r>
      <w:r>
        <w:rPr>
          <w:rFonts w:ascii="Courier New"/>
          <w:spacing w:val="24"/>
          <w:w w:val="90"/>
          <w:sz w:val="17"/>
        </w:rPr>
        <w:t> </w:t>
      </w:r>
      <w:r>
        <w:rPr>
          <w:rFonts w:ascii="Courier New"/>
          <w:w w:val="90"/>
          <w:sz w:val="17"/>
        </w:rPr>
        <w:t>chibar2(01)</w:t>
      </w:r>
      <w:r>
        <w:rPr>
          <w:rFonts w:ascii="Courier New"/>
          <w:spacing w:val="23"/>
          <w:w w:val="90"/>
          <w:sz w:val="17"/>
        </w:rPr>
        <w:t> </w:t>
      </w:r>
      <w:r>
        <w:rPr>
          <w:rFonts w:ascii="Courier New"/>
          <w:w w:val="90"/>
          <w:sz w:val="17"/>
        </w:rPr>
        <w:t>=</w:t>
        <w:tab/>
        <w:t>290.54</w:t>
      </w:r>
      <w:r>
        <w:rPr>
          <w:rFonts w:ascii="Courier New"/>
          <w:spacing w:val="17"/>
          <w:w w:val="90"/>
          <w:sz w:val="17"/>
        </w:rPr>
        <w:t> </w:t>
      </w:r>
      <w:r>
        <w:rPr>
          <w:rFonts w:ascii="Courier New"/>
          <w:w w:val="90"/>
          <w:sz w:val="17"/>
        </w:rPr>
        <w:t>Prob</w:t>
      </w:r>
      <w:r>
        <w:rPr>
          <w:rFonts w:ascii="Courier New"/>
          <w:spacing w:val="16"/>
          <w:w w:val="90"/>
          <w:sz w:val="17"/>
        </w:rPr>
        <w:t> </w:t>
      </w:r>
      <w:r>
        <w:rPr>
          <w:rFonts w:ascii="Courier New"/>
          <w:w w:val="90"/>
          <w:sz w:val="17"/>
        </w:rPr>
        <w:t>&gt;=</w:t>
      </w:r>
      <w:r>
        <w:rPr>
          <w:rFonts w:ascii="Courier New"/>
          <w:spacing w:val="17"/>
          <w:w w:val="90"/>
          <w:sz w:val="17"/>
        </w:rPr>
        <w:t> </w:t>
      </w:r>
      <w:r>
        <w:rPr>
          <w:rFonts w:ascii="Courier New"/>
          <w:w w:val="90"/>
          <w:sz w:val="17"/>
        </w:rPr>
        <w:t>chibar2</w:t>
      </w:r>
      <w:r>
        <w:rPr>
          <w:rFonts w:ascii="Courier New"/>
          <w:spacing w:val="17"/>
          <w:w w:val="90"/>
          <w:sz w:val="17"/>
        </w:rPr>
        <w:t> </w:t>
      </w:r>
      <w:r>
        <w:rPr>
          <w:rFonts w:ascii="Courier New"/>
          <w:w w:val="90"/>
          <w:sz w:val="17"/>
        </w:rPr>
        <w:t>=</w:t>
      </w:r>
      <w:r>
        <w:rPr>
          <w:rFonts w:ascii="Courier New"/>
          <w:spacing w:val="17"/>
          <w:w w:val="90"/>
          <w:sz w:val="17"/>
        </w:rPr>
        <w:t> </w:t>
      </w:r>
      <w:r>
        <w:rPr>
          <w:rFonts w:ascii="Courier New"/>
          <w:w w:val="90"/>
          <w:sz w:val="17"/>
        </w:rPr>
        <w:t>0.000</w:t>
      </w:r>
    </w:p>
    <w:p>
      <w:pPr>
        <w:spacing w:after="0"/>
        <w:jc w:val="left"/>
        <w:rPr>
          <w:rFonts w:ascii="Courier New"/>
          <w:sz w:val="17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3"/>
        <w:jc w:val="center"/>
      </w:pPr>
      <w:r>
        <w:rPr/>
        <w:t>TABLE</w:t>
      </w:r>
      <w:r>
        <w:rPr>
          <w:spacing w:val="-1"/>
        </w:rPr>
        <w:t> </w:t>
      </w:r>
      <w:r>
        <w:rPr/>
        <w:t>L4:</w:t>
      </w:r>
      <w:r>
        <w:rPr>
          <w:spacing w:val="-2"/>
        </w:rPr>
        <w:t> </w:t>
      </w:r>
      <w:r>
        <w:rPr/>
        <w:t>HOMOGENEITY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WAVE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before="10"/>
        <w:rPr>
          <w:sz w:val="9"/>
        </w:rPr>
      </w:pPr>
    </w:p>
    <w:p>
      <w:pPr>
        <w:spacing w:before="106"/>
        <w:ind w:left="160" w:right="0" w:firstLine="0"/>
        <w:jc w:val="left"/>
        <w:rPr>
          <w:rFonts w:ascii="Courier New"/>
          <w:sz w:val="12"/>
        </w:rPr>
      </w:pPr>
      <w:r>
        <w:rPr>
          <w:rFonts w:ascii="Courier New"/>
          <w:w w:val="125"/>
          <w:sz w:val="12"/>
        </w:rPr>
        <w:t>Breusch</w:t>
      </w:r>
      <w:r>
        <w:rPr>
          <w:rFonts w:ascii="Courier New"/>
          <w:spacing w:val="38"/>
          <w:w w:val="125"/>
          <w:sz w:val="12"/>
        </w:rPr>
        <w:t> </w:t>
      </w:r>
      <w:r>
        <w:rPr>
          <w:rFonts w:ascii="Courier New"/>
          <w:w w:val="125"/>
          <w:sz w:val="12"/>
        </w:rPr>
        <w:t>and</w:t>
      </w:r>
      <w:r>
        <w:rPr>
          <w:rFonts w:ascii="Courier New"/>
          <w:spacing w:val="38"/>
          <w:w w:val="125"/>
          <w:sz w:val="12"/>
        </w:rPr>
        <w:t> </w:t>
      </w:r>
      <w:r>
        <w:rPr>
          <w:rFonts w:ascii="Courier New"/>
          <w:w w:val="125"/>
          <w:sz w:val="12"/>
        </w:rPr>
        <w:t>Pagan</w:t>
      </w:r>
      <w:r>
        <w:rPr>
          <w:rFonts w:ascii="Courier New"/>
          <w:spacing w:val="38"/>
          <w:w w:val="125"/>
          <w:sz w:val="12"/>
        </w:rPr>
        <w:t> </w:t>
      </w:r>
      <w:r>
        <w:rPr>
          <w:rFonts w:ascii="Courier New"/>
          <w:w w:val="125"/>
          <w:sz w:val="12"/>
        </w:rPr>
        <w:t>Lagrangian</w:t>
      </w:r>
      <w:r>
        <w:rPr>
          <w:rFonts w:ascii="Courier New"/>
          <w:spacing w:val="39"/>
          <w:w w:val="125"/>
          <w:sz w:val="12"/>
        </w:rPr>
        <w:t> </w:t>
      </w:r>
      <w:r>
        <w:rPr>
          <w:rFonts w:ascii="Courier New"/>
          <w:w w:val="125"/>
          <w:sz w:val="12"/>
        </w:rPr>
        <w:t>multiplier</w:t>
      </w:r>
      <w:r>
        <w:rPr>
          <w:rFonts w:ascii="Courier New"/>
          <w:spacing w:val="38"/>
          <w:w w:val="125"/>
          <w:sz w:val="12"/>
        </w:rPr>
        <w:t> </w:t>
      </w:r>
      <w:r>
        <w:rPr>
          <w:rFonts w:ascii="Courier New"/>
          <w:w w:val="125"/>
          <w:sz w:val="12"/>
        </w:rPr>
        <w:t>test</w:t>
      </w:r>
      <w:r>
        <w:rPr>
          <w:rFonts w:ascii="Courier New"/>
          <w:spacing w:val="38"/>
          <w:w w:val="125"/>
          <w:sz w:val="12"/>
        </w:rPr>
        <w:t> </w:t>
      </w:r>
      <w:r>
        <w:rPr>
          <w:rFonts w:ascii="Courier New"/>
          <w:w w:val="125"/>
          <w:sz w:val="12"/>
        </w:rPr>
        <w:t>for</w:t>
      </w:r>
      <w:r>
        <w:rPr>
          <w:rFonts w:ascii="Courier New"/>
          <w:spacing w:val="39"/>
          <w:w w:val="125"/>
          <w:sz w:val="12"/>
        </w:rPr>
        <w:t> </w:t>
      </w:r>
      <w:r>
        <w:rPr>
          <w:rFonts w:ascii="Courier New"/>
          <w:w w:val="125"/>
          <w:sz w:val="12"/>
        </w:rPr>
        <w:t>random</w:t>
      </w:r>
      <w:r>
        <w:rPr>
          <w:rFonts w:ascii="Courier New"/>
          <w:spacing w:val="38"/>
          <w:w w:val="125"/>
          <w:sz w:val="12"/>
        </w:rPr>
        <w:t> </w:t>
      </w:r>
      <w:r>
        <w:rPr>
          <w:rFonts w:ascii="Courier New"/>
          <w:w w:val="125"/>
          <w:sz w:val="12"/>
        </w:rPr>
        <w:t>effects</w:t>
      </w:r>
    </w:p>
    <w:p>
      <w:pPr>
        <w:pStyle w:val="BodyText"/>
        <w:spacing w:before="4"/>
        <w:rPr>
          <w:rFonts w:ascii="Courier New"/>
          <w:sz w:val="11"/>
        </w:rPr>
      </w:pPr>
    </w:p>
    <w:p>
      <w:pPr>
        <w:spacing w:before="106"/>
        <w:ind w:left="923" w:right="0" w:firstLine="0"/>
        <w:jc w:val="left"/>
        <w:rPr>
          <w:rFonts w:ascii="Courier New"/>
          <w:sz w:val="12"/>
        </w:rPr>
      </w:pPr>
      <w:r>
        <w:rPr>
          <w:rFonts w:ascii="Courier New"/>
          <w:w w:val="125"/>
          <w:sz w:val="12"/>
        </w:rPr>
        <w:t>medicalcareconsultation[state,t]</w:t>
      </w:r>
      <w:r>
        <w:rPr>
          <w:rFonts w:ascii="Courier New"/>
          <w:spacing w:val="48"/>
          <w:w w:val="125"/>
          <w:sz w:val="12"/>
        </w:rPr>
        <w:t> </w:t>
      </w:r>
      <w:r>
        <w:rPr>
          <w:rFonts w:ascii="Courier New"/>
          <w:w w:val="125"/>
          <w:sz w:val="12"/>
        </w:rPr>
        <w:t>=</w:t>
      </w:r>
      <w:r>
        <w:rPr>
          <w:rFonts w:ascii="Courier New"/>
          <w:spacing w:val="49"/>
          <w:w w:val="125"/>
          <w:sz w:val="12"/>
        </w:rPr>
        <w:t> </w:t>
      </w:r>
      <w:r>
        <w:rPr>
          <w:rFonts w:ascii="Courier New"/>
          <w:w w:val="125"/>
          <w:sz w:val="12"/>
        </w:rPr>
        <w:t>Xb</w:t>
      </w:r>
      <w:r>
        <w:rPr>
          <w:rFonts w:ascii="Courier New"/>
          <w:spacing w:val="49"/>
          <w:w w:val="125"/>
          <w:sz w:val="12"/>
        </w:rPr>
        <w:t> </w:t>
      </w:r>
      <w:r>
        <w:rPr>
          <w:rFonts w:ascii="Courier New"/>
          <w:w w:val="125"/>
          <w:sz w:val="12"/>
        </w:rPr>
        <w:t>+</w:t>
      </w:r>
      <w:r>
        <w:rPr>
          <w:rFonts w:ascii="Courier New"/>
          <w:spacing w:val="48"/>
          <w:w w:val="125"/>
          <w:sz w:val="12"/>
        </w:rPr>
        <w:t> </w:t>
      </w:r>
      <w:r>
        <w:rPr>
          <w:rFonts w:ascii="Courier New"/>
          <w:w w:val="125"/>
          <w:sz w:val="12"/>
        </w:rPr>
        <w:t>u[state]</w:t>
      </w:r>
      <w:r>
        <w:rPr>
          <w:rFonts w:ascii="Courier New"/>
          <w:spacing w:val="49"/>
          <w:w w:val="125"/>
          <w:sz w:val="12"/>
        </w:rPr>
        <w:t> </w:t>
      </w:r>
      <w:r>
        <w:rPr>
          <w:rFonts w:ascii="Courier New"/>
          <w:w w:val="125"/>
          <w:sz w:val="12"/>
        </w:rPr>
        <w:t>+</w:t>
      </w:r>
      <w:r>
        <w:rPr>
          <w:rFonts w:ascii="Courier New"/>
          <w:spacing w:val="49"/>
          <w:w w:val="125"/>
          <w:sz w:val="12"/>
        </w:rPr>
        <w:t> </w:t>
      </w:r>
      <w:r>
        <w:rPr>
          <w:rFonts w:ascii="Courier New"/>
          <w:w w:val="125"/>
          <w:sz w:val="12"/>
        </w:rPr>
        <w:t>e[state,t]</w:t>
      </w:r>
    </w:p>
    <w:p>
      <w:pPr>
        <w:pStyle w:val="BodyText"/>
        <w:spacing w:before="3"/>
        <w:rPr>
          <w:rFonts w:ascii="Courier New"/>
          <w:sz w:val="11"/>
        </w:rPr>
      </w:pPr>
    </w:p>
    <w:p>
      <w:pPr>
        <w:spacing w:before="106" w:after="21"/>
        <w:ind w:left="923" w:right="0" w:firstLine="0"/>
        <w:jc w:val="left"/>
        <w:rPr>
          <w:rFonts w:ascii="Courier New"/>
          <w:sz w:val="12"/>
        </w:rPr>
      </w:pPr>
      <w:r>
        <w:rPr>
          <w:rFonts w:ascii="Courier New"/>
          <w:w w:val="125"/>
          <w:sz w:val="12"/>
        </w:rPr>
        <w:t>Estimated</w:t>
      </w:r>
      <w:r>
        <w:rPr>
          <w:rFonts w:ascii="Courier New"/>
          <w:spacing w:val="65"/>
          <w:w w:val="125"/>
          <w:sz w:val="12"/>
        </w:rPr>
        <w:t> </w:t>
      </w:r>
      <w:r>
        <w:rPr>
          <w:rFonts w:ascii="Courier New"/>
          <w:w w:val="125"/>
          <w:sz w:val="12"/>
        </w:rPr>
        <w:t>results:</w:t>
      </w:r>
    </w:p>
    <w:p>
      <w:pPr>
        <w:pStyle w:val="BodyText"/>
        <w:ind w:left="1591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191.5pt;height:45.7pt;mso-position-horizontal-relative:char;mso-position-vertical-relative:line" coordorigin="0,0" coordsize="3830,914">
            <v:shape style="position:absolute;left:101;top:184;width:1036;height:729" coordorigin="102,185" coordsize="1036,729" path="m1001,740l1001,913m1001,555l1001,728m1001,370l1001,543m102,266l184,266m198,266l279,266m293,266l375,266m388,266l470,266m484,266l565,266m579,266l661,266m675,266l756,266m770,266l851,266m865,266l947,266m960,266l1042,266m1001,185l1001,358m1056,266l1138,266e" filled="false" stroked="true" strokeweight=".633749pt" strokecolor="#000000">
              <v:path arrowok="t"/>
              <v:stroke dashstyle="solid"/>
            </v:shape>
            <v:line style="position:absolute" from="1151,266" to="3808,266" stroked="true" strokeweight=".580589pt" strokecolor="#000000">
              <v:stroke dashstyle="shortdash"/>
            </v:line>
            <v:line style="position:absolute" from="1001,0" to="1001,173" stroked="true" strokeweight=".686909pt" strokecolor="#000000">
              <v:stroke dashstyle="solid"/>
            </v:line>
            <v:shape style="position:absolute;left:1716;top:15;width:301;height:14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w w:val="125"/>
                        <w:sz w:val="12"/>
                      </w:rPr>
                      <w:t>Var</w:t>
                    </w:r>
                  </w:p>
                </w:txbxContent>
              </v:textbox>
              <w10:wrap type="none"/>
            </v:shape>
            <v:shape style="position:absolute;left:2479;top:15;width:1351;height:14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w w:val="125"/>
                        <w:sz w:val="12"/>
                      </w:rPr>
                      <w:t>sd</w:t>
                    </w:r>
                    <w:r>
                      <w:rPr>
                        <w:rFonts w:ascii="Courier New"/>
                        <w:spacing w:val="30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w w:val="125"/>
                        <w:sz w:val="12"/>
                      </w:rPr>
                      <w:t>=</w:t>
                    </w:r>
                    <w:r>
                      <w:rPr>
                        <w:rFonts w:ascii="Courier New"/>
                        <w:spacing w:val="31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w w:val="125"/>
                        <w:sz w:val="12"/>
                      </w:rPr>
                      <w:t>sqrt(Var)</w:t>
                    </w:r>
                  </w:p>
                </w:txbxContent>
              </v:textbox>
              <w10:wrap type="none"/>
            </v:shape>
            <v:shape style="position:absolute;left:0;top:385;width:874;height:514" type="#_x0000_t202" filled="false" stroked="false">
              <v:textbox inset="0,0,0,0">
                <w:txbxContent>
                  <w:p>
                    <w:pPr>
                      <w:spacing w:before="6"/>
                      <w:ind w:left="0" w:right="18" w:firstLine="0"/>
                      <w:jc w:val="righ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w w:val="125"/>
                        <w:sz w:val="12"/>
                      </w:rPr>
                      <w:t>medical~n</w:t>
                    </w:r>
                  </w:p>
                  <w:p>
                    <w:pPr>
                      <w:spacing w:line="180" w:lineRule="atLeast" w:before="5"/>
                      <w:ind w:left="696" w:right="18" w:firstLine="0"/>
                      <w:jc w:val="righ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w w:val="125"/>
                        <w:sz w:val="12"/>
                      </w:rPr>
                      <w:t>e</w:t>
                    </w:r>
                    <w:r>
                      <w:rPr>
                        <w:rFonts w:ascii="Courier New"/>
                        <w:spacing w:val="-89"/>
                        <w:w w:val="12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w w:val="125"/>
                        <w:sz w:val="12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1335;top:385;width:778;height:51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w w:val="125"/>
                        <w:sz w:val="12"/>
                      </w:rPr>
                      <w:t>.0931834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w w:val="125"/>
                        <w:sz w:val="12"/>
                      </w:rPr>
                      <w:t>.0674085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w w:val="125"/>
                        <w:sz w:val="12"/>
                      </w:rPr>
                      <w:t>.0008587</w:t>
                    </w:r>
                  </w:p>
                </w:txbxContent>
              </v:textbox>
              <w10:wrap type="none"/>
            </v:shape>
            <v:shape style="position:absolute;left:2765;top:385;width:778;height:51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w w:val="125"/>
                        <w:sz w:val="12"/>
                      </w:rPr>
                      <w:t>.3052596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w w:val="125"/>
                        <w:sz w:val="12"/>
                      </w:rPr>
                      <w:t>.2596315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w w:val="125"/>
                        <w:sz w:val="12"/>
                      </w:rPr>
                      <w:t>.0293043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spacing w:before="1"/>
        <w:rPr>
          <w:rFonts w:ascii="Courier New"/>
          <w:sz w:val="7"/>
        </w:rPr>
      </w:pPr>
    </w:p>
    <w:p>
      <w:pPr>
        <w:spacing w:after="0"/>
        <w:rPr>
          <w:rFonts w:ascii="Courier New"/>
          <w:sz w:val="7"/>
        </w:rPr>
        <w:sectPr>
          <w:pgSz w:w="12240" w:h="15840"/>
          <w:pgMar w:header="0" w:footer="935" w:top="1360" w:bottom="1200" w:left="1320" w:right="1000"/>
        </w:sectPr>
      </w:pPr>
    </w:p>
    <w:p>
      <w:pPr>
        <w:tabs>
          <w:tab w:pos="1686" w:val="left" w:leader="none"/>
        </w:tabs>
        <w:spacing w:before="106"/>
        <w:ind w:left="923" w:right="0" w:firstLine="0"/>
        <w:jc w:val="left"/>
        <w:rPr>
          <w:rFonts w:ascii="Courier New"/>
          <w:sz w:val="12"/>
        </w:rPr>
      </w:pPr>
      <w:r>
        <w:rPr>
          <w:rFonts w:ascii="Courier New"/>
          <w:w w:val="125"/>
          <w:sz w:val="12"/>
        </w:rPr>
        <w:t>Test:</w:t>
        <w:tab/>
        <w:t>Var(u)</w:t>
      </w:r>
      <w:r>
        <w:rPr>
          <w:rFonts w:ascii="Courier New"/>
          <w:spacing w:val="14"/>
          <w:w w:val="125"/>
          <w:sz w:val="12"/>
        </w:rPr>
        <w:t> </w:t>
      </w:r>
      <w:r>
        <w:rPr>
          <w:rFonts w:ascii="Courier New"/>
          <w:w w:val="125"/>
          <w:sz w:val="12"/>
        </w:rPr>
        <w:t>=</w:t>
      </w:r>
      <w:r>
        <w:rPr>
          <w:rFonts w:ascii="Courier New"/>
          <w:spacing w:val="14"/>
          <w:w w:val="125"/>
          <w:sz w:val="12"/>
        </w:rPr>
        <w:t> </w:t>
      </w:r>
      <w:r>
        <w:rPr>
          <w:rFonts w:ascii="Courier New"/>
          <w:w w:val="125"/>
          <w:sz w:val="12"/>
        </w:rPr>
        <w:t>0</w:t>
      </w:r>
    </w:p>
    <w:p>
      <w:pPr>
        <w:pStyle w:val="BodyTex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pStyle w:val="BodyText"/>
        <w:spacing w:before="8"/>
        <w:rPr>
          <w:rFonts w:ascii="Courier New"/>
          <w:sz w:val="11"/>
        </w:rPr>
      </w:pPr>
    </w:p>
    <w:p>
      <w:pPr>
        <w:tabs>
          <w:tab w:pos="1777" w:val="left" w:leader="none"/>
        </w:tabs>
        <w:spacing w:line="326" w:lineRule="auto" w:before="0"/>
        <w:ind w:left="-35" w:right="4898" w:firstLine="286"/>
        <w:jc w:val="left"/>
        <w:rPr>
          <w:rFonts w:ascii="Courier New"/>
          <w:sz w:val="12"/>
        </w:rPr>
      </w:pPr>
      <w:r>
        <w:rPr>
          <w:rFonts w:ascii="Courier New"/>
          <w:w w:val="125"/>
          <w:sz w:val="12"/>
        </w:rPr>
        <w:t>chibar2(01)</w:t>
      </w:r>
      <w:r>
        <w:rPr>
          <w:rFonts w:ascii="Courier New"/>
          <w:spacing w:val="32"/>
          <w:w w:val="125"/>
          <w:sz w:val="12"/>
        </w:rPr>
        <w:t> </w:t>
      </w:r>
      <w:r>
        <w:rPr>
          <w:rFonts w:ascii="Courier New"/>
          <w:w w:val="125"/>
          <w:sz w:val="12"/>
        </w:rPr>
        <w:t>=</w:t>
      </w:r>
      <w:r>
        <w:rPr>
          <w:rFonts w:ascii="Courier New"/>
          <w:spacing w:val="60"/>
          <w:w w:val="125"/>
          <w:sz w:val="12"/>
        </w:rPr>
        <w:t> </w:t>
      </w:r>
      <w:r>
        <w:rPr>
          <w:rFonts w:ascii="Courier New"/>
          <w:w w:val="125"/>
          <w:sz w:val="12"/>
        </w:rPr>
        <w:t>1466.88</w:t>
      </w:r>
      <w:r>
        <w:rPr>
          <w:rFonts w:ascii="Courier New"/>
          <w:spacing w:val="-88"/>
          <w:w w:val="125"/>
          <w:sz w:val="12"/>
        </w:rPr>
        <w:t> </w:t>
      </w:r>
      <w:r>
        <w:rPr>
          <w:rFonts w:ascii="Courier New"/>
          <w:w w:val="125"/>
          <w:sz w:val="12"/>
        </w:rPr>
        <w:t>Prob</w:t>
      </w:r>
      <w:r>
        <w:rPr>
          <w:rFonts w:ascii="Courier New"/>
          <w:spacing w:val="22"/>
          <w:w w:val="125"/>
          <w:sz w:val="12"/>
        </w:rPr>
        <w:t> </w:t>
      </w:r>
      <w:r>
        <w:rPr>
          <w:rFonts w:ascii="Courier New"/>
          <w:w w:val="125"/>
          <w:sz w:val="12"/>
        </w:rPr>
        <w:t>&gt;</w:t>
      </w:r>
      <w:r>
        <w:rPr>
          <w:rFonts w:ascii="Courier New"/>
          <w:spacing w:val="23"/>
          <w:w w:val="125"/>
          <w:sz w:val="12"/>
        </w:rPr>
        <w:t> </w:t>
      </w:r>
      <w:r>
        <w:rPr>
          <w:rFonts w:ascii="Courier New"/>
          <w:w w:val="125"/>
          <w:sz w:val="12"/>
        </w:rPr>
        <w:t>chibar2</w:t>
      </w:r>
      <w:r>
        <w:rPr>
          <w:rFonts w:ascii="Courier New"/>
          <w:spacing w:val="23"/>
          <w:w w:val="125"/>
          <w:sz w:val="12"/>
        </w:rPr>
        <w:t> </w:t>
      </w:r>
      <w:r>
        <w:rPr>
          <w:rFonts w:ascii="Courier New"/>
          <w:w w:val="125"/>
          <w:sz w:val="12"/>
        </w:rPr>
        <w:t>=</w:t>
        <w:tab/>
        <w:t>0.0000</w:t>
      </w:r>
    </w:p>
    <w:p>
      <w:pPr>
        <w:spacing w:after="0" w:line="326" w:lineRule="auto"/>
        <w:jc w:val="left"/>
        <w:rPr>
          <w:rFonts w:ascii="Courier New"/>
          <w:sz w:val="12"/>
        </w:rPr>
        <w:sectPr>
          <w:type w:val="continuous"/>
          <w:pgSz w:w="12240" w:h="15840"/>
          <w:pgMar w:top="1380" w:bottom="280" w:left="1320" w:right="1000"/>
          <w:cols w:num="2" w:equalWidth="0">
            <w:col w:w="2636" w:space="40"/>
            <w:col w:w="7244"/>
          </w:cols>
        </w:sectPr>
      </w:pPr>
    </w:p>
    <w:p>
      <w:pPr>
        <w:pStyle w:val="BodyText"/>
        <w:spacing w:before="145"/>
        <w:ind w:left="197" w:right="514"/>
        <w:jc w:val="center"/>
      </w:pPr>
      <w:r>
        <w:rPr/>
        <w:t>TABLE</w:t>
      </w:r>
      <w:r>
        <w:rPr>
          <w:spacing w:val="-1"/>
        </w:rPr>
        <w:t> </w:t>
      </w:r>
      <w:r>
        <w:rPr/>
        <w:t>L5:</w:t>
      </w:r>
      <w:r>
        <w:rPr>
          <w:spacing w:val="-1"/>
        </w:rPr>
        <w:t> </w:t>
      </w:r>
      <w:r>
        <w:rPr/>
        <w:t>HAUSMAN 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WAVE I</w:t>
      </w:r>
    </w:p>
    <w:p>
      <w:pPr>
        <w:pStyle w:val="BodyText"/>
        <w:spacing w:before="9"/>
        <w:rPr>
          <w:sz w:val="15"/>
        </w:rPr>
      </w:pPr>
    </w:p>
    <w:p>
      <w:pPr>
        <w:spacing w:before="99" w:after="33"/>
        <w:ind w:left="2467" w:right="0" w:firstLine="0"/>
        <w:jc w:val="left"/>
        <w:rPr>
          <w:rFonts w:ascii="Courier New"/>
          <w:sz w:val="17"/>
        </w:rPr>
      </w:pPr>
      <w:r>
        <w:rPr/>
        <w:pict>
          <v:shape style="position:absolute;margin-left:163.580261pt;margin-top:9.328049pt;width:20.2pt;height:.1pt;mso-position-horizontal-relative:page;mso-position-vertical-relative:paragraph;z-index:15797760" coordorigin="3272,187" coordsize="404,0" path="m3272,187l3361,187m3376,187l3466,187m3481,187l3570,187m3585,187l3675,187e" filled="false" stroked="true" strokeweight=".764033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57.760071pt;margin-top:9.328049pt;width:20.2pt;height:.1pt;mso-position-horizontal-relative:page;mso-position-vertical-relative:paragraph;z-index:15798272" coordorigin="5155,187" coordsize="404,0" path="m5155,187l5245,187m5260,187l5350,187m5365,187l5454,187m5469,187l5559,187e" filled="false" stroked="true" strokeweight=".764033pt" strokecolor="#000000">
            <v:path arrowok="t"/>
            <v:stroke dashstyle="solid"/>
            <w10:wrap type="none"/>
          </v:shape>
        </w:pict>
      </w:r>
      <w:r>
        <w:rPr>
          <w:rFonts w:ascii="Courier New"/>
          <w:sz w:val="17"/>
        </w:rPr>
        <w:t>Coefficients</w:t>
      </w: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1515"/>
        <w:gridCol w:w="1466"/>
        <w:gridCol w:w="1518"/>
        <w:gridCol w:w="2246"/>
      </w:tblGrid>
      <w:tr>
        <w:trPr>
          <w:trHeight w:val="588" w:hRule="atLeast"/>
        </w:trPr>
        <w:tc>
          <w:tcPr>
            <w:tcW w:w="1406" w:type="dxa"/>
            <w:tcBorders>
              <w:bottom w:val="dashSmallGap" w:sz="8" w:space="0" w:color="000000"/>
              <w:right w:val="dashed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981" w:type="dxa"/>
            <w:gridSpan w:val="2"/>
            <w:tcBorders>
              <w:left w:val="dashed" w:sz="8" w:space="0" w:color="000000"/>
              <w:bottom w:val="dashSmallGap" w:sz="8" w:space="0" w:color="000000"/>
            </w:tcBorders>
          </w:tcPr>
          <w:p>
            <w:pPr>
              <w:pStyle w:val="TableParagraph"/>
              <w:tabs>
                <w:tab w:pos="1360" w:val="left" w:leader="none"/>
              </w:tabs>
              <w:spacing w:before="20"/>
              <w:ind w:right="622"/>
              <w:rPr>
                <w:sz w:val="17"/>
              </w:rPr>
            </w:pPr>
            <w:r>
              <w:rPr>
                <w:sz w:val="17"/>
              </w:rPr>
              <w:t>(b)</w:t>
              <w:tab/>
              <w:t>(B)</w:t>
            </w:r>
          </w:p>
          <w:p>
            <w:pPr>
              <w:pStyle w:val="TableParagraph"/>
              <w:tabs>
                <w:tab w:pos="1360" w:val="left" w:leader="none"/>
              </w:tabs>
              <w:spacing w:before="52"/>
              <w:ind w:right="622"/>
              <w:rPr>
                <w:sz w:val="17"/>
              </w:rPr>
            </w:pPr>
            <w:r>
              <w:rPr>
                <w:sz w:val="17"/>
              </w:rPr>
              <w:t>fe</w:t>
              <w:tab/>
              <w:t>re</w:t>
            </w:r>
          </w:p>
        </w:tc>
        <w:tc>
          <w:tcPr>
            <w:tcW w:w="1518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0"/>
              <w:ind w:left="637"/>
              <w:jc w:val="left"/>
              <w:rPr>
                <w:sz w:val="17"/>
              </w:rPr>
            </w:pPr>
            <w:r>
              <w:rPr>
                <w:sz w:val="17"/>
              </w:rPr>
              <w:t>(b-B)</w:t>
            </w:r>
          </w:p>
          <w:p>
            <w:pPr>
              <w:pStyle w:val="TableParagraph"/>
              <w:spacing w:before="52"/>
              <w:ind w:left="323"/>
              <w:jc w:val="left"/>
              <w:rPr>
                <w:sz w:val="17"/>
              </w:rPr>
            </w:pPr>
            <w:r>
              <w:rPr>
                <w:sz w:val="17"/>
              </w:rPr>
              <w:t>Difference</w:t>
            </w:r>
          </w:p>
        </w:tc>
        <w:tc>
          <w:tcPr>
            <w:tcW w:w="224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line="304" w:lineRule="auto" w:before="20"/>
              <w:ind w:left="898" w:hanging="733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sqrt(diag(V_b-V_B))</w:t>
            </w:r>
            <w:r>
              <w:rPr>
                <w:spacing w:val="1"/>
                <w:w w:val="95"/>
                <w:sz w:val="17"/>
              </w:rPr>
              <w:t> </w:t>
            </w:r>
            <w:r>
              <w:rPr>
                <w:sz w:val="17"/>
              </w:rPr>
              <w:t>S.E.</w:t>
            </w:r>
          </w:p>
        </w:tc>
      </w:tr>
      <w:tr>
        <w:trPr>
          <w:trHeight w:val="367" w:hRule="atLeast"/>
        </w:trPr>
        <w:tc>
          <w:tcPr>
            <w:tcW w:w="1406" w:type="dxa"/>
            <w:tcBorders>
              <w:top w:val="dashSmallGap" w:sz="8" w:space="0" w:color="000000"/>
              <w:right w:val="dashed" w:sz="8" w:space="0" w:color="000000"/>
            </w:tcBorders>
          </w:tcPr>
          <w:p>
            <w:pPr>
              <w:pStyle w:val="TableParagraph"/>
              <w:spacing w:before="147"/>
              <w:ind w:right="143"/>
              <w:rPr>
                <w:sz w:val="17"/>
              </w:rPr>
            </w:pPr>
            <w:r>
              <w:rPr>
                <w:sz w:val="17"/>
              </w:rPr>
              <w:t>familysize</w:t>
            </w:r>
          </w:p>
        </w:tc>
        <w:tc>
          <w:tcPr>
            <w:tcW w:w="1515" w:type="dxa"/>
            <w:tcBorders>
              <w:top w:val="dashSmallGap" w:sz="8" w:space="0" w:color="000000"/>
              <w:left w:val="dashed" w:sz="8" w:space="0" w:color="000000"/>
            </w:tcBorders>
          </w:tcPr>
          <w:p>
            <w:pPr>
              <w:pStyle w:val="TableParagraph"/>
              <w:spacing w:before="147"/>
              <w:ind w:right="203"/>
              <w:rPr>
                <w:sz w:val="17"/>
              </w:rPr>
            </w:pPr>
            <w:r>
              <w:rPr>
                <w:sz w:val="17"/>
              </w:rPr>
              <w:t>-.0011981</w:t>
            </w:r>
          </w:p>
        </w:tc>
        <w:tc>
          <w:tcPr>
            <w:tcW w:w="146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47"/>
              <w:ind w:left="209" w:right="298"/>
              <w:jc w:val="center"/>
              <w:rPr>
                <w:sz w:val="17"/>
              </w:rPr>
            </w:pPr>
            <w:r>
              <w:rPr>
                <w:sz w:val="17"/>
              </w:rPr>
              <w:t>-.0012538</w:t>
            </w:r>
          </w:p>
        </w:tc>
        <w:tc>
          <w:tcPr>
            <w:tcW w:w="1518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47"/>
              <w:ind w:right="151"/>
              <w:rPr>
                <w:sz w:val="17"/>
              </w:rPr>
            </w:pPr>
            <w:r>
              <w:rPr>
                <w:sz w:val="17"/>
              </w:rPr>
              <w:t>.0000557</w:t>
            </w:r>
          </w:p>
        </w:tc>
        <w:tc>
          <w:tcPr>
            <w:tcW w:w="224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47"/>
              <w:ind w:right="723"/>
              <w:rPr>
                <w:sz w:val="17"/>
              </w:rPr>
            </w:pPr>
            <w:r>
              <w:rPr>
                <w:sz w:val="17"/>
              </w:rPr>
              <w:t>.0000895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w w:val="95"/>
                <w:sz w:val="17"/>
              </w:rPr>
              <w:t>nobasicedu~n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-.0030291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298"/>
              <w:jc w:val="center"/>
              <w:rPr>
                <w:sz w:val="17"/>
              </w:rPr>
            </w:pPr>
            <w:r>
              <w:rPr>
                <w:sz w:val="17"/>
              </w:rPr>
              <w:t>-.0029502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-.0000789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sz w:val="17"/>
              </w:rPr>
              <w:t>.000095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w w:val="95"/>
                <w:sz w:val="17"/>
              </w:rPr>
              <w:t>primaryedu~n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.0885304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196"/>
              <w:jc w:val="center"/>
              <w:rPr>
                <w:sz w:val="17"/>
              </w:rPr>
            </w:pPr>
            <w:r>
              <w:rPr>
                <w:sz w:val="17"/>
              </w:rPr>
              <w:t>.0878617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.0006687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w w:val="96"/>
                <w:sz w:val="17"/>
              </w:rPr>
              <w:t>.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w w:val="95"/>
                <w:sz w:val="17"/>
              </w:rPr>
              <w:t>secondarye~n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.0568798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196"/>
              <w:jc w:val="center"/>
              <w:rPr>
                <w:sz w:val="17"/>
              </w:rPr>
            </w:pPr>
            <w:r>
              <w:rPr>
                <w:sz w:val="17"/>
              </w:rPr>
              <w:t>.0575989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-.0007191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sz w:val="17"/>
              </w:rPr>
              <w:t>.0001449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w w:val="95"/>
                <w:sz w:val="17"/>
              </w:rPr>
              <w:t>higherdegree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.0105431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196"/>
              <w:jc w:val="center"/>
              <w:rPr>
                <w:sz w:val="17"/>
              </w:rPr>
            </w:pPr>
            <w:r>
              <w:rPr>
                <w:sz w:val="17"/>
              </w:rPr>
              <w:t>.0106241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-.000081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sz w:val="17"/>
              </w:rPr>
              <w:t>.0000897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sz w:val="17"/>
              </w:rPr>
              <w:t>male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.0032494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196"/>
              <w:jc w:val="center"/>
              <w:rPr>
                <w:sz w:val="17"/>
              </w:rPr>
            </w:pPr>
            <w:r>
              <w:rPr>
                <w:sz w:val="17"/>
              </w:rPr>
              <w:t>.0035437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-.0002944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sz w:val="17"/>
              </w:rPr>
              <w:t>.0001379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sz w:val="17"/>
              </w:rPr>
              <w:t>female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.0066684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196"/>
              <w:jc w:val="center"/>
              <w:rPr>
                <w:sz w:val="17"/>
              </w:rPr>
            </w:pPr>
            <w:r>
              <w:rPr>
                <w:sz w:val="17"/>
              </w:rPr>
              <w:t>.0066214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.000047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w w:val="96"/>
                <w:sz w:val="17"/>
              </w:rPr>
              <w:t>.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sz w:val="17"/>
              </w:rPr>
              <w:t>married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.0186876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196"/>
              <w:jc w:val="center"/>
              <w:rPr>
                <w:sz w:val="17"/>
              </w:rPr>
            </w:pPr>
            <w:r>
              <w:rPr>
                <w:sz w:val="17"/>
              </w:rPr>
              <w:t>.0185786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.000109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w w:val="96"/>
                <w:sz w:val="17"/>
              </w:rPr>
              <w:t>.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w w:val="95"/>
                <w:sz w:val="17"/>
              </w:rPr>
              <w:t>singleparent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.0660844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196"/>
              <w:jc w:val="center"/>
              <w:rPr>
                <w:sz w:val="17"/>
              </w:rPr>
            </w:pPr>
            <w:r>
              <w:rPr>
                <w:sz w:val="17"/>
              </w:rPr>
              <w:t>.0648761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.0012083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w w:val="96"/>
                <w:sz w:val="17"/>
              </w:rPr>
              <w:t>.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sz w:val="17"/>
              </w:rPr>
              <w:t>widowed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.012789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196"/>
              <w:jc w:val="center"/>
              <w:rPr>
                <w:sz w:val="17"/>
              </w:rPr>
            </w:pPr>
            <w:r>
              <w:rPr>
                <w:sz w:val="17"/>
              </w:rPr>
              <w:t>.0125297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.0002593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sz w:val="17"/>
              </w:rPr>
              <w:t>.0001857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w w:val="95"/>
                <w:sz w:val="17"/>
              </w:rPr>
              <w:t>nevermarried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-.0610221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298"/>
              <w:jc w:val="center"/>
              <w:rPr>
                <w:sz w:val="17"/>
              </w:rPr>
            </w:pPr>
            <w:r>
              <w:rPr>
                <w:sz w:val="17"/>
              </w:rPr>
              <w:t>-.0596706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-.0013515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sz w:val="17"/>
              </w:rPr>
              <w:t>.0004206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sz w:val="17"/>
              </w:rPr>
              <w:t>yes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.0195877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196"/>
              <w:jc w:val="center"/>
              <w:rPr>
                <w:sz w:val="17"/>
              </w:rPr>
            </w:pPr>
            <w:r>
              <w:rPr>
                <w:sz w:val="17"/>
              </w:rPr>
              <w:t>.0197915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-.0002039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w w:val="96"/>
                <w:sz w:val="17"/>
              </w:rPr>
              <w:t>.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sz w:val="17"/>
              </w:rPr>
              <w:t>no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-.3630601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298"/>
              <w:jc w:val="center"/>
              <w:rPr>
                <w:sz w:val="17"/>
              </w:rPr>
            </w:pPr>
            <w:r>
              <w:rPr>
                <w:sz w:val="17"/>
              </w:rPr>
              <w:t>-.3629936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-.0000665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sz w:val="17"/>
              </w:rPr>
              <w:t>.000248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w w:val="95"/>
                <w:sz w:val="17"/>
              </w:rPr>
              <w:t>wagesandsa~s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.0582655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196"/>
              <w:jc w:val="center"/>
              <w:rPr>
                <w:sz w:val="17"/>
              </w:rPr>
            </w:pPr>
            <w:r>
              <w:rPr>
                <w:sz w:val="17"/>
              </w:rPr>
              <w:t>.0583809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-.0001154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w w:val="96"/>
                <w:sz w:val="17"/>
              </w:rPr>
              <w:t>.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w w:val="95"/>
                <w:sz w:val="17"/>
              </w:rPr>
              <w:t>entreprise~g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.000033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196"/>
              <w:jc w:val="center"/>
              <w:rPr>
                <w:sz w:val="17"/>
              </w:rPr>
            </w:pPr>
            <w:r>
              <w:rPr>
                <w:sz w:val="17"/>
              </w:rPr>
              <w:t>.0000394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-6.38e-06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sz w:val="17"/>
              </w:rPr>
              <w:t>3.42e-06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w w:val="95"/>
                <w:sz w:val="17"/>
              </w:rPr>
              <w:t>farmingcro~k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.0321479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196"/>
              <w:jc w:val="center"/>
              <w:rPr>
                <w:sz w:val="17"/>
              </w:rPr>
            </w:pPr>
            <w:r>
              <w:rPr>
                <w:sz w:val="17"/>
              </w:rPr>
              <w:t>.0325185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-.0003706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w w:val="96"/>
                <w:sz w:val="17"/>
              </w:rPr>
              <w:t>.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sz w:val="17"/>
              </w:rPr>
              <w:t>remittance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-.0169009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298"/>
              <w:jc w:val="center"/>
              <w:rPr>
                <w:sz w:val="17"/>
              </w:rPr>
            </w:pPr>
            <w:r>
              <w:rPr>
                <w:sz w:val="17"/>
              </w:rPr>
              <w:t>-.0165578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-.0003432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sz w:val="17"/>
              </w:rPr>
              <w:t>.0002044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w w:val="95"/>
                <w:sz w:val="17"/>
              </w:rPr>
              <w:t>monetaryan~s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.0481133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196"/>
              <w:jc w:val="center"/>
              <w:rPr>
                <w:sz w:val="17"/>
              </w:rPr>
            </w:pPr>
            <w:r>
              <w:rPr>
                <w:sz w:val="17"/>
              </w:rPr>
              <w:t>.0487588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-.0006456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w w:val="96"/>
                <w:sz w:val="17"/>
              </w:rPr>
              <w:t>.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sz w:val="17"/>
              </w:rPr>
              <w:t>pension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.0017324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298"/>
              <w:jc w:val="center"/>
              <w:rPr>
                <w:sz w:val="17"/>
              </w:rPr>
            </w:pPr>
            <w:r>
              <w:rPr>
                <w:sz w:val="17"/>
              </w:rPr>
              <w:t>-.0002171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.0019495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sz w:val="17"/>
              </w:rPr>
              <w:t>.0011869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w w:val="95"/>
                <w:sz w:val="17"/>
              </w:rPr>
              <w:t>dividendan~n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-.0040263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298"/>
              <w:jc w:val="center"/>
              <w:rPr>
                <w:sz w:val="17"/>
              </w:rPr>
            </w:pPr>
            <w:r>
              <w:rPr>
                <w:sz w:val="17"/>
              </w:rPr>
              <w:t>-.0043865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.0003602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sz w:val="17"/>
              </w:rPr>
              <w:t>.000209</w:t>
            </w:r>
          </w:p>
        </w:tc>
      </w:tr>
      <w:tr>
        <w:trPr>
          <w:trHeight w:val="245" w:hRule="atLeast"/>
        </w:trPr>
        <w:tc>
          <w:tcPr>
            <w:tcW w:w="1406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w w:val="95"/>
                <w:sz w:val="17"/>
              </w:rPr>
              <w:t>incomefrom~e</w:t>
            </w:r>
          </w:p>
        </w:tc>
        <w:tc>
          <w:tcPr>
            <w:tcW w:w="1515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-.0001126</w:t>
            </w:r>
          </w:p>
        </w:tc>
        <w:tc>
          <w:tcPr>
            <w:tcW w:w="1466" w:type="dxa"/>
          </w:tcPr>
          <w:p>
            <w:pPr>
              <w:pStyle w:val="TableParagraph"/>
              <w:spacing w:before="26"/>
              <w:ind w:left="209" w:right="298"/>
              <w:jc w:val="center"/>
              <w:rPr>
                <w:sz w:val="17"/>
              </w:rPr>
            </w:pPr>
            <w:r>
              <w:rPr>
                <w:sz w:val="17"/>
              </w:rPr>
              <w:t>-.0001276</w:t>
            </w:r>
          </w:p>
        </w:tc>
        <w:tc>
          <w:tcPr>
            <w:tcW w:w="1518" w:type="dxa"/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.0000151</w:t>
            </w:r>
          </w:p>
        </w:tc>
        <w:tc>
          <w:tcPr>
            <w:tcW w:w="2246" w:type="dxa"/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w w:val="96"/>
                <w:sz w:val="17"/>
              </w:rPr>
              <w:t>.</w:t>
            </w:r>
          </w:p>
        </w:tc>
      </w:tr>
      <w:tr>
        <w:trPr>
          <w:trHeight w:val="349" w:hRule="atLeast"/>
        </w:trPr>
        <w:tc>
          <w:tcPr>
            <w:tcW w:w="1406" w:type="dxa"/>
            <w:tcBorders>
              <w:bottom w:val="dashSmallGap" w:sz="8" w:space="0" w:color="000000"/>
              <w:right w:val="dashed" w:sz="8" w:space="0" w:color="000000"/>
            </w:tcBorders>
          </w:tcPr>
          <w:p>
            <w:pPr>
              <w:pStyle w:val="TableParagraph"/>
              <w:spacing w:before="26"/>
              <w:ind w:right="143"/>
              <w:rPr>
                <w:sz w:val="17"/>
              </w:rPr>
            </w:pPr>
            <w:r>
              <w:rPr>
                <w:w w:val="95"/>
                <w:sz w:val="17"/>
              </w:rPr>
              <w:t>ginicoeffi~t</w:t>
            </w:r>
          </w:p>
        </w:tc>
        <w:tc>
          <w:tcPr>
            <w:tcW w:w="1515" w:type="dxa"/>
            <w:tcBorders>
              <w:left w:val="dashed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6"/>
              <w:ind w:right="203"/>
              <w:rPr>
                <w:sz w:val="17"/>
              </w:rPr>
            </w:pPr>
            <w:r>
              <w:rPr>
                <w:sz w:val="17"/>
              </w:rPr>
              <w:t>-.0162472</w:t>
            </w:r>
          </w:p>
        </w:tc>
        <w:tc>
          <w:tcPr>
            <w:tcW w:w="146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6"/>
              <w:ind w:left="209" w:right="298"/>
              <w:jc w:val="center"/>
              <w:rPr>
                <w:sz w:val="17"/>
              </w:rPr>
            </w:pPr>
            <w:r>
              <w:rPr>
                <w:sz w:val="17"/>
              </w:rPr>
              <w:t>-.0166056</w:t>
            </w:r>
          </w:p>
        </w:tc>
        <w:tc>
          <w:tcPr>
            <w:tcW w:w="1518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6"/>
              <w:ind w:right="151"/>
              <w:rPr>
                <w:sz w:val="17"/>
              </w:rPr>
            </w:pPr>
            <w:r>
              <w:rPr>
                <w:sz w:val="17"/>
              </w:rPr>
              <w:t>.0003584</w:t>
            </w:r>
          </w:p>
        </w:tc>
        <w:tc>
          <w:tcPr>
            <w:tcW w:w="224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6"/>
              <w:ind w:right="723"/>
              <w:rPr>
                <w:sz w:val="17"/>
              </w:rPr>
            </w:pPr>
            <w:r>
              <w:rPr>
                <w:sz w:val="17"/>
              </w:rPr>
              <w:t>.000293</w:t>
            </w:r>
          </w:p>
        </w:tc>
      </w:tr>
    </w:tbl>
    <w:p>
      <w:pPr>
        <w:spacing w:line="304" w:lineRule="auto" w:before="150"/>
        <w:ind w:left="1420" w:right="1543" w:firstLine="1569"/>
        <w:jc w:val="left"/>
        <w:rPr>
          <w:rFonts w:ascii="Courier New"/>
          <w:sz w:val="17"/>
        </w:rPr>
      </w:pPr>
      <w:r>
        <w:rPr>
          <w:rFonts w:ascii="Courier New"/>
          <w:sz w:val="17"/>
        </w:rPr>
        <w:t>b</w:t>
      </w:r>
      <w:r>
        <w:rPr>
          <w:rFonts w:ascii="Courier New"/>
          <w:spacing w:val="11"/>
          <w:sz w:val="17"/>
        </w:rPr>
        <w:t> </w:t>
      </w:r>
      <w:r>
        <w:rPr>
          <w:rFonts w:ascii="Courier New"/>
          <w:sz w:val="17"/>
        </w:rPr>
        <w:t>=</w:t>
      </w:r>
      <w:r>
        <w:rPr>
          <w:rFonts w:ascii="Courier New"/>
          <w:spacing w:val="11"/>
          <w:sz w:val="17"/>
        </w:rPr>
        <w:t> </w:t>
      </w:r>
      <w:r>
        <w:rPr>
          <w:rFonts w:ascii="Courier New"/>
          <w:sz w:val="17"/>
        </w:rPr>
        <w:t>consistent</w:t>
      </w:r>
      <w:r>
        <w:rPr>
          <w:rFonts w:ascii="Courier New"/>
          <w:spacing w:val="12"/>
          <w:sz w:val="17"/>
        </w:rPr>
        <w:t> </w:t>
      </w:r>
      <w:r>
        <w:rPr>
          <w:rFonts w:ascii="Courier New"/>
          <w:sz w:val="17"/>
        </w:rPr>
        <w:t>under</w:t>
      </w:r>
      <w:r>
        <w:rPr>
          <w:rFonts w:ascii="Courier New"/>
          <w:spacing w:val="11"/>
          <w:sz w:val="17"/>
        </w:rPr>
        <w:t> </w:t>
      </w:r>
      <w:r>
        <w:rPr>
          <w:rFonts w:ascii="Courier New"/>
          <w:sz w:val="17"/>
        </w:rPr>
        <w:t>Ho</w:t>
      </w:r>
      <w:r>
        <w:rPr>
          <w:rFonts w:ascii="Courier New"/>
          <w:spacing w:val="12"/>
          <w:sz w:val="17"/>
        </w:rPr>
        <w:t> </w:t>
      </w:r>
      <w:r>
        <w:rPr>
          <w:rFonts w:ascii="Courier New"/>
          <w:sz w:val="17"/>
        </w:rPr>
        <w:t>and</w:t>
      </w:r>
      <w:r>
        <w:rPr>
          <w:rFonts w:ascii="Courier New"/>
          <w:spacing w:val="11"/>
          <w:sz w:val="17"/>
        </w:rPr>
        <w:t> </w:t>
      </w:r>
      <w:r>
        <w:rPr>
          <w:rFonts w:ascii="Courier New"/>
          <w:sz w:val="17"/>
        </w:rPr>
        <w:t>Ha;</w:t>
      </w:r>
      <w:r>
        <w:rPr>
          <w:rFonts w:ascii="Courier New"/>
          <w:spacing w:val="11"/>
          <w:sz w:val="17"/>
        </w:rPr>
        <w:t> </w:t>
      </w:r>
      <w:r>
        <w:rPr>
          <w:rFonts w:ascii="Courier New"/>
          <w:sz w:val="17"/>
        </w:rPr>
        <w:t>obtained</w:t>
      </w:r>
      <w:r>
        <w:rPr>
          <w:rFonts w:ascii="Courier New"/>
          <w:spacing w:val="13"/>
          <w:sz w:val="17"/>
        </w:rPr>
        <w:t> </w:t>
      </w:r>
      <w:r>
        <w:rPr>
          <w:rFonts w:ascii="Courier New"/>
          <w:sz w:val="17"/>
        </w:rPr>
        <w:t>from</w:t>
      </w:r>
      <w:r>
        <w:rPr>
          <w:rFonts w:ascii="Courier New"/>
          <w:spacing w:val="11"/>
          <w:sz w:val="17"/>
        </w:rPr>
        <w:t> </w:t>
      </w:r>
      <w:r>
        <w:rPr>
          <w:rFonts w:ascii="Courier New"/>
          <w:sz w:val="17"/>
        </w:rPr>
        <w:t>xtreg</w:t>
      </w:r>
      <w:r>
        <w:rPr>
          <w:rFonts w:ascii="Courier New"/>
          <w:spacing w:val="-99"/>
          <w:sz w:val="17"/>
        </w:rPr>
        <w:t> </w:t>
      </w:r>
      <w:r>
        <w:rPr>
          <w:rFonts w:ascii="Courier New"/>
          <w:sz w:val="17"/>
        </w:rPr>
        <w:t>B</w:t>
      </w:r>
      <w:r>
        <w:rPr>
          <w:rFonts w:ascii="Courier New"/>
          <w:spacing w:val="13"/>
          <w:sz w:val="17"/>
        </w:rPr>
        <w:t> </w:t>
      </w:r>
      <w:r>
        <w:rPr>
          <w:rFonts w:ascii="Courier New"/>
          <w:sz w:val="17"/>
        </w:rPr>
        <w:t>=</w:t>
      </w:r>
      <w:r>
        <w:rPr>
          <w:rFonts w:ascii="Courier New"/>
          <w:spacing w:val="13"/>
          <w:sz w:val="17"/>
        </w:rPr>
        <w:t> </w:t>
      </w:r>
      <w:r>
        <w:rPr>
          <w:rFonts w:ascii="Courier New"/>
          <w:sz w:val="17"/>
        </w:rPr>
        <w:t>inconsistent</w:t>
      </w:r>
      <w:r>
        <w:rPr>
          <w:rFonts w:ascii="Courier New"/>
          <w:spacing w:val="14"/>
          <w:sz w:val="17"/>
        </w:rPr>
        <w:t> </w:t>
      </w:r>
      <w:r>
        <w:rPr>
          <w:rFonts w:ascii="Courier New"/>
          <w:sz w:val="17"/>
        </w:rPr>
        <w:t>under</w:t>
      </w:r>
      <w:r>
        <w:rPr>
          <w:rFonts w:ascii="Courier New"/>
          <w:spacing w:val="13"/>
          <w:sz w:val="17"/>
        </w:rPr>
        <w:t> </w:t>
      </w:r>
      <w:r>
        <w:rPr>
          <w:rFonts w:ascii="Courier New"/>
          <w:sz w:val="17"/>
        </w:rPr>
        <w:t>Ha,</w:t>
      </w:r>
      <w:r>
        <w:rPr>
          <w:rFonts w:ascii="Courier New"/>
          <w:spacing w:val="14"/>
          <w:sz w:val="17"/>
        </w:rPr>
        <w:t> </w:t>
      </w:r>
      <w:r>
        <w:rPr>
          <w:rFonts w:ascii="Courier New"/>
          <w:sz w:val="17"/>
        </w:rPr>
        <w:t>efficient</w:t>
      </w:r>
      <w:r>
        <w:rPr>
          <w:rFonts w:ascii="Courier New"/>
          <w:spacing w:val="13"/>
          <w:sz w:val="17"/>
        </w:rPr>
        <w:t> </w:t>
      </w:r>
      <w:r>
        <w:rPr>
          <w:rFonts w:ascii="Courier New"/>
          <w:sz w:val="17"/>
        </w:rPr>
        <w:t>under</w:t>
      </w:r>
      <w:r>
        <w:rPr>
          <w:rFonts w:ascii="Courier New"/>
          <w:spacing w:val="14"/>
          <w:sz w:val="17"/>
        </w:rPr>
        <w:t> </w:t>
      </w:r>
      <w:r>
        <w:rPr>
          <w:rFonts w:ascii="Courier New"/>
          <w:sz w:val="17"/>
        </w:rPr>
        <w:t>Ho;</w:t>
      </w:r>
      <w:r>
        <w:rPr>
          <w:rFonts w:ascii="Courier New"/>
          <w:spacing w:val="13"/>
          <w:sz w:val="17"/>
        </w:rPr>
        <w:t> </w:t>
      </w:r>
      <w:r>
        <w:rPr>
          <w:rFonts w:ascii="Courier New"/>
          <w:sz w:val="17"/>
        </w:rPr>
        <w:t>obtained</w:t>
      </w:r>
      <w:r>
        <w:rPr>
          <w:rFonts w:ascii="Courier New"/>
          <w:spacing w:val="15"/>
          <w:sz w:val="17"/>
        </w:rPr>
        <w:t> </w:t>
      </w:r>
      <w:r>
        <w:rPr>
          <w:rFonts w:ascii="Courier New"/>
          <w:sz w:val="17"/>
        </w:rPr>
        <w:t>from</w:t>
      </w:r>
      <w:r>
        <w:rPr>
          <w:rFonts w:ascii="Courier New"/>
          <w:spacing w:val="13"/>
          <w:sz w:val="17"/>
        </w:rPr>
        <w:t> </w:t>
      </w:r>
      <w:r>
        <w:rPr>
          <w:rFonts w:ascii="Courier New"/>
          <w:sz w:val="17"/>
        </w:rPr>
        <w:t>xtreg</w:t>
      </w:r>
    </w:p>
    <w:p>
      <w:pPr>
        <w:pStyle w:val="BodyText"/>
        <w:rPr>
          <w:rFonts w:ascii="Courier New"/>
          <w:sz w:val="13"/>
        </w:rPr>
      </w:pPr>
    </w:p>
    <w:p>
      <w:pPr>
        <w:spacing w:before="100"/>
        <w:ind w:left="583" w:right="0" w:firstLine="0"/>
        <w:jc w:val="left"/>
        <w:rPr>
          <w:rFonts w:ascii="Courier New"/>
          <w:sz w:val="17"/>
        </w:rPr>
      </w:pPr>
      <w:r>
        <w:rPr>
          <w:rFonts w:ascii="Courier New"/>
          <w:sz w:val="17"/>
        </w:rPr>
        <w:t>Test:</w:t>
      </w:r>
      <w:r>
        <w:rPr>
          <w:rFonts w:ascii="Courier New"/>
          <w:spacing w:val="125"/>
          <w:sz w:val="17"/>
        </w:rPr>
        <w:t> </w:t>
      </w:r>
      <w:r>
        <w:rPr>
          <w:rFonts w:ascii="Courier New"/>
          <w:sz w:val="17"/>
        </w:rPr>
        <w:t>Ho:</w:t>
      </w:r>
      <w:r>
        <w:rPr>
          <w:rFonts w:ascii="Courier New"/>
          <w:spacing w:val="126"/>
          <w:sz w:val="17"/>
        </w:rPr>
        <w:t> </w:t>
      </w:r>
      <w:r>
        <w:rPr>
          <w:rFonts w:ascii="Courier New"/>
          <w:sz w:val="17"/>
        </w:rPr>
        <w:t>difference</w:t>
      </w:r>
      <w:r>
        <w:rPr>
          <w:rFonts w:ascii="Courier New"/>
          <w:spacing w:val="14"/>
          <w:sz w:val="17"/>
        </w:rPr>
        <w:t> </w:t>
      </w:r>
      <w:r>
        <w:rPr>
          <w:rFonts w:ascii="Courier New"/>
          <w:sz w:val="17"/>
        </w:rPr>
        <w:t>in</w:t>
      </w:r>
      <w:r>
        <w:rPr>
          <w:rFonts w:ascii="Courier New"/>
          <w:spacing w:val="15"/>
          <w:sz w:val="17"/>
        </w:rPr>
        <w:t> </w:t>
      </w:r>
      <w:r>
        <w:rPr>
          <w:rFonts w:ascii="Courier New"/>
          <w:sz w:val="17"/>
        </w:rPr>
        <w:t>coefficients</w:t>
      </w:r>
      <w:r>
        <w:rPr>
          <w:rFonts w:ascii="Courier New"/>
          <w:spacing w:val="14"/>
          <w:sz w:val="17"/>
        </w:rPr>
        <w:t> </w:t>
      </w:r>
      <w:r>
        <w:rPr>
          <w:rFonts w:ascii="Courier New"/>
          <w:sz w:val="17"/>
        </w:rPr>
        <w:t>not</w:t>
      </w:r>
      <w:r>
        <w:rPr>
          <w:rFonts w:ascii="Courier New"/>
          <w:spacing w:val="15"/>
          <w:sz w:val="17"/>
        </w:rPr>
        <w:t> </w:t>
      </w:r>
      <w:r>
        <w:rPr>
          <w:rFonts w:ascii="Courier New"/>
          <w:sz w:val="17"/>
        </w:rPr>
        <w:t>systematic</w:t>
      </w:r>
    </w:p>
    <w:p>
      <w:pPr>
        <w:pStyle w:val="BodyText"/>
        <w:spacing w:before="6"/>
        <w:rPr>
          <w:rFonts w:ascii="Courier New"/>
          <w:sz w:val="17"/>
        </w:rPr>
      </w:pPr>
    </w:p>
    <w:p>
      <w:pPr>
        <w:spacing w:before="99"/>
        <w:ind w:left="1944" w:right="0" w:firstLine="0"/>
        <w:jc w:val="left"/>
        <w:rPr>
          <w:rFonts w:ascii="Courier New"/>
          <w:sz w:val="17"/>
        </w:rPr>
      </w:pPr>
      <w:r>
        <w:rPr>
          <w:rFonts w:ascii="Courier New"/>
          <w:w w:val="95"/>
          <w:sz w:val="17"/>
        </w:rPr>
        <w:t>chi2(22)</w:t>
      </w:r>
      <w:r>
        <w:rPr>
          <w:rFonts w:ascii="Courier New"/>
          <w:spacing w:val="103"/>
          <w:sz w:val="17"/>
        </w:rPr>
        <w:t> </w:t>
      </w:r>
      <w:r>
        <w:rPr>
          <w:rFonts w:ascii="Courier New"/>
          <w:w w:val="95"/>
          <w:sz w:val="17"/>
        </w:rPr>
        <w:t>=</w:t>
      </w:r>
      <w:r>
        <w:rPr>
          <w:rFonts w:ascii="Courier New"/>
          <w:spacing w:val="104"/>
          <w:sz w:val="17"/>
        </w:rPr>
        <w:t> </w:t>
      </w:r>
      <w:r>
        <w:rPr>
          <w:rFonts w:ascii="Courier New"/>
          <w:w w:val="95"/>
          <w:sz w:val="17"/>
        </w:rPr>
        <w:t>(b-B)'[(V_b-V_B)^(-1)](b-B)</w:t>
      </w:r>
    </w:p>
    <w:p>
      <w:pPr>
        <w:tabs>
          <w:tab w:pos="3723" w:val="left" w:leader="none"/>
        </w:tabs>
        <w:spacing w:before="53"/>
        <w:ind w:left="2885" w:right="0" w:firstLine="0"/>
        <w:jc w:val="left"/>
        <w:rPr>
          <w:rFonts w:ascii="Courier New"/>
          <w:sz w:val="17"/>
        </w:rPr>
      </w:pPr>
      <w:r>
        <w:rPr>
          <w:rFonts w:ascii="Courier New"/>
          <w:sz w:val="17"/>
        </w:rPr>
        <w:t>=</w:t>
        <w:tab/>
        <w:t>33.12</w:t>
      </w:r>
    </w:p>
    <w:p>
      <w:pPr>
        <w:tabs>
          <w:tab w:pos="4240" w:val="right" w:leader="none"/>
        </w:tabs>
        <w:spacing w:before="53"/>
        <w:ind w:left="1839" w:right="0" w:firstLine="0"/>
        <w:jc w:val="left"/>
        <w:rPr>
          <w:rFonts w:ascii="Courier New"/>
          <w:sz w:val="17"/>
        </w:rPr>
      </w:pPr>
      <w:r>
        <w:rPr>
          <w:rFonts w:ascii="Courier New"/>
          <w:sz w:val="17"/>
        </w:rPr>
        <w:t>Prob&gt;chi2</w:t>
      </w:r>
      <w:r>
        <w:rPr>
          <w:rFonts w:ascii="Courier New"/>
          <w:spacing w:val="10"/>
          <w:sz w:val="17"/>
        </w:rPr>
        <w:t> </w:t>
      </w:r>
      <w:r>
        <w:rPr>
          <w:rFonts w:ascii="Courier New"/>
          <w:sz w:val="17"/>
        </w:rPr>
        <w:t>=</w:t>
        <w:tab/>
        <w:t>0.0602</w:t>
      </w:r>
    </w:p>
    <w:p>
      <w:pPr>
        <w:spacing w:before="53"/>
        <w:ind w:left="1839" w:right="0" w:firstLine="0"/>
        <w:jc w:val="left"/>
        <w:rPr>
          <w:rFonts w:ascii="Courier New"/>
          <w:sz w:val="17"/>
        </w:rPr>
      </w:pPr>
      <w:r>
        <w:rPr>
          <w:rFonts w:ascii="Courier New"/>
          <w:sz w:val="17"/>
        </w:rPr>
        <w:t>(V_b-V_B</w:t>
      </w:r>
      <w:r>
        <w:rPr>
          <w:rFonts w:ascii="Courier New"/>
          <w:spacing w:val="15"/>
          <w:sz w:val="17"/>
        </w:rPr>
        <w:t> </w:t>
      </w:r>
      <w:r>
        <w:rPr>
          <w:rFonts w:ascii="Courier New"/>
          <w:sz w:val="17"/>
        </w:rPr>
        <w:t>is</w:t>
      </w:r>
      <w:r>
        <w:rPr>
          <w:rFonts w:ascii="Courier New"/>
          <w:spacing w:val="16"/>
          <w:sz w:val="17"/>
        </w:rPr>
        <w:t> </w:t>
      </w:r>
      <w:r>
        <w:rPr>
          <w:rFonts w:ascii="Courier New"/>
          <w:sz w:val="17"/>
        </w:rPr>
        <w:t>not</w:t>
      </w:r>
      <w:r>
        <w:rPr>
          <w:rFonts w:ascii="Courier New"/>
          <w:spacing w:val="17"/>
          <w:sz w:val="17"/>
        </w:rPr>
        <w:t> </w:t>
      </w:r>
      <w:r>
        <w:rPr>
          <w:rFonts w:ascii="Courier New"/>
          <w:sz w:val="17"/>
        </w:rPr>
        <w:t>positive</w:t>
      </w:r>
      <w:r>
        <w:rPr>
          <w:rFonts w:ascii="Courier New"/>
          <w:spacing w:val="15"/>
          <w:sz w:val="17"/>
        </w:rPr>
        <w:t> </w:t>
      </w:r>
      <w:r>
        <w:rPr>
          <w:rFonts w:ascii="Courier New"/>
          <w:sz w:val="17"/>
        </w:rPr>
        <w:t>definite)</w:t>
      </w:r>
    </w:p>
    <w:p>
      <w:pPr>
        <w:spacing w:after="0"/>
        <w:jc w:val="left"/>
        <w:rPr>
          <w:rFonts w:ascii="Courier New"/>
          <w:sz w:val="17"/>
        </w:rPr>
        <w:sectPr>
          <w:type w:val="continuous"/>
          <w:pgSz w:w="12240" w:h="15840"/>
          <w:pgMar w:top="1380" w:bottom="280" w:left="1320" w:right="1000"/>
        </w:sectPr>
      </w:pPr>
    </w:p>
    <w:p>
      <w:pPr>
        <w:pStyle w:val="BodyText"/>
        <w:spacing w:before="72"/>
        <w:ind w:left="243" w:right="562"/>
        <w:jc w:val="center"/>
      </w:pPr>
      <w:r>
        <w:rPr/>
        <w:t>TABLE</w:t>
      </w:r>
      <w:r>
        <w:rPr>
          <w:spacing w:val="-1"/>
        </w:rPr>
        <w:t> </w:t>
      </w:r>
      <w:r>
        <w:rPr/>
        <w:t>L6:</w:t>
      </w:r>
      <w:r>
        <w:rPr>
          <w:spacing w:val="-2"/>
        </w:rPr>
        <w:t> </w:t>
      </w:r>
      <w:r>
        <w:rPr/>
        <w:t>POLS</w:t>
      </w:r>
      <w:r>
        <w:rPr>
          <w:spacing w:val="-1"/>
        </w:rPr>
        <w:t> </w:t>
      </w:r>
      <w:r>
        <w:rPr/>
        <w:t>REGRESSION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WAVE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9"/>
        <w:gridCol w:w="2479"/>
        <w:gridCol w:w="429"/>
        <w:gridCol w:w="905"/>
      </w:tblGrid>
      <w:tr>
        <w:trPr>
          <w:trHeight w:val="319" w:hRule="atLeast"/>
        </w:trPr>
        <w:tc>
          <w:tcPr>
            <w:tcW w:w="3719" w:type="dxa"/>
          </w:tcPr>
          <w:p>
            <w:pPr>
              <w:pStyle w:val="TableParagraph"/>
              <w:spacing w:before="5"/>
              <w:ind w:left="50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Logistic</w:t>
            </w:r>
            <w:r>
              <w:rPr>
                <w:spacing w:val="35"/>
                <w:sz w:val="24"/>
              </w:rPr>
              <w:t> </w:t>
            </w:r>
            <w:r>
              <w:rPr>
                <w:w w:val="60"/>
                <w:sz w:val="24"/>
              </w:rPr>
              <w:t>regression</w:t>
            </w:r>
          </w:p>
        </w:tc>
        <w:tc>
          <w:tcPr>
            <w:tcW w:w="2479" w:type="dxa"/>
          </w:tcPr>
          <w:p>
            <w:pPr>
              <w:pStyle w:val="TableParagraph"/>
              <w:spacing w:before="5"/>
              <w:ind w:left="1099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Number</w:t>
            </w:r>
            <w:r>
              <w:rPr>
                <w:spacing w:val="42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of</w:t>
            </w:r>
            <w:r>
              <w:rPr>
                <w:spacing w:val="42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obs</w:t>
            </w:r>
          </w:p>
        </w:tc>
        <w:tc>
          <w:tcPr>
            <w:tcW w:w="429" w:type="dxa"/>
          </w:tcPr>
          <w:p>
            <w:pPr>
              <w:pStyle w:val="TableParagraph"/>
              <w:spacing w:before="5"/>
              <w:ind w:left="146"/>
              <w:jc w:val="left"/>
              <w:rPr>
                <w:sz w:val="24"/>
              </w:rPr>
            </w:pPr>
            <w:r>
              <w:rPr>
                <w:w w:val="62"/>
                <w:sz w:val="24"/>
              </w:rPr>
              <w:t>=</w:t>
            </w:r>
          </w:p>
        </w:tc>
        <w:tc>
          <w:tcPr>
            <w:tcW w:w="905" w:type="dxa"/>
          </w:tcPr>
          <w:p>
            <w:pPr>
              <w:pStyle w:val="TableParagraph"/>
              <w:spacing w:before="5"/>
              <w:ind w:right="46"/>
              <w:rPr>
                <w:sz w:val="24"/>
              </w:rPr>
            </w:pPr>
            <w:r>
              <w:rPr>
                <w:w w:val="70"/>
                <w:sz w:val="24"/>
              </w:rPr>
              <w:t>27363</w:t>
            </w:r>
          </w:p>
        </w:tc>
      </w:tr>
      <w:tr>
        <w:trPr>
          <w:trHeight w:val="359" w:hRule="atLeast"/>
        </w:trPr>
        <w:tc>
          <w:tcPr>
            <w:tcW w:w="371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79" w:type="dxa"/>
          </w:tcPr>
          <w:p>
            <w:pPr>
              <w:pStyle w:val="TableParagraph"/>
              <w:spacing w:before="45"/>
              <w:ind w:left="1099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LR</w:t>
            </w:r>
            <w:r>
              <w:rPr>
                <w:spacing w:val="56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chi2(22)</w:t>
            </w:r>
          </w:p>
        </w:tc>
        <w:tc>
          <w:tcPr>
            <w:tcW w:w="429" w:type="dxa"/>
          </w:tcPr>
          <w:p>
            <w:pPr>
              <w:pStyle w:val="TableParagraph"/>
              <w:spacing w:before="45"/>
              <w:ind w:left="146"/>
              <w:jc w:val="left"/>
              <w:rPr>
                <w:sz w:val="24"/>
              </w:rPr>
            </w:pPr>
            <w:r>
              <w:rPr>
                <w:w w:val="62"/>
                <w:sz w:val="24"/>
              </w:rPr>
              <w:t>=</w:t>
            </w:r>
          </w:p>
        </w:tc>
        <w:tc>
          <w:tcPr>
            <w:tcW w:w="905" w:type="dxa"/>
          </w:tcPr>
          <w:p>
            <w:pPr>
              <w:pStyle w:val="TableParagraph"/>
              <w:spacing w:before="45"/>
              <w:ind w:right="46"/>
              <w:rPr>
                <w:sz w:val="24"/>
              </w:rPr>
            </w:pPr>
            <w:r>
              <w:rPr>
                <w:w w:val="70"/>
                <w:sz w:val="24"/>
              </w:rPr>
              <w:t>6719.54</w:t>
            </w:r>
          </w:p>
        </w:tc>
      </w:tr>
      <w:tr>
        <w:trPr>
          <w:trHeight w:val="359" w:hRule="atLeast"/>
        </w:trPr>
        <w:tc>
          <w:tcPr>
            <w:tcW w:w="371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79" w:type="dxa"/>
          </w:tcPr>
          <w:p>
            <w:pPr>
              <w:pStyle w:val="TableParagraph"/>
              <w:spacing w:before="45"/>
              <w:ind w:left="1099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Prob</w:t>
            </w:r>
            <w:r>
              <w:rPr>
                <w:spacing w:val="35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&gt;</w:t>
            </w:r>
            <w:r>
              <w:rPr>
                <w:spacing w:val="37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chi2</w:t>
            </w:r>
          </w:p>
        </w:tc>
        <w:tc>
          <w:tcPr>
            <w:tcW w:w="429" w:type="dxa"/>
          </w:tcPr>
          <w:p>
            <w:pPr>
              <w:pStyle w:val="TableParagraph"/>
              <w:spacing w:before="45"/>
              <w:ind w:left="146"/>
              <w:jc w:val="left"/>
              <w:rPr>
                <w:sz w:val="24"/>
              </w:rPr>
            </w:pPr>
            <w:r>
              <w:rPr>
                <w:w w:val="62"/>
                <w:sz w:val="24"/>
              </w:rPr>
              <w:t>=</w:t>
            </w:r>
          </w:p>
        </w:tc>
        <w:tc>
          <w:tcPr>
            <w:tcW w:w="905" w:type="dxa"/>
          </w:tcPr>
          <w:p>
            <w:pPr>
              <w:pStyle w:val="TableParagraph"/>
              <w:spacing w:before="45"/>
              <w:ind w:right="46"/>
              <w:rPr>
                <w:sz w:val="24"/>
              </w:rPr>
            </w:pPr>
            <w:r>
              <w:rPr>
                <w:w w:val="70"/>
                <w:sz w:val="24"/>
              </w:rPr>
              <w:t>0.0000</w:t>
            </w:r>
          </w:p>
        </w:tc>
      </w:tr>
      <w:tr>
        <w:trPr>
          <w:trHeight w:val="319" w:hRule="atLeast"/>
        </w:trPr>
        <w:tc>
          <w:tcPr>
            <w:tcW w:w="3719" w:type="dxa"/>
          </w:tcPr>
          <w:p>
            <w:pPr>
              <w:pStyle w:val="TableParagraph"/>
              <w:spacing w:line="254" w:lineRule="exact" w:before="45"/>
              <w:ind w:left="50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Log</w:t>
            </w:r>
            <w:r>
              <w:rPr>
                <w:spacing w:val="61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likelihood</w:t>
            </w:r>
            <w:r>
              <w:rPr>
                <w:spacing w:val="62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=</w:t>
            </w:r>
            <w:r>
              <w:rPr>
                <w:spacing w:val="63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-6423.3949</w:t>
            </w:r>
          </w:p>
        </w:tc>
        <w:tc>
          <w:tcPr>
            <w:tcW w:w="2479" w:type="dxa"/>
          </w:tcPr>
          <w:p>
            <w:pPr>
              <w:pStyle w:val="TableParagraph"/>
              <w:spacing w:line="254" w:lineRule="exact" w:before="45"/>
              <w:ind w:left="1099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Pseudo</w:t>
            </w:r>
            <w:r>
              <w:rPr>
                <w:spacing w:val="46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R2</w:t>
            </w:r>
          </w:p>
        </w:tc>
        <w:tc>
          <w:tcPr>
            <w:tcW w:w="429" w:type="dxa"/>
          </w:tcPr>
          <w:p>
            <w:pPr>
              <w:pStyle w:val="TableParagraph"/>
              <w:spacing w:line="254" w:lineRule="exact" w:before="45"/>
              <w:ind w:left="146"/>
              <w:jc w:val="left"/>
              <w:rPr>
                <w:sz w:val="24"/>
              </w:rPr>
            </w:pPr>
            <w:r>
              <w:rPr>
                <w:w w:val="62"/>
                <w:sz w:val="24"/>
              </w:rPr>
              <w:t>=</w:t>
            </w:r>
          </w:p>
        </w:tc>
        <w:tc>
          <w:tcPr>
            <w:tcW w:w="905" w:type="dxa"/>
          </w:tcPr>
          <w:p>
            <w:pPr>
              <w:pStyle w:val="TableParagraph"/>
              <w:spacing w:line="254" w:lineRule="exact" w:before="45"/>
              <w:ind w:right="46"/>
              <w:rPr>
                <w:sz w:val="24"/>
              </w:rPr>
            </w:pPr>
            <w:r>
              <w:rPr>
                <w:w w:val="70"/>
                <w:sz w:val="24"/>
              </w:rPr>
              <w:t>0.3434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1237"/>
        <w:gridCol w:w="1144"/>
        <w:gridCol w:w="762"/>
        <w:gridCol w:w="810"/>
        <w:gridCol w:w="1287"/>
        <w:gridCol w:w="901"/>
      </w:tblGrid>
      <w:tr>
        <w:trPr>
          <w:trHeight w:val="687" w:hRule="atLeast"/>
        </w:trPr>
        <w:tc>
          <w:tcPr>
            <w:tcW w:w="2998" w:type="dxa"/>
            <w:tcBorders>
              <w:top w:val="dashSmallGap" w:sz="12" w:space="0" w:color="000000"/>
              <w:bottom w:val="dashSmallGap" w:sz="12" w:space="0" w:color="000000"/>
              <w:right w:val="dashed" w:sz="6" w:space="0" w:color="000000"/>
            </w:tcBorders>
          </w:tcPr>
          <w:p>
            <w:pPr>
              <w:pStyle w:val="TableParagraph"/>
              <w:spacing w:before="223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healthcareconsultation</w:t>
            </w:r>
          </w:p>
        </w:tc>
        <w:tc>
          <w:tcPr>
            <w:tcW w:w="1237" w:type="dxa"/>
            <w:tcBorders>
              <w:top w:val="dashSmallGap" w:sz="12" w:space="0" w:color="000000"/>
              <w:left w:val="dashed" w:sz="6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3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Coef.</w:t>
            </w:r>
          </w:p>
        </w:tc>
        <w:tc>
          <w:tcPr>
            <w:tcW w:w="1144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3"/>
              <w:ind w:left="156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Std.</w:t>
            </w:r>
            <w:r>
              <w:rPr>
                <w:spacing w:val="45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Err.</w:t>
            </w:r>
          </w:p>
        </w:tc>
        <w:tc>
          <w:tcPr>
            <w:tcW w:w="762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3"/>
              <w:ind w:left="443"/>
              <w:jc w:val="left"/>
              <w:rPr>
                <w:sz w:val="24"/>
              </w:rPr>
            </w:pPr>
            <w:r>
              <w:rPr>
                <w:w w:val="62"/>
                <w:sz w:val="24"/>
              </w:rPr>
              <w:t>z</w:t>
            </w:r>
          </w:p>
        </w:tc>
        <w:tc>
          <w:tcPr>
            <w:tcW w:w="810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3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P&gt;|z|</w:t>
            </w:r>
          </w:p>
        </w:tc>
        <w:tc>
          <w:tcPr>
            <w:tcW w:w="1287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3"/>
              <w:ind w:left="301"/>
              <w:jc w:val="left"/>
              <w:rPr>
                <w:sz w:val="24"/>
              </w:rPr>
            </w:pPr>
            <w:r>
              <w:rPr>
                <w:w w:val="60"/>
                <w:sz w:val="24"/>
              </w:rPr>
              <w:t>[95%</w:t>
            </w:r>
            <w:r>
              <w:rPr>
                <w:spacing w:val="60"/>
                <w:w w:val="60"/>
                <w:sz w:val="24"/>
              </w:rPr>
              <w:t> </w:t>
            </w:r>
            <w:r>
              <w:rPr>
                <w:w w:val="60"/>
                <w:sz w:val="24"/>
              </w:rPr>
              <w:t>Conf.</w:t>
            </w:r>
          </w:p>
        </w:tc>
        <w:tc>
          <w:tcPr>
            <w:tcW w:w="901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23"/>
              <w:ind w:left="63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Interval]</w:t>
            </w:r>
          </w:p>
        </w:tc>
      </w:tr>
      <w:tr>
        <w:trPr>
          <w:trHeight w:val="536" w:hRule="atLeast"/>
        </w:trPr>
        <w:tc>
          <w:tcPr>
            <w:tcW w:w="2998" w:type="dxa"/>
            <w:tcBorders>
              <w:top w:val="dashSmallGap" w:sz="12" w:space="0" w:color="000000"/>
              <w:right w:val="dashed" w:sz="6" w:space="0" w:color="000000"/>
            </w:tcBorders>
          </w:tcPr>
          <w:p>
            <w:pPr>
              <w:pStyle w:val="TableParagraph"/>
              <w:spacing w:before="223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familysize</w:t>
            </w:r>
          </w:p>
        </w:tc>
        <w:tc>
          <w:tcPr>
            <w:tcW w:w="1237" w:type="dxa"/>
            <w:tcBorders>
              <w:top w:val="dashSmallGap" w:sz="12" w:space="0" w:color="000000"/>
              <w:left w:val="dashed" w:sz="6" w:space="0" w:color="000000"/>
            </w:tcBorders>
          </w:tcPr>
          <w:p>
            <w:pPr>
              <w:pStyle w:val="TableParagraph"/>
              <w:spacing w:before="223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-.0408758</w:t>
            </w:r>
          </w:p>
        </w:tc>
        <w:tc>
          <w:tcPr>
            <w:tcW w:w="1144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3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.0265596</w:t>
            </w:r>
          </w:p>
        </w:tc>
        <w:tc>
          <w:tcPr>
            <w:tcW w:w="762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3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-1.54</w:t>
            </w:r>
          </w:p>
        </w:tc>
        <w:tc>
          <w:tcPr>
            <w:tcW w:w="810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3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0.124</w:t>
            </w:r>
          </w:p>
        </w:tc>
        <w:tc>
          <w:tcPr>
            <w:tcW w:w="1287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3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-.0929316</w:t>
            </w:r>
          </w:p>
        </w:tc>
        <w:tc>
          <w:tcPr>
            <w:tcW w:w="901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23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.0111801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nobasiceducation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.0136585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.0335683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0.41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0.684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301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-.052134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.0794511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primaryeducation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.0542159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.0862017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0.63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0.529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-.1147363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.2231682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secondaryeducation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.0310877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.1214157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0.26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0.798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-.2068827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254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.269058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highereducation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3.366696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.0499697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67.37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301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3.268757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3.464635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male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-.9022403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.1325958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-6.80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-1.162123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63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-.6423574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female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.0146863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25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.019178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0.77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0.444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-.0229019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.0522746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married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.2562598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25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.061328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4.18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301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.1360592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.3764605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nevermarried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-.0725802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.0767708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-0.95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0.344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-.2230483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.0778878</w:t>
            </w:r>
          </w:p>
        </w:tc>
      </w:tr>
      <w:tr>
        <w:trPr>
          <w:trHeight w:val="358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singleparents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-.8076239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.0939704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-8.59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-.9918024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63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-.6234453</w:t>
            </w:r>
          </w:p>
        </w:tc>
      </w:tr>
      <w:tr>
        <w:trPr>
          <w:trHeight w:val="358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widow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-.3667533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.1240305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-2.96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0.003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-.6098485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-.123658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yes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.0628031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.0919072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0.68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0.494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-.1173316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.2429378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no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-.6383513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252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.136677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-4.67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-.9062333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63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-.3704693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wagesandsalaries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.0341583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.0618448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0.55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0.581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-.0870554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.1553719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businessentreprisesortrade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.1391609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.1206166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1.15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0.249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-.0972432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254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.375565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60"/>
                <w:sz w:val="24"/>
              </w:rPr>
              <w:t>farmingcropandlivestockincomes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.0028654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.0019948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1.44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0.151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-.0010443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.0067751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remittance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.0644379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.1048541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0.61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0.539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-.1410723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.2699481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60"/>
                <w:sz w:val="24"/>
              </w:rPr>
              <w:t>monetarytransferandassistance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.6248294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.1828695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3.42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0.001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301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.2664117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.9832471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pension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.0235891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.0737413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0.32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0.749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-.1209411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.1681193</w:t>
            </w:r>
          </w:p>
        </w:tc>
      </w:tr>
      <w:tr>
        <w:trPr>
          <w:trHeight w:val="358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dividendfrominvestmants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-.1225018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.1387117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-0.88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0.377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-.3943718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.1493681</w:t>
            </w:r>
          </w:p>
        </w:tc>
      </w:tr>
      <w:tr>
        <w:trPr>
          <w:trHeight w:val="358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incomefrompropertiesowned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-.0496053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.0307055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-1.62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0.106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301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-.109787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159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.0105764</w:t>
            </w:r>
          </w:p>
        </w:tc>
      </w:tr>
      <w:tr>
        <w:trPr>
          <w:trHeight w:val="3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ginicoefficient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-.2810287</w:t>
            </w:r>
          </w:p>
        </w:tc>
        <w:tc>
          <w:tcPr>
            <w:tcW w:w="1144" w:type="dxa"/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.1097638</w:t>
            </w:r>
          </w:p>
        </w:tc>
        <w:tc>
          <w:tcPr>
            <w:tcW w:w="762" w:type="dxa"/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-2.56</w:t>
            </w:r>
          </w:p>
        </w:tc>
        <w:tc>
          <w:tcPr>
            <w:tcW w:w="810" w:type="dxa"/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0.010</w:t>
            </w:r>
          </w:p>
        </w:tc>
        <w:tc>
          <w:tcPr>
            <w:tcW w:w="1287" w:type="dxa"/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-.4961618</w:t>
            </w:r>
          </w:p>
        </w:tc>
        <w:tc>
          <w:tcPr>
            <w:tcW w:w="901" w:type="dxa"/>
          </w:tcPr>
          <w:p>
            <w:pPr>
              <w:pStyle w:val="TableParagraph"/>
              <w:spacing w:before="45"/>
              <w:ind w:left="63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-.0658957</w:t>
            </w:r>
          </w:p>
        </w:tc>
      </w:tr>
      <w:tr>
        <w:trPr>
          <w:trHeight w:val="510" w:hRule="atLeast"/>
        </w:trPr>
        <w:tc>
          <w:tcPr>
            <w:tcW w:w="2998" w:type="dxa"/>
            <w:tcBorders>
              <w:bottom w:val="dashSmallGap" w:sz="12" w:space="0" w:color="000000"/>
              <w:right w:val="dashed" w:sz="6" w:space="0" w:color="000000"/>
            </w:tcBorders>
          </w:tcPr>
          <w:p>
            <w:pPr>
              <w:pStyle w:val="TableParagraph"/>
              <w:spacing w:before="45"/>
              <w:ind w:right="128"/>
              <w:rPr>
                <w:sz w:val="24"/>
              </w:rPr>
            </w:pPr>
            <w:r>
              <w:rPr>
                <w:w w:val="70"/>
                <w:sz w:val="24"/>
              </w:rPr>
              <w:t>_cons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45"/>
              <w:ind w:right="132"/>
              <w:rPr>
                <w:sz w:val="24"/>
              </w:rPr>
            </w:pPr>
            <w:r>
              <w:rPr>
                <w:w w:val="70"/>
                <w:sz w:val="24"/>
              </w:rPr>
              <w:t>-1.699944</w:t>
            </w:r>
          </w:p>
        </w:tc>
        <w:tc>
          <w:tcPr>
            <w:tcW w:w="1144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5"/>
              <w:ind w:left="15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.2742756</w:t>
            </w:r>
          </w:p>
        </w:tc>
        <w:tc>
          <w:tcPr>
            <w:tcW w:w="762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5"/>
              <w:ind w:right="131"/>
              <w:rPr>
                <w:sz w:val="24"/>
              </w:rPr>
            </w:pPr>
            <w:r>
              <w:rPr>
                <w:w w:val="70"/>
                <w:sz w:val="24"/>
              </w:rPr>
              <w:t>-6.20</w:t>
            </w:r>
          </w:p>
        </w:tc>
        <w:tc>
          <w:tcPr>
            <w:tcW w:w="810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5"/>
              <w:ind w:left="114" w:right="134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0.000</w:t>
            </w:r>
          </w:p>
        </w:tc>
        <w:tc>
          <w:tcPr>
            <w:tcW w:w="1287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5"/>
              <w:ind w:left="206"/>
              <w:jc w:val="left"/>
              <w:rPr>
                <w:sz w:val="24"/>
              </w:rPr>
            </w:pPr>
            <w:r>
              <w:rPr>
                <w:w w:val="70"/>
                <w:sz w:val="24"/>
              </w:rPr>
              <w:t>-2.237514</w:t>
            </w:r>
          </w:p>
        </w:tc>
        <w:tc>
          <w:tcPr>
            <w:tcW w:w="901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5"/>
              <w:ind w:left="63" w:right="-29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-1.162374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243" w:right="562"/>
        <w:jc w:val="center"/>
      </w:pPr>
      <w:r>
        <w:rPr/>
        <w:t>TABLE</w:t>
      </w:r>
      <w:r>
        <w:rPr>
          <w:spacing w:val="-2"/>
        </w:rPr>
        <w:t> </w:t>
      </w:r>
      <w:r>
        <w:rPr/>
        <w:t>L7: FIXED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WAVE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0"/>
        <w:gridCol w:w="2384"/>
        <w:gridCol w:w="477"/>
        <w:gridCol w:w="762"/>
      </w:tblGrid>
      <w:tr>
        <w:trPr>
          <w:trHeight w:val="244" w:hRule="atLeast"/>
        </w:trPr>
        <w:tc>
          <w:tcPr>
            <w:tcW w:w="3910" w:type="dxa"/>
          </w:tcPr>
          <w:p>
            <w:pPr>
              <w:pStyle w:val="TableParagraph"/>
              <w:spacing w:line="214" w:lineRule="exact"/>
              <w:ind w:left="50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Fixed-effects</w:t>
            </w:r>
            <w:r>
              <w:rPr>
                <w:spacing w:val="46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(within)</w:t>
            </w:r>
            <w:r>
              <w:rPr>
                <w:spacing w:val="47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regression</w:t>
            </w:r>
          </w:p>
        </w:tc>
        <w:tc>
          <w:tcPr>
            <w:tcW w:w="2384" w:type="dxa"/>
          </w:tcPr>
          <w:p>
            <w:pPr>
              <w:pStyle w:val="TableParagraph"/>
              <w:spacing w:line="214" w:lineRule="exact"/>
              <w:ind w:left="717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Number</w:t>
            </w:r>
            <w:r>
              <w:rPr>
                <w:spacing w:val="18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of</w:t>
            </w:r>
            <w:r>
              <w:rPr>
                <w:spacing w:val="19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obs</w:t>
            </w:r>
          </w:p>
        </w:tc>
        <w:tc>
          <w:tcPr>
            <w:tcW w:w="477" w:type="dxa"/>
          </w:tcPr>
          <w:p>
            <w:pPr>
              <w:pStyle w:val="TableParagraph"/>
              <w:spacing w:line="214" w:lineRule="exact"/>
              <w:ind w:left="145"/>
              <w:jc w:val="left"/>
              <w:rPr>
                <w:sz w:val="19"/>
              </w:rPr>
            </w:pPr>
            <w:r>
              <w:rPr>
                <w:w w:val="78"/>
                <w:sz w:val="19"/>
              </w:rPr>
              <w:t>=</w:t>
            </w:r>
          </w:p>
        </w:tc>
        <w:tc>
          <w:tcPr>
            <w:tcW w:w="762" w:type="dxa"/>
          </w:tcPr>
          <w:p>
            <w:pPr>
              <w:pStyle w:val="TableParagraph"/>
              <w:spacing w:line="214" w:lineRule="exact"/>
              <w:ind w:right="47"/>
              <w:rPr>
                <w:sz w:val="19"/>
              </w:rPr>
            </w:pPr>
            <w:r>
              <w:rPr>
                <w:w w:val="90"/>
                <w:sz w:val="19"/>
              </w:rPr>
              <w:t>27363</w:t>
            </w:r>
          </w:p>
        </w:tc>
      </w:tr>
      <w:tr>
        <w:trPr>
          <w:trHeight w:val="244" w:hRule="atLeast"/>
        </w:trPr>
        <w:tc>
          <w:tcPr>
            <w:tcW w:w="3910" w:type="dxa"/>
          </w:tcPr>
          <w:p>
            <w:pPr>
              <w:pStyle w:val="TableParagraph"/>
              <w:spacing w:line="195" w:lineRule="exact" w:before="29"/>
              <w:ind w:left="50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Group</w:t>
            </w:r>
            <w:r>
              <w:rPr>
                <w:spacing w:val="29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variable:</w:t>
            </w:r>
            <w:r>
              <w:rPr>
                <w:spacing w:val="30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state</w:t>
            </w:r>
          </w:p>
        </w:tc>
        <w:tc>
          <w:tcPr>
            <w:tcW w:w="2384" w:type="dxa"/>
          </w:tcPr>
          <w:p>
            <w:pPr>
              <w:pStyle w:val="TableParagraph"/>
              <w:spacing w:line="195" w:lineRule="exact" w:before="29"/>
              <w:ind w:left="717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Number</w:t>
            </w:r>
            <w:r>
              <w:rPr>
                <w:spacing w:val="22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of</w:t>
            </w:r>
            <w:r>
              <w:rPr>
                <w:spacing w:val="24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groups</w:t>
            </w:r>
          </w:p>
        </w:tc>
        <w:tc>
          <w:tcPr>
            <w:tcW w:w="477" w:type="dxa"/>
          </w:tcPr>
          <w:p>
            <w:pPr>
              <w:pStyle w:val="TableParagraph"/>
              <w:spacing w:line="195" w:lineRule="exact" w:before="29"/>
              <w:ind w:left="145"/>
              <w:jc w:val="left"/>
              <w:rPr>
                <w:sz w:val="19"/>
              </w:rPr>
            </w:pPr>
            <w:r>
              <w:rPr>
                <w:w w:val="78"/>
                <w:sz w:val="19"/>
              </w:rPr>
              <w:t>=</w:t>
            </w:r>
          </w:p>
        </w:tc>
        <w:tc>
          <w:tcPr>
            <w:tcW w:w="762" w:type="dxa"/>
          </w:tcPr>
          <w:p>
            <w:pPr>
              <w:pStyle w:val="TableParagraph"/>
              <w:spacing w:line="195" w:lineRule="exact" w:before="29"/>
              <w:ind w:right="47"/>
              <w:rPr>
                <w:sz w:val="19"/>
              </w:rPr>
            </w:pPr>
            <w:r>
              <w:rPr>
                <w:w w:val="90"/>
                <w:sz w:val="19"/>
              </w:rPr>
              <w:t>37</w:t>
            </w:r>
          </w:p>
        </w:tc>
      </w:tr>
    </w:tbl>
    <w:p>
      <w:pPr>
        <w:pStyle w:val="BodyText"/>
        <w:spacing w:before="1"/>
        <w:rPr>
          <w:sz w:val="29"/>
        </w:rPr>
      </w:pPr>
    </w:p>
    <w:p>
      <w:pPr>
        <w:tabs>
          <w:tab w:pos="4738" w:val="left" w:leader="none"/>
          <w:tab w:pos="7593" w:val="right" w:leader="none"/>
        </w:tabs>
        <w:spacing w:before="0"/>
        <w:ind w:left="160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R-sq:</w:t>
      </w:r>
      <w:r>
        <w:rPr>
          <w:rFonts w:ascii="Courier New"/>
          <w:spacing w:val="97"/>
          <w:sz w:val="19"/>
        </w:rPr>
        <w:t> </w:t>
      </w:r>
      <w:r>
        <w:rPr>
          <w:rFonts w:ascii="Courier New"/>
          <w:w w:val="80"/>
          <w:sz w:val="19"/>
        </w:rPr>
        <w:t>within</w:t>
      </w:r>
      <w:r>
        <w:rPr>
          <w:rFonts w:ascii="Courier New"/>
          <w:spacing w:val="96"/>
          <w:sz w:val="19"/>
        </w:rPr>
        <w:t> </w:t>
      </w:r>
      <w:r>
        <w:rPr>
          <w:rFonts w:ascii="Courier New"/>
          <w:w w:val="80"/>
          <w:sz w:val="19"/>
        </w:rPr>
        <w:t>=</w:t>
      </w:r>
      <w:r>
        <w:rPr>
          <w:rFonts w:ascii="Courier New"/>
          <w:spacing w:val="17"/>
          <w:w w:val="80"/>
          <w:sz w:val="19"/>
        </w:rPr>
        <w:t> </w:t>
      </w:r>
      <w:r>
        <w:rPr>
          <w:rFonts w:ascii="Courier New"/>
          <w:w w:val="80"/>
          <w:sz w:val="19"/>
        </w:rPr>
        <w:t>0.3025</w:t>
        <w:tab/>
      </w:r>
      <w:r>
        <w:rPr>
          <w:rFonts w:ascii="Courier New"/>
          <w:w w:val="85"/>
          <w:sz w:val="19"/>
        </w:rPr>
        <w:t>Obs</w:t>
      </w:r>
      <w:r>
        <w:rPr>
          <w:rFonts w:ascii="Courier New"/>
          <w:spacing w:val="-1"/>
          <w:w w:val="85"/>
          <w:sz w:val="19"/>
        </w:rPr>
        <w:t> </w:t>
      </w:r>
      <w:r>
        <w:rPr>
          <w:rFonts w:ascii="Courier New"/>
          <w:w w:val="85"/>
          <w:sz w:val="19"/>
        </w:rPr>
        <w:t>per</w:t>
      </w:r>
      <w:r>
        <w:rPr>
          <w:rFonts w:ascii="Courier New"/>
          <w:spacing w:val="-2"/>
          <w:w w:val="85"/>
          <w:sz w:val="19"/>
        </w:rPr>
        <w:t> </w:t>
      </w:r>
      <w:r>
        <w:rPr>
          <w:rFonts w:ascii="Courier New"/>
          <w:w w:val="85"/>
          <w:sz w:val="19"/>
        </w:rPr>
        <w:t>group:</w:t>
      </w:r>
      <w:r>
        <w:rPr>
          <w:rFonts w:ascii="Courier New"/>
          <w:spacing w:val="-1"/>
          <w:w w:val="85"/>
          <w:sz w:val="19"/>
        </w:rPr>
        <w:t> </w:t>
      </w:r>
      <w:r>
        <w:rPr>
          <w:rFonts w:ascii="Courier New"/>
          <w:w w:val="85"/>
          <w:sz w:val="19"/>
        </w:rPr>
        <w:t>min</w:t>
      </w:r>
      <w:r>
        <w:rPr>
          <w:rFonts w:ascii="Courier New"/>
          <w:spacing w:val="-2"/>
          <w:w w:val="85"/>
          <w:sz w:val="19"/>
        </w:rPr>
        <w:t> </w:t>
      </w:r>
      <w:r>
        <w:rPr>
          <w:rFonts w:ascii="Courier New"/>
          <w:w w:val="85"/>
          <w:sz w:val="19"/>
        </w:rPr>
        <w:t>=</w:t>
        <w:tab/>
        <w:t>6</w:t>
      </w:r>
    </w:p>
    <w:p>
      <w:pPr>
        <w:tabs>
          <w:tab w:pos="6169" w:val="left" w:leader="none"/>
          <w:tab w:pos="7593" w:val="right" w:leader="none"/>
        </w:tabs>
        <w:spacing w:before="60"/>
        <w:ind w:left="828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between</w:t>
      </w:r>
      <w:r>
        <w:rPr>
          <w:rFonts w:ascii="Courier New"/>
          <w:spacing w:val="20"/>
          <w:w w:val="80"/>
          <w:sz w:val="19"/>
        </w:rPr>
        <w:t> </w:t>
      </w:r>
      <w:r>
        <w:rPr>
          <w:rFonts w:ascii="Courier New"/>
          <w:w w:val="80"/>
          <w:sz w:val="19"/>
        </w:rPr>
        <w:t>=</w:t>
      </w:r>
      <w:r>
        <w:rPr>
          <w:rFonts w:ascii="Courier New"/>
          <w:spacing w:val="22"/>
          <w:w w:val="80"/>
          <w:sz w:val="19"/>
        </w:rPr>
        <w:t> </w:t>
      </w:r>
      <w:r>
        <w:rPr>
          <w:rFonts w:ascii="Courier New"/>
          <w:w w:val="80"/>
          <w:sz w:val="19"/>
        </w:rPr>
        <w:t>0.6533</w:t>
        <w:tab/>
      </w:r>
      <w:r>
        <w:rPr>
          <w:rFonts w:ascii="Courier New"/>
          <w:w w:val="85"/>
          <w:sz w:val="19"/>
        </w:rPr>
        <w:t>avg</w:t>
      </w:r>
      <w:r>
        <w:rPr>
          <w:rFonts w:ascii="Courier New"/>
          <w:spacing w:val="-3"/>
          <w:w w:val="85"/>
          <w:sz w:val="19"/>
        </w:rPr>
        <w:t> </w:t>
      </w:r>
      <w:r>
        <w:rPr>
          <w:rFonts w:ascii="Courier New"/>
          <w:w w:val="85"/>
          <w:sz w:val="19"/>
        </w:rPr>
        <w:t>=</w:t>
        <w:tab/>
        <w:t>739.5</w:t>
      </w:r>
    </w:p>
    <w:p>
      <w:pPr>
        <w:tabs>
          <w:tab w:pos="6169" w:val="left" w:leader="none"/>
          <w:tab w:pos="7593" w:val="right" w:leader="none"/>
        </w:tabs>
        <w:spacing w:before="59"/>
        <w:ind w:left="828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overall</w:t>
      </w:r>
      <w:r>
        <w:rPr>
          <w:rFonts w:ascii="Courier New"/>
          <w:spacing w:val="20"/>
          <w:w w:val="80"/>
          <w:sz w:val="19"/>
        </w:rPr>
        <w:t> </w:t>
      </w:r>
      <w:r>
        <w:rPr>
          <w:rFonts w:ascii="Courier New"/>
          <w:w w:val="80"/>
          <w:sz w:val="19"/>
        </w:rPr>
        <w:t>=</w:t>
      </w:r>
      <w:r>
        <w:rPr>
          <w:rFonts w:ascii="Courier New"/>
          <w:spacing w:val="22"/>
          <w:w w:val="80"/>
          <w:sz w:val="19"/>
        </w:rPr>
        <w:t> </w:t>
      </w:r>
      <w:r>
        <w:rPr>
          <w:rFonts w:ascii="Courier New"/>
          <w:w w:val="80"/>
          <w:sz w:val="19"/>
        </w:rPr>
        <w:t>0.3115</w:t>
        <w:tab/>
      </w:r>
      <w:r>
        <w:rPr>
          <w:rFonts w:ascii="Courier New"/>
          <w:w w:val="90"/>
          <w:sz w:val="19"/>
        </w:rPr>
        <w:t>max</w:t>
      </w:r>
      <w:r>
        <w:rPr>
          <w:rFonts w:ascii="Courier New"/>
          <w:spacing w:val="-14"/>
          <w:w w:val="90"/>
          <w:sz w:val="19"/>
        </w:rPr>
        <w:t> </w:t>
      </w:r>
      <w:r>
        <w:rPr>
          <w:rFonts w:ascii="Courier New"/>
          <w:w w:val="90"/>
          <w:sz w:val="19"/>
        </w:rPr>
        <w:t>=</w:t>
        <w:tab/>
        <w:t>1370</w:t>
      </w:r>
    </w:p>
    <w:p>
      <w:pPr>
        <w:pStyle w:val="BodyText"/>
        <w:spacing w:before="8"/>
        <w:rPr>
          <w:rFonts w:ascii="Courier New"/>
          <w:sz w:val="29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3"/>
        <w:gridCol w:w="429"/>
        <w:gridCol w:w="238"/>
        <w:gridCol w:w="1812"/>
        <w:gridCol w:w="2622"/>
        <w:gridCol w:w="667"/>
        <w:gridCol w:w="810"/>
      </w:tblGrid>
      <w:tr>
        <w:trPr>
          <w:trHeight w:val="244" w:hRule="atLeast"/>
        </w:trPr>
        <w:tc>
          <w:tcPr>
            <w:tcW w:w="3432" w:type="dxa"/>
            <w:gridSpan w:val="4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22" w:type="dxa"/>
          </w:tcPr>
          <w:p>
            <w:pPr>
              <w:pStyle w:val="TableParagraph"/>
              <w:spacing w:line="214" w:lineRule="exact"/>
              <w:ind w:left="1195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F(22,27304)</w:t>
            </w:r>
          </w:p>
        </w:tc>
        <w:tc>
          <w:tcPr>
            <w:tcW w:w="667" w:type="dxa"/>
          </w:tcPr>
          <w:p>
            <w:pPr>
              <w:pStyle w:val="TableParagraph"/>
              <w:spacing w:line="214" w:lineRule="exact"/>
              <w:ind w:right="189"/>
              <w:rPr>
                <w:sz w:val="19"/>
              </w:rPr>
            </w:pPr>
            <w:r>
              <w:rPr>
                <w:w w:val="78"/>
                <w:sz w:val="19"/>
              </w:rPr>
              <w:t>=</w:t>
            </w:r>
          </w:p>
        </w:tc>
        <w:tc>
          <w:tcPr>
            <w:tcW w:w="810" w:type="dxa"/>
          </w:tcPr>
          <w:p>
            <w:pPr>
              <w:pStyle w:val="TableParagraph"/>
              <w:spacing w:line="214" w:lineRule="exact"/>
              <w:ind w:right="45"/>
              <w:rPr>
                <w:sz w:val="19"/>
              </w:rPr>
            </w:pPr>
            <w:r>
              <w:rPr>
                <w:w w:val="90"/>
                <w:sz w:val="19"/>
              </w:rPr>
              <w:t>538.22</w:t>
            </w:r>
          </w:p>
        </w:tc>
      </w:tr>
      <w:tr>
        <w:trPr>
          <w:trHeight w:val="244" w:hRule="atLeast"/>
        </w:trPr>
        <w:tc>
          <w:tcPr>
            <w:tcW w:w="953" w:type="dxa"/>
          </w:tcPr>
          <w:p>
            <w:pPr>
              <w:pStyle w:val="TableParagraph"/>
              <w:spacing w:line="195" w:lineRule="exact" w:before="29"/>
              <w:ind w:left="50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corr(u_i,</w:t>
            </w:r>
          </w:p>
        </w:tc>
        <w:tc>
          <w:tcPr>
            <w:tcW w:w="429" w:type="dxa"/>
          </w:tcPr>
          <w:p>
            <w:pPr>
              <w:pStyle w:val="TableParagraph"/>
              <w:spacing w:line="195" w:lineRule="exact" w:before="29"/>
              <w:ind w:left="50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Xb)</w:t>
            </w:r>
          </w:p>
        </w:tc>
        <w:tc>
          <w:tcPr>
            <w:tcW w:w="238" w:type="dxa"/>
          </w:tcPr>
          <w:p>
            <w:pPr>
              <w:pStyle w:val="TableParagraph"/>
              <w:spacing w:line="195" w:lineRule="exact" w:before="29"/>
              <w:ind w:left="98"/>
              <w:jc w:val="left"/>
              <w:rPr>
                <w:sz w:val="19"/>
              </w:rPr>
            </w:pPr>
            <w:r>
              <w:rPr>
                <w:w w:val="78"/>
                <w:sz w:val="19"/>
              </w:rPr>
              <w:t>=</w:t>
            </w:r>
          </w:p>
        </w:tc>
        <w:tc>
          <w:tcPr>
            <w:tcW w:w="1812" w:type="dxa"/>
          </w:tcPr>
          <w:p>
            <w:pPr>
              <w:pStyle w:val="TableParagraph"/>
              <w:spacing w:line="195" w:lineRule="exact" w:before="29"/>
              <w:ind w:left="51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0.0354</w:t>
            </w:r>
          </w:p>
        </w:tc>
        <w:tc>
          <w:tcPr>
            <w:tcW w:w="2622" w:type="dxa"/>
          </w:tcPr>
          <w:p>
            <w:pPr>
              <w:pStyle w:val="TableParagraph"/>
              <w:spacing w:line="195" w:lineRule="exact" w:before="29"/>
              <w:ind w:left="1195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Prob</w:t>
            </w:r>
            <w:r>
              <w:rPr>
                <w:spacing w:val="12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&gt;</w:t>
            </w:r>
            <w:r>
              <w:rPr>
                <w:spacing w:val="11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F</w:t>
            </w:r>
          </w:p>
        </w:tc>
        <w:tc>
          <w:tcPr>
            <w:tcW w:w="667" w:type="dxa"/>
          </w:tcPr>
          <w:p>
            <w:pPr>
              <w:pStyle w:val="TableParagraph"/>
              <w:spacing w:line="195" w:lineRule="exact" w:before="29"/>
              <w:ind w:right="189"/>
              <w:rPr>
                <w:sz w:val="19"/>
              </w:rPr>
            </w:pPr>
            <w:r>
              <w:rPr>
                <w:w w:val="78"/>
                <w:sz w:val="19"/>
              </w:rPr>
              <w:t>=</w:t>
            </w:r>
          </w:p>
        </w:tc>
        <w:tc>
          <w:tcPr>
            <w:tcW w:w="810" w:type="dxa"/>
          </w:tcPr>
          <w:p>
            <w:pPr>
              <w:pStyle w:val="TableParagraph"/>
              <w:spacing w:line="195" w:lineRule="exact" w:before="29"/>
              <w:ind w:right="45"/>
              <w:rPr>
                <w:sz w:val="19"/>
              </w:rPr>
            </w:pPr>
            <w:r>
              <w:rPr>
                <w:w w:val="90"/>
                <w:sz w:val="19"/>
              </w:rPr>
              <w:t>0.0000</w:t>
            </w: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17"/>
        </w:r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1237"/>
        <w:gridCol w:w="2575"/>
        <w:gridCol w:w="287"/>
        <w:gridCol w:w="1145"/>
        <w:gridCol w:w="902"/>
      </w:tblGrid>
      <w:tr>
        <w:trPr>
          <w:trHeight w:val="529" w:hRule="atLeast"/>
        </w:trPr>
        <w:tc>
          <w:tcPr>
            <w:tcW w:w="2998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66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healthcareconsultation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6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Coef.</w:t>
            </w:r>
          </w:p>
        </w:tc>
        <w:tc>
          <w:tcPr>
            <w:tcW w:w="2575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tabs>
                <w:tab w:pos="1541" w:val="left" w:leader="none"/>
                <w:tab w:pos="2018" w:val="left" w:leader="none"/>
              </w:tabs>
              <w:spacing w:before="166"/>
              <w:ind w:left="111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Std.</w:t>
            </w:r>
            <w:r>
              <w:rPr>
                <w:spacing w:val="18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Err.</w:t>
              <w:tab/>
            </w:r>
            <w:r>
              <w:rPr>
                <w:w w:val="90"/>
                <w:sz w:val="19"/>
              </w:rPr>
              <w:t>t</w:t>
              <w:tab/>
            </w:r>
            <w:r>
              <w:rPr>
                <w:w w:val="85"/>
                <w:sz w:val="19"/>
              </w:rPr>
              <w:t>P&gt;|t|</w:t>
            </w:r>
          </w:p>
        </w:tc>
        <w:tc>
          <w:tcPr>
            <w:tcW w:w="287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6"/>
              <w:ind w:left="153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[95%</w:t>
            </w:r>
            <w:r>
              <w:rPr>
                <w:spacing w:val="24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Conf.</w:t>
            </w:r>
          </w:p>
        </w:tc>
        <w:tc>
          <w:tcPr>
            <w:tcW w:w="902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66"/>
              <w:ind w:left="56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Interval]</w:t>
            </w:r>
          </w:p>
        </w:tc>
      </w:tr>
      <w:tr>
        <w:trPr>
          <w:trHeight w:val="412" w:hRule="atLeast"/>
        </w:trPr>
        <w:tc>
          <w:tcPr>
            <w:tcW w:w="2998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67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familysize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67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-.0025359</w:t>
            </w:r>
          </w:p>
        </w:tc>
        <w:tc>
          <w:tcPr>
            <w:tcW w:w="2575" w:type="dxa"/>
            <w:tcBorders>
              <w:top w:val="dashSmallGap" w:sz="8" w:space="0" w:color="000000"/>
            </w:tcBorders>
          </w:tcPr>
          <w:p>
            <w:pPr>
              <w:pStyle w:val="TableParagraph"/>
              <w:tabs>
                <w:tab w:pos="1256" w:val="left" w:leader="none"/>
                <w:tab w:pos="2018" w:val="left" w:leader="none"/>
              </w:tabs>
              <w:spacing w:before="167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.0021629</w:t>
              <w:tab/>
            </w:r>
            <w:r>
              <w:rPr>
                <w:w w:val="90"/>
                <w:sz w:val="19"/>
              </w:rPr>
              <w:t>-1.17</w:t>
              <w:tab/>
            </w:r>
            <w:r>
              <w:rPr>
                <w:w w:val="85"/>
                <w:sz w:val="19"/>
              </w:rPr>
              <w:t>0.241</w:t>
            </w:r>
          </w:p>
        </w:tc>
        <w:tc>
          <w:tcPr>
            <w:tcW w:w="287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7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-.0067754</w:t>
            </w:r>
          </w:p>
        </w:tc>
        <w:tc>
          <w:tcPr>
            <w:tcW w:w="902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67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.0017035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nobasiceducation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-.0001663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56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.0026099</w:t>
              <w:tab/>
            </w:r>
            <w:r>
              <w:rPr>
                <w:w w:val="90"/>
                <w:sz w:val="19"/>
              </w:rPr>
              <w:t>-0.06</w:t>
              <w:tab/>
            </w:r>
            <w:r>
              <w:rPr>
                <w:w w:val="85"/>
                <w:sz w:val="19"/>
              </w:rPr>
              <w:t>0.949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-.0052818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.0049493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primaryeducation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.0012929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351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.0070116</w:t>
              <w:tab/>
            </w:r>
            <w:r>
              <w:rPr>
                <w:w w:val="90"/>
                <w:sz w:val="19"/>
              </w:rPr>
              <w:t>0.18</w:t>
              <w:tab/>
            </w:r>
            <w:r>
              <w:rPr>
                <w:w w:val="85"/>
                <w:sz w:val="19"/>
              </w:rPr>
              <w:t>0.854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-.0124503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.0150361</w:t>
            </w:r>
          </w:p>
        </w:tc>
      </w:tr>
      <w:tr>
        <w:trPr>
          <w:trHeight w:val="275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secondaryeducation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-.000304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56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.0103086</w:t>
              <w:tab/>
            </w:r>
            <w:r>
              <w:rPr>
                <w:w w:val="90"/>
                <w:sz w:val="19"/>
              </w:rPr>
              <w:t>-0.03</w:t>
              <w:tab/>
            </w:r>
            <w:r>
              <w:rPr>
                <w:w w:val="85"/>
                <w:sz w:val="19"/>
              </w:rPr>
              <w:t>0.976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-.0205094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.0199014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highereducation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.4258039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60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.0042127</w:t>
              <w:tab/>
              <w:t>101.08</w:t>
              <w:tab/>
              <w:t>0.000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153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.4175467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262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.434061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male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-.0904117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56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.0117425</w:t>
              <w:tab/>
            </w:r>
            <w:r>
              <w:rPr>
                <w:w w:val="90"/>
                <w:sz w:val="19"/>
              </w:rPr>
              <w:t>-7.70</w:t>
              <w:tab/>
            </w:r>
            <w:r>
              <w:rPr>
                <w:w w:val="85"/>
                <w:sz w:val="19"/>
              </w:rPr>
              <w:t>0.000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-.1134276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56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-.0673957</w:t>
            </w:r>
          </w:p>
        </w:tc>
      </w:tr>
      <w:tr>
        <w:trPr>
          <w:trHeight w:val="275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female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.0005741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351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.0013867</w:t>
              <w:tab/>
            </w:r>
            <w:r>
              <w:rPr>
                <w:w w:val="90"/>
                <w:sz w:val="19"/>
              </w:rPr>
              <w:t>0.41</w:t>
              <w:tab/>
            </w:r>
            <w:r>
              <w:rPr>
                <w:w w:val="85"/>
                <w:sz w:val="19"/>
              </w:rPr>
              <w:t>0.679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153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-.002144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.0032921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married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.0176408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351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.0043003</w:t>
              <w:tab/>
            </w:r>
            <w:r>
              <w:rPr>
                <w:w w:val="90"/>
                <w:sz w:val="19"/>
              </w:rPr>
              <w:t>4.10</w:t>
              <w:tab/>
            </w:r>
            <w:r>
              <w:rPr>
                <w:w w:val="85"/>
                <w:sz w:val="19"/>
              </w:rPr>
              <w:t>0.000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24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.009212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.0260695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nevermarried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-.0072261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56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.0058174</w:t>
              <w:tab/>
            </w:r>
            <w:r>
              <w:rPr>
                <w:w w:val="90"/>
                <w:sz w:val="19"/>
              </w:rPr>
              <w:t>-1.24</w:t>
              <w:tab/>
            </w:r>
            <w:r>
              <w:rPr>
                <w:w w:val="85"/>
                <w:sz w:val="19"/>
              </w:rPr>
              <w:t>0.214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-.0186285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.0041764</w:t>
            </w:r>
          </w:p>
        </w:tc>
      </w:tr>
      <w:tr>
        <w:trPr>
          <w:trHeight w:val="275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singleparents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-.0969859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160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.0079088</w:t>
              <w:tab/>
              <w:t>-12.26</w:t>
              <w:tab/>
              <w:t>0.000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-.1124876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56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-.0814843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widow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-.0248621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56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.0093407</w:t>
              <w:tab/>
            </w:r>
            <w:r>
              <w:rPr>
                <w:w w:val="90"/>
                <w:sz w:val="19"/>
              </w:rPr>
              <w:t>-2.66</w:t>
              <w:tab/>
            </w:r>
            <w:r>
              <w:rPr>
                <w:w w:val="85"/>
                <w:sz w:val="19"/>
              </w:rPr>
              <w:t>0.008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-.0431704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56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-.0065539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yes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.0032212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351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.0070187</w:t>
              <w:tab/>
            </w:r>
            <w:r>
              <w:rPr>
                <w:w w:val="90"/>
                <w:sz w:val="19"/>
              </w:rPr>
              <w:t>0.46</w:t>
              <w:tab/>
            </w:r>
            <w:r>
              <w:rPr>
                <w:w w:val="85"/>
                <w:sz w:val="19"/>
              </w:rPr>
              <w:t>0.646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-.0105359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.0169782</w:t>
            </w:r>
          </w:p>
        </w:tc>
      </w:tr>
      <w:tr>
        <w:trPr>
          <w:trHeight w:val="275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no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-.0807974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56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.0121031</w:t>
              <w:tab/>
            </w:r>
            <w:r>
              <w:rPr>
                <w:w w:val="90"/>
                <w:sz w:val="19"/>
              </w:rPr>
              <w:t>-6.68</w:t>
              <w:tab/>
            </w:r>
            <w:r>
              <w:rPr>
                <w:w w:val="85"/>
                <w:sz w:val="19"/>
              </w:rPr>
              <w:t>0.000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-.1045201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56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-.0570746</w:t>
            </w:r>
          </w:p>
        </w:tc>
      </w:tr>
      <w:tr>
        <w:trPr>
          <w:trHeight w:val="275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wagesandsalaries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.0020897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351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.0043525</w:t>
              <w:tab/>
            </w:r>
            <w:r>
              <w:rPr>
                <w:w w:val="90"/>
                <w:sz w:val="19"/>
              </w:rPr>
              <w:t>0.48</w:t>
              <w:tab/>
            </w:r>
            <w:r>
              <w:rPr>
                <w:w w:val="85"/>
                <w:sz w:val="19"/>
              </w:rPr>
              <w:t>0.631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-.0064414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.0106207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85"/>
                <w:sz w:val="19"/>
              </w:rPr>
              <w:t>businessentreprisesortrade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.0171035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351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.0106652</w:t>
              <w:tab/>
            </w:r>
            <w:r>
              <w:rPr>
                <w:w w:val="90"/>
                <w:sz w:val="19"/>
              </w:rPr>
              <w:t>1.60</w:t>
              <w:tab/>
            </w:r>
            <w:r>
              <w:rPr>
                <w:w w:val="85"/>
                <w:sz w:val="19"/>
              </w:rPr>
              <w:t>0.109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-.0038007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.0380078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75"/>
                <w:sz w:val="19"/>
              </w:rPr>
              <w:t>farmingcropandlivestockincomes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.0002522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351" w:val="left" w:leader="none"/>
                <w:tab w:pos="2018" w:val="left" w:leader="none"/>
              </w:tabs>
              <w:spacing w:before="29"/>
              <w:ind w:left="207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.000152</w:t>
              <w:tab/>
            </w:r>
            <w:r>
              <w:rPr>
                <w:w w:val="90"/>
                <w:sz w:val="19"/>
              </w:rPr>
              <w:t>1.66</w:t>
              <w:tab/>
            </w:r>
            <w:r>
              <w:rPr>
                <w:w w:val="85"/>
                <w:sz w:val="19"/>
              </w:rPr>
              <w:t>0.097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-.0000457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.0005502</w:t>
            </w:r>
          </w:p>
        </w:tc>
      </w:tr>
      <w:tr>
        <w:trPr>
          <w:trHeight w:val="275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remittance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.0001859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351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.0073394</w:t>
              <w:tab/>
            </w:r>
            <w:r>
              <w:rPr>
                <w:w w:val="90"/>
                <w:sz w:val="19"/>
              </w:rPr>
              <w:t>0.03</w:t>
              <w:tab/>
            </w:r>
            <w:r>
              <w:rPr>
                <w:w w:val="85"/>
                <w:sz w:val="19"/>
              </w:rPr>
              <w:t>0.980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-.0141996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.0145715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80"/>
                <w:sz w:val="19"/>
              </w:rPr>
              <w:t>monetarytransferandassistance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.0374541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351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.0118146</w:t>
              <w:tab/>
            </w:r>
            <w:r>
              <w:rPr>
                <w:w w:val="90"/>
                <w:sz w:val="19"/>
              </w:rPr>
              <w:t>3.17</w:t>
              <w:tab/>
            </w:r>
            <w:r>
              <w:rPr>
                <w:w w:val="85"/>
                <w:sz w:val="19"/>
              </w:rPr>
              <w:t>0.002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153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.0142969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.0606113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pension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.0026104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351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.0051271</w:t>
              <w:tab/>
            </w:r>
            <w:r>
              <w:rPr>
                <w:w w:val="90"/>
                <w:sz w:val="19"/>
              </w:rPr>
              <w:t>0.51</w:t>
              <w:tab/>
            </w:r>
            <w:r>
              <w:rPr>
                <w:w w:val="85"/>
                <w:sz w:val="19"/>
              </w:rPr>
              <w:t>0.611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-.0074391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.0126598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dividendfrominvestmants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.0008156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351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.0089701</w:t>
              <w:tab/>
            </w:r>
            <w:r>
              <w:rPr>
                <w:w w:val="90"/>
                <w:sz w:val="19"/>
              </w:rPr>
              <w:t>0.09</w:t>
              <w:tab/>
            </w:r>
            <w:r>
              <w:rPr>
                <w:w w:val="85"/>
                <w:sz w:val="19"/>
              </w:rPr>
              <w:t>0.928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-.0167662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.0183974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incomefrompropertiesowned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-.0024776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56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.0022591</w:t>
              <w:tab/>
            </w:r>
            <w:r>
              <w:rPr>
                <w:w w:val="90"/>
                <w:sz w:val="19"/>
              </w:rPr>
              <w:t>-1.10</w:t>
              <w:tab/>
            </w:r>
            <w:r>
              <w:rPr>
                <w:w w:val="85"/>
                <w:sz w:val="19"/>
              </w:rPr>
              <w:t>0.273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-.0069055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.0019503</w:t>
            </w: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ginicoefficient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-.0325315</w:t>
            </w:r>
          </w:p>
        </w:tc>
        <w:tc>
          <w:tcPr>
            <w:tcW w:w="2575" w:type="dxa"/>
          </w:tcPr>
          <w:p>
            <w:pPr>
              <w:pStyle w:val="TableParagraph"/>
              <w:tabs>
                <w:tab w:pos="1256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.0089336</w:t>
              <w:tab/>
            </w:r>
            <w:r>
              <w:rPr>
                <w:w w:val="90"/>
                <w:sz w:val="19"/>
              </w:rPr>
              <w:t>-3.64</w:t>
              <w:tab/>
            </w:r>
            <w:r>
              <w:rPr>
                <w:w w:val="85"/>
                <w:sz w:val="19"/>
              </w:rPr>
              <w:t>0.000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-.0500419</w:t>
            </w:r>
          </w:p>
        </w:tc>
        <w:tc>
          <w:tcPr>
            <w:tcW w:w="902" w:type="dxa"/>
          </w:tcPr>
          <w:p>
            <w:pPr>
              <w:pStyle w:val="TableParagraph"/>
              <w:spacing w:before="29"/>
              <w:ind w:left="56" w:right="-1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-.0150212</w:t>
            </w:r>
          </w:p>
        </w:tc>
      </w:tr>
      <w:tr>
        <w:trPr>
          <w:trHeight w:val="392" w:hRule="atLeast"/>
        </w:trPr>
        <w:tc>
          <w:tcPr>
            <w:tcW w:w="2998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_cons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.2894552</w:t>
            </w:r>
          </w:p>
        </w:tc>
        <w:tc>
          <w:tcPr>
            <w:tcW w:w="2575" w:type="dxa"/>
            <w:tcBorders>
              <w:bottom w:val="dashSmallGap" w:sz="8" w:space="0" w:color="000000"/>
            </w:tcBorders>
          </w:tcPr>
          <w:p>
            <w:pPr>
              <w:pStyle w:val="TableParagraph"/>
              <w:tabs>
                <w:tab w:pos="1256" w:val="left" w:leader="none"/>
                <w:tab w:pos="2018" w:val="left" w:leader="none"/>
              </w:tabs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.0203405</w:t>
              <w:tab/>
            </w:r>
            <w:r>
              <w:rPr>
                <w:w w:val="90"/>
                <w:sz w:val="19"/>
              </w:rPr>
              <w:t>14.23</w:t>
              <w:tab/>
            </w:r>
            <w:r>
              <w:rPr>
                <w:w w:val="85"/>
                <w:sz w:val="19"/>
              </w:rPr>
              <w:t>0.000</w:t>
            </w:r>
          </w:p>
        </w:tc>
        <w:tc>
          <w:tcPr>
            <w:tcW w:w="287" w:type="dxa"/>
            <w:tcBorders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left="153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.2495869</w:t>
            </w:r>
          </w:p>
        </w:tc>
        <w:tc>
          <w:tcPr>
            <w:tcW w:w="90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left="167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.3293236</w:t>
            </w:r>
          </w:p>
        </w:tc>
      </w:tr>
      <w:tr>
        <w:trPr>
          <w:trHeight w:val="412" w:hRule="atLeast"/>
        </w:trPr>
        <w:tc>
          <w:tcPr>
            <w:tcW w:w="2998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67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sigma_u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67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.03689254</w:t>
            </w:r>
          </w:p>
        </w:tc>
        <w:tc>
          <w:tcPr>
            <w:tcW w:w="2575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2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74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sigma_e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.26319748</w:t>
            </w:r>
          </w:p>
        </w:tc>
        <w:tc>
          <w:tcPr>
            <w:tcW w:w="25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92" w:hRule="atLeast"/>
        </w:trPr>
        <w:tc>
          <w:tcPr>
            <w:tcW w:w="2998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0"/>
              <w:rPr>
                <w:sz w:val="19"/>
              </w:rPr>
            </w:pPr>
            <w:r>
              <w:rPr>
                <w:w w:val="90"/>
                <w:sz w:val="19"/>
              </w:rPr>
              <w:t>rho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right="135"/>
              <w:rPr>
                <w:sz w:val="19"/>
              </w:rPr>
            </w:pPr>
            <w:r>
              <w:rPr>
                <w:w w:val="90"/>
                <w:sz w:val="19"/>
              </w:rPr>
              <w:t>.01926919</w:t>
            </w:r>
          </w:p>
        </w:tc>
        <w:tc>
          <w:tcPr>
            <w:tcW w:w="2575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left="111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(fraction</w:t>
            </w:r>
            <w:r>
              <w:rPr>
                <w:spacing w:val="25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of</w:t>
            </w:r>
            <w:r>
              <w:rPr>
                <w:spacing w:val="26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variance</w:t>
            </w:r>
            <w:r>
              <w:rPr>
                <w:spacing w:val="26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due</w:t>
            </w:r>
          </w:p>
        </w:tc>
        <w:tc>
          <w:tcPr>
            <w:tcW w:w="287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left="58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to</w:t>
            </w:r>
          </w:p>
        </w:tc>
        <w:tc>
          <w:tcPr>
            <w:tcW w:w="1145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left="57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u_i)</w:t>
            </w:r>
          </w:p>
        </w:tc>
        <w:tc>
          <w:tcPr>
            <w:tcW w:w="902" w:type="dxa"/>
            <w:tcBorders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2735" w:val="left" w:leader="none"/>
          <w:tab w:pos="4452" w:val="left" w:leader="none"/>
          <w:tab w:pos="5978" w:val="left" w:leader="none"/>
        </w:tabs>
        <w:spacing w:before="168"/>
        <w:ind w:left="160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F</w:t>
      </w:r>
      <w:r>
        <w:rPr>
          <w:rFonts w:ascii="Courier New"/>
          <w:spacing w:val="17"/>
          <w:w w:val="80"/>
          <w:sz w:val="19"/>
        </w:rPr>
        <w:t> </w:t>
      </w:r>
      <w:r>
        <w:rPr>
          <w:rFonts w:ascii="Courier New"/>
          <w:w w:val="80"/>
          <w:sz w:val="19"/>
        </w:rPr>
        <w:t>test</w:t>
      </w:r>
      <w:r>
        <w:rPr>
          <w:rFonts w:ascii="Courier New"/>
          <w:spacing w:val="18"/>
          <w:w w:val="80"/>
          <w:sz w:val="19"/>
        </w:rPr>
        <w:t> </w:t>
      </w:r>
      <w:r>
        <w:rPr>
          <w:rFonts w:ascii="Courier New"/>
          <w:w w:val="80"/>
          <w:sz w:val="19"/>
        </w:rPr>
        <w:t>that</w:t>
      </w:r>
      <w:r>
        <w:rPr>
          <w:rFonts w:ascii="Courier New"/>
          <w:spacing w:val="18"/>
          <w:w w:val="80"/>
          <w:sz w:val="19"/>
        </w:rPr>
        <w:t> </w:t>
      </w:r>
      <w:r>
        <w:rPr>
          <w:rFonts w:ascii="Courier New"/>
          <w:w w:val="80"/>
          <w:sz w:val="19"/>
        </w:rPr>
        <w:t>all</w:t>
      </w:r>
      <w:r>
        <w:rPr>
          <w:rFonts w:ascii="Courier New"/>
          <w:spacing w:val="17"/>
          <w:w w:val="80"/>
          <w:sz w:val="19"/>
        </w:rPr>
        <w:t> </w:t>
      </w:r>
      <w:r>
        <w:rPr>
          <w:rFonts w:ascii="Courier New"/>
          <w:w w:val="80"/>
          <w:sz w:val="19"/>
        </w:rPr>
        <w:t>u_i=0:</w:t>
        <w:tab/>
        <w:t>F(36,</w:t>
      </w:r>
      <w:r>
        <w:rPr>
          <w:rFonts w:ascii="Courier New"/>
          <w:spacing w:val="20"/>
          <w:w w:val="80"/>
          <w:sz w:val="19"/>
        </w:rPr>
        <w:t> </w:t>
      </w:r>
      <w:r>
        <w:rPr>
          <w:rFonts w:ascii="Courier New"/>
          <w:w w:val="80"/>
          <w:sz w:val="19"/>
        </w:rPr>
        <w:t>27304)</w:t>
      </w:r>
      <w:r>
        <w:rPr>
          <w:rFonts w:ascii="Courier New"/>
          <w:spacing w:val="18"/>
          <w:w w:val="80"/>
          <w:sz w:val="19"/>
        </w:rPr>
        <w:t> </w:t>
      </w:r>
      <w:r>
        <w:rPr>
          <w:rFonts w:ascii="Courier New"/>
          <w:w w:val="80"/>
          <w:sz w:val="19"/>
        </w:rPr>
        <w:t>=</w:t>
        <w:tab/>
      </w:r>
      <w:r>
        <w:rPr>
          <w:rFonts w:ascii="Courier New"/>
          <w:w w:val="90"/>
          <w:sz w:val="19"/>
        </w:rPr>
        <w:t>12.14</w:t>
        <w:tab/>
      </w:r>
      <w:r>
        <w:rPr>
          <w:rFonts w:ascii="Courier New"/>
          <w:w w:val="80"/>
          <w:sz w:val="19"/>
        </w:rPr>
        <w:t>Prob</w:t>
      </w:r>
      <w:r>
        <w:rPr>
          <w:rFonts w:ascii="Courier New"/>
          <w:spacing w:val="14"/>
          <w:w w:val="80"/>
          <w:sz w:val="19"/>
        </w:rPr>
        <w:t> </w:t>
      </w:r>
      <w:r>
        <w:rPr>
          <w:rFonts w:ascii="Courier New"/>
          <w:w w:val="80"/>
          <w:sz w:val="19"/>
        </w:rPr>
        <w:t>&gt;</w:t>
      </w:r>
      <w:r>
        <w:rPr>
          <w:rFonts w:ascii="Courier New"/>
          <w:spacing w:val="16"/>
          <w:w w:val="80"/>
          <w:sz w:val="19"/>
        </w:rPr>
        <w:t> </w:t>
      </w:r>
      <w:r>
        <w:rPr>
          <w:rFonts w:ascii="Courier New"/>
          <w:w w:val="80"/>
          <w:sz w:val="19"/>
        </w:rPr>
        <w:t>F</w:t>
      </w:r>
      <w:r>
        <w:rPr>
          <w:rFonts w:ascii="Courier New"/>
          <w:spacing w:val="14"/>
          <w:w w:val="80"/>
          <w:sz w:val="19"/>
        </w:rPr>
        <w:t> </w:t>
      </w:r>
      <w:r>
        <w:rPr>
          <w:rFonts w:ascii="Courier New"/>
          <w:w w:val="80"/>
          <w:sz w:val="19"/>
        </w:rPr>
        <w:t>=</w:t>
      </w:r>
      <w:r>
        <w:rPr>
          <w:rFonts w:ascii="Courier New"/>
          <w:spacing w:val="15"/>
          <w:w w:val="80"/>
          <w:sz w:val="19"/>
        </w:rPr>
        <w:t> </w:t>
      </w:r>
      <w:r>
        <w:rPr>
          <w:rFonts w:ascii="Courier New"/>
          <w:w w:val="80"/>
          <w:sz w:val="19"/>
        </w:rPr>
        <w:t>0.0000</w:t>
      </w:r>
    </w:p>
    <w:p>
      <w:pPr>
        <w:spacing w:after="0"/>
        <w:jc w:val="left"/>
        <w:rPr>
          <w:rFonts w:ascii="Courier New"/>
          <w:sz w:val="19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5"/>
        <w:jc w:val="center"/>
      </w:pPr>
      <w:r>
        <w:rPr/>
        <w:t>TABLE</w:t>
      </w:r>
      <w:r>
        <w:rPr>
          <w:spacing w:val="-1"/>
        </w:rPr>
        <w:t> </w:t>
      </w:r>
      <w:r>
        <w:rPr/>
        <w:t>L8:</w:t>
      </w:r>
      <w:r>
        <w:rPr>
          <w:spacing w:val="-2"/>
        </w:rPr>
        <w:t> </w:t>
      </w:r>
      <w:r>
        <w:rPr/>
        <w:t>RANDOM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FOR WAVE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8"/>
        <w:gridCol w:w="2432"/>
        <w:gridCol w:w="286"/>
        <w:gridCol w:w="858"/>
      </w:tblGrid>
      <w:tr>
        <w:trPr>
          <w:trHeight w:val="230" w:hRule="atLeast"/>
        </w:trPr>
        <w:tc>
          <w:tcPr>
            <w:tcW w:w="3958" w:type="dxa"/>
          </w:tcPr>
          <w:p>
            <w:pPr>
              <w:pStyle w:val="TableParagraph"/>
              <w:spacing w:line="202" w:lineRule="exact"/>
              <w:ind w:left="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Random-effects</w:t>
            </w:r>
            <w:r>
              <w:rPr>
                <w:spacing w:val="4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logistic</w:t>
            </w:r>
            <w:r>
              <w:rPr>
                <w:spacing w:val="4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regression</w:t>
            </w:r>
          </w:p>
        </w:tc>
        <w:tc>
          <w:tcPr>
            <w:tcW w:w="2432" w:type="dxa"/>
          </w:tcPr>
          <w:p>
            <w:pPr>
              <w:pStyle w:val="TableParagraph"/>
              <w:spacing w:line="202" w:lineRule="exact"/>
              <w:ind w:left="669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Number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obs</w:t>
            </w:r>
          </w:p>
        </w:tc>
        <w:tc>
          <w:tcPr>
            <w:tcW w:w="286" w:type="dxa"/>
          </w:tcPr>
          <w:p>
            <w:pPr>
              <w:pStyle w:val="TableParagraph"/>
              <w:spacing w:line="202" w:lineRule="exact"/>
              <w:ind w:left="49"/>
              <w:jc w:val="left"/>
              <w:rPr>
                <w:sz w:val="18"/>
              </w:rPr>
            </w:pPr>
            <w:r>
              <w:rPr>
                <w:w w:val="83"/>
                <w:sz w:val="18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w w:val="95"/>
                <w:sz w:val="18"/>
              </w:rPr>
              <w:t>27363</w:t>
            </w:r>
          </w:p>
        </w:tc>
      </w:tr>
      <w:tr>
        <w:trPr>
          <w:trHeight w:val="389" w:hRule="atLeast"/>
        </w:trPr>
        <w:tc>
          <w:tcPr>
            <w:tcW w:w="3958" w:type="dxa"/>
          </w:tcPr>
          <w:p>
            <w:pPr>
              <w:pStyle w:val="TableParagraph"/>
              <w:spacing w:before="27"/>
              <w:ind w:left="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Group</w:t>
            </w:r>
            <w:r>
              <w:rPr>
                <w:spacing w:val="2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variable:</w:t>
            </w:r>
            <w:r>
              <w:rPr>
                <w:spacing w:val="2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state</w:t>
            </w:r>
          </w:p>
        </w:tc>
        <w:tc>
          <w:tcPr>
            <w:tcW w:w="2432" w:type="dxa"/>
          </w:tcPr>
          <w:p>
            <w:pPr>
              <w:pStyle w:val="TableParagraph"/>
              <w:spacing w:before="27"/>
              <w:ind w:left="669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Number</w:t>
            </w:r>
            <w:r>
              <w:rPr>
                <w:spacing w:val="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groups</w:t>
            </w:r>
          </w:p>
        </w:tc>
        <w:tc>
          <w:tcPr>
            <w:tcW w:w="286" w:type="dxa"/>
          </w:tcPr>
          <w:p>
            <w:pPr>
              <w:pStyle w:val="TableParagraph"/>
              <w:spacing w:before="27"/>
              <w:ind w:left="49"/>
              <w:jc w:val="left"/>
              <w:rPr>
                <w:sz w:val="18"/>
              </w:rPr>
            </w:pPr>
            <w:r>
              <w:rPr>
                <w:w w:val="83"/>
                <w:sz w:val="18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27"/>
              <w:ind w:right="48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</w:tr>
      <w:tr>
        <w:trPr>
          <w:trHeight w:val="389" w:hRule="atLeast"/>
        </w:trPr>
        <w:tc>
          <w:tcPr>
            <w:tcW w:w="3958" w:type="dxa"/>
          </w:tcPr>
          <w:p>
            <w:pPr>
              <w:pStyle w:val="TableParagraph"/>
              <w:spacing w:before="157"/>
              <w:ind w:left="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Random</w:t>
            </w:r>
            <w:r>
              <w:rPr>
                <w:spacing w:val="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effects</w:t>
            </w:r>
            <w:r>
              <w:rPr>
                <w:spacing w:val="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u_i</w:t>
            </w:r>
            <w:r>
              <w:rPr>
                <w:spacing w:val="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~</w:t>
            </w:r>
            <w:r>
              <w:rPr>
                <w:spacing w:val="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Gaussian</w:t>
            </w:r>
          </w:p>
        </w:tc>
        <w:tc>
          <w:tcPr>
            <w:tcW w:w="2432" w:type="dxa"/>
          </w:tcPr>
          <w:p>
            <w:pPr>
              <w:pStyle w:val="TableParagraph"/>
              <w:spacing w:before="157"/>
              <w:ind w:right="49"/>
              <w:rPr>
                <w:sz w:val="18"/>
              </w:rPr>
            </w:pPr>
            <w:r>
              <w:rPr>
                <w:w w:val="85"/>
                <w:sz w:val="18"/>
              </w:rPr>
              <w:t>Obs</w:t>
            </w:r>
            <w:r>
              <w:rPr>
                <w:spacing w:val="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per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group:</w:t>
            </w:r>
            <w:r>
              <w:rPr>
                <w:spacing w:val="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min</w:t>
            </w:r>
          </w:p>
        </w:tc>
        <w:tc>
          <w:tcPr>
            <w:tcW w:w="286" w:type="dxa"/>
          </w:tcPr>
          <w:p>
            <w:pPr>
              <w:pStyle w:val="TableParagraph"/>
              <w:spacing w:before="157"/>
              <w:ind w:left="49"/>
              <w:jc w:val="left"/>
              <w:rPr>
                <w:sz w:val="18"/>
              </w:rPr>
            </w:pPr>
            <w:r>
              <w:rPr>
                <w:w w:val="83"/>
                <w:sz w:val="18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157"/>
              <w:ind w:right="48"/>
              <w:rPr>
                <w:sz w:val="18"/>
              </w:rPr>
            </w:pPr>
            <w:r>
              <w:rPr>
                <w:w w:val="83"/>
                <w:sz w:val="18"/>
              </w:rPr>
              <w:t>6</w:t>
            </w:r>
          </w:p>
        </w:tc>
      </w:tr>
      <w:tr>
        <w:trPr>
          <w:trHeight w:val="259" w:hRule="atLeast"/>
        </w:trPr>
        <w:tc>
          <w:tcPr>
            <w:tcW w:w="395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spacing w:before="27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avg</w:t>
            </w:r>
          </w:p>
        </w:tc>
        <w:tc>
          <w:tcPr>
            <w:tcW w:w="286" w:type="dxa"/>
          </w:tcPr>
          <w:p>
            <w:pPr>
              <w:pStyle w:val="TableParagraph"/>
              <w:spacing w:before="27"/>
              <w:ind w:left="49"/>
              <w:jc w:val="left"/>
              <w:rPr>
                <w:sz w:val="18"/>
              </w:rPr>
            </w:pPr>
            <w:r>
              <w:rPr>
                <w:w w:val="83"/>
                <w:sz w:val="18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27"/>
              <w:ind w:right="48"/>
              <w:rPr>
                <w:sz w:val="18"/>
              </w:rPr>
            </w:pPr>
            <w:r>
              <w:rPr>
                <w:w w:val="95"/>
                <w:sz w:val="18"/>
              </w:rPr>
              <w:t>739.5</w:t>
            </w:r>
          </w:p>
        </w:tc>
      </w:tr>
      <w:tr>
        <w:trPr>
          <w:trHeight w:val="389" w:hRule="atLeast"/>
        </w:trPr>
        <w:tc>
          <w:tcPr>
            <w:tcW w:w="395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spacing w:before="27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max</w:t>
            </w:r>
          </w:p>
        </w:tc>
        <w:tc>
          <w:tcPr>
            <w:tcW w:w="286" w:type="dxa"/>
          </w:tcPr>
          <w:p>
            <w:pPr>
              <w:pStyle w:val="TableParagraph"/>
              <w:spacing w:before="27"/>
              <w:ind w:left="49"/>
              <w:jc w:val="left"/>
              <w:rPr>
                <w:sz w:val="18"/>
              </w:rPr>
            </w:pPr>
            <w:r>
              <w:rPr>
                <w:w w:val="83"/>
                <w:sz w:val="18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27"/>
              <w:ind w:right="48"/>
              <w:rPr>
                <w:sz w:val="18"/>
              </w:rPr>
            </w:pPr>
            <w:r>
              <w:rPr>
                <w:w w:val="95"/>
                <w:sz w:val="18"/>
              </w:rPr>
              <w:t>1370</w:t>
            </w:r>
          </w:p>
        </w:tc>
      </w:tr>
      <w:tr>
        <w:trPr>
          <w:trHeight w:val="519" w:hRule="atLeast"/>
        </w:trPr>
        <w:tc>
          <w:tcPr>
            <w:tcW w:w="3958" w:type="dxa"/>
          </w:tcPr>
          <w:p>
            <w:pPr>
              <w:pStyle w:val="TableParagraph"/>
              <w:spacing w:before="157"/>
              <w:ind w:left="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Integration</w:t>
            </w:r>
            <w:r>
              <w:rPr>
                <w:spacing w:val="3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method:</w:t>
            </w:r>
            <w:r>
              <w:rPr>
                <w:spacing w:val="3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mvaghermite</w:t>
            </w:r>
          </w:p>
        </w:tc>
        <w:tc>
          <w:tcPr>
            <w:tcW w:w="2432" w:type="dxa"/>
          </w:tcPr>
          <w:p>
            <w:pPr>
              <w:pStyle w:val="TableParagraph"/>
              <w:spacing w:before="157"/>
              <w:ind w:right="49"/>
              <w:rPr>
                <w:sz w:val="18"/>
              </w:rPr>
            </w:pPr>
            <w:r>
              <w:rPr>
                <w:w w:val="85"/>
                <w:sz w:val="18"/>
              </w:rPr>
              <w:t>Integration</w:t>
            </w:r>
            <w:r>
              <w:rPr>
                <w:spacing w:val="3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points</w:t>
            </w:r>
          </w:p>
        </w:tc>
        <w:tc>
          <w:tcPr>
            <w:tcW w:w="286" w:type="dxa"/>
          </w:tcPr>
          <w:p>
            <w:pPr>
              <w:pStyle w:val="TableParagraph"/>
              <w:spacing w:before="157"/>
              <w:ind w:left="49"/>
              <w:jc w:val="left"/>
              <w:rPr>
                <w:sz w:val="18"/>
              </w:rPr>
            </w:pPr>
            <w:r>
              <w:rPr>
                <w:w w:val="83"/>
                <w:sz w:val="18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157"/>
              <w:ind w:right="48"/>
              <w:rPr>
                <w:sz w:val="18"/>
              </w:rPr>
            </w:pPr>
            <w:r>
              <w:rPr>
                <w:w w:val="95"/>
                <w:sz w:val="18"/>
              </w:rPr>
              <w:t>12</w:t>
            </w:r>
          </w:p>
        </w:tc>
      </w:tr>
      <w:tr>
        <w:trPr>
          <w:trHeight w:val="389" w:hRule="atLeast"/>
        </w:trPr>
        <w:tc>
          <w:tcPr>
            <w:tcW w:w="395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spacing w:before="157"/>
              <w:ind w:left="669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Wald</w:t>
            </w:r>
            <w:r>
              <w:rPr>
                <w:spacing w:val="2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chi2(22)</w:t>
            </w:r>
          </w:p>
        </w:tc>
        <w:tc>
          <w:tcPr>
            <w:tcW w:w="286" w:type="dxa"/>
          </w:tcPr>
          <w:p>
            <w:pPr>
              <w:pStyle w:val="TableParagraph"/>
              <w:spacing w:before="157"/>
              <w:ind w:left="49"/>
              <w:jc w:val="left"/>
              <w:rPr>
                <w:sz w:val="18"/>
              </w:rPr>
            </w:pPr>
            <w:r>
              <w:rPr>
                <w:w w:val="83"/>
                <w:sz w:val="18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before="157"/>
              <w:ind w:right="48"/>
              <w:rPr>
                <w:sz w:val="18"/>
              </w:rPr>
            </w:pPr>
            <w:r>
              <w:rPr>
                <w:w w:val="95"/>
                <w:sz w:val="18"/>
              </w:rPr>
              <w:t>4495.49</w:t>
            </w:r>
          </w:p>
        </w:tc>
      </w:tr>
      <w:tr>
        <w:trPr>
          <w:trHeight w:val="230" w:hRule="atLeast"/>
        </w:trPr>
        <w:tc>
          <w:tcPr>
            <w:tcW w:w="3958" w:type="dxa"/>
          </w:tcPr>
          <w:p>
            <w:pPr>
              <w:pStyle w:val="TableParagraph"/>
              <w:spacing w:line="183" w:lineRule="exact" w:before="27"/>
              <w:ind w:left="5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Log</w:t>
            </w:r>
            <w:r>
              <w:rPr>
                <w:spacing w:val="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likelihood</w:t>
            </w:r>
            <w:r>
              <w:rPr>
                <w:spacing w:val="110"/>
                <w:sz w:val="18"/>
              </w:rPr>
              <w:t> </w:t>
            </w:r>
            <w:r>
              <w:rPr>
                <w:w w:val="85"/>
                <w:sz w:val="18"/>
              </w:rPr>
              <w:t>=</w:t>
            </w:r>
            <w:r>
              <w:rPr>
                <w:spacing w:val="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-6284.8254</w:t>
            </w:r>
          </w:p>
        </w:tc>
        <w:tc>
          <w:tcPr>
            <w:tcW w:w="2432" w:type="dxa"/>
          </w:tcPr>
          <w:p>
            <w:pPr>
              <w:pStyle w:val="TableParagraph"/>
              <w:spacing w:line="183" w:lineRule="exact" w:before="27"/>
              <w:ind w:left="669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Prob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&gt;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chi2</w:t>
            </w:r>
          </w:p>
        </w:tc>
        <w:tc>
          <w:tcPr>
            <w:tcW w:w="286" w:type="dxa"/>
          </w:tcPr>
          <w:p>
            <w:pPr>
              <w:pStyle w:val="TableParagraph"/>
              <w:spacing w:line="183" w:lineRule="exact" w:before="27"/>
              <w:ind w:left="49"/>
              <w:jc w:val="left"/>
              <w:rPr>
                <w:sz w:val="18"/>
              </w:rPr>
            </w:pPr>
            <w:r>
              <w:rPr>
                <w:w w:val="83"/>
                <w:sz w:val="18"/>
              </w:rPr>
              <w:t>=</w:t>
            </w:r>
          </w:p>
        </w:tc>
        <w:tc>
          <w:tcPr>
            <w:tcW w:w="858" w:type="dxa"/>
          </w:tcPr>
          <w:p>
            <w:pPr>
              <w:pStyle w:val="TableParagraph"/>
              <w:spacing w:line="183" w:lineRule="exact" w:before="27"/>
              <w:ind w:right="48"/>
              <w:rPr>
                <w:sz w:val="18"/>
              </w:rPr>
            </w:pPr>
            <w:r>
              <w:rPr>
                <w:w w:val="95"/>
                <w:sz w:val="18"/>
              </w:rPr>
              <w:t>0.0000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1237"/>
        <w:gridCol w:w="1144"/>
        <w:gridCol w:w="762"/>
        <w:gridCol w:w="810"/>
        <w:gridCol w:w="1287"/>
        <w:gridCol w:w="901"/>
      </w:tblGrid>
      <w:tr>
        <w:trPr>
          <w:trHeight w:val="499" w:hRule="atLeast"/>
        </w:trPr>
        <w:tc>
          <w:tcPr>
            <w:tcW w:w="2998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56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healthcareconsultation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6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Coef.</w:t>
            </w:r>
          </w:p>
        </w:tc>
        <w:tc>
          <w:tcPr>
            <w:tcW w:w="1144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6"/>
              <w:ind w:left="153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Std.</w:t>
            </w:r>
            <w:r>
              <w:rPr>
                <w:spacing w:val="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Err.</w:t>
            </w:r>
          </w:p>
        </w:tc>
        <w:tc>
          <w:tcPr>
            <w:tcW w:w="762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6"/>
              <w:ind w:left="439"/>
              <w:jc w:val="left"/>
              <w:rPr>
                <w:sz w:val="18"/>
              </w:rPr>
            </w:pPr>
            <w:r>
              <w:rPr>
                <w:w w:val="83"/>
                <w:sz w:val="18"/>
              </w:rPr>
              <w:t>z</w:t>
            </w:r>
          </w:p>
        </w:tc>
        <w:tc>
          <w:tcPr>
            <w:tcW w:w="810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6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P&gt;|z|</w:t>
            </w:r>
          </w:p>
        </w:tc>
        <w:tc>
          <w:tcPr>
            <w:tcW w:w="1287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6"/>
              <w:ind w:left="298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[95%</w:t>
            </w:r>
            <w:r>
              <w:rPr>
                <w:spacing w:val="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Conf.</w:t>
            </w:r>
          </w:p>
        </w:tc>
        <w:tc>
          <w:tcPr>
            <w:tcW w:w="901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6"/>
              <w:ind w:left="79" w:right="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Interval]</w:t>
            </w:r>
          </w:p>
        </w:tc>
      </w:tr>
      <w:tr>
        <w:trPr>
          <w:trHeight w:val="389" w:hRule="atLeast"/>
        </w:trPr>
        <w:tc>
          <w:tcPr>
            <w:tcW w:w="2998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5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familysize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5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-.0437891</w:t>
            </w:r>
          </w:p>
        </w:tc>
        <w:tc>
          <w:tcPr>
            <w:tcW w:w="1144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7"/>
              <w:ind w:left="24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.030255</w:t>
            </w:r>
          </w:p>
        </w:tc>
        <w:tc>
          <w:tcPr>
            <w:tcW w:w="762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-1.45</w:t>
            </w:r>
          </w:p>
        </w:tc>
        <w:tc>
          <w:tcPr>
            <w:tcW w:w="810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0.148</w:t>
            </w:r>
          </w:p>
        </w:tc>
        <w:tc>
          <w:tcPr>
            <w:tcW w:w="1287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-.1030878</w:t>
            </w:r>
          </w:p>
        </w:tc>
        <w:tc>
          <w:tcPr>
            <w:tcW w:w="901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.0155095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nobasiceducation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-.0091586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.0361313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-0.25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0.800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-.0799747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.0616575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primaryeducation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.0575123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.0880574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0.65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0.514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9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-.115077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.2301017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secondaryeducation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-.0196299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34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.12441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-0.16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0.875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-.2634691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.2242093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highereducation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3.408238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.0522045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65.29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9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3.305919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3.510556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male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-.8217882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.1360503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-6.04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-1.088442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79" w:right="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-.5551345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female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.007919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.0200074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0.40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0.692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-.0312948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.0471327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married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.2394955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.0639436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3.75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9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.1141684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.3648226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nevermarried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-.0791164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.0774172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-1.02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0.307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-.2308513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.0726185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singleparents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-.8031483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.0932658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-8.61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-.9859459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79" w:right="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-.6203508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widow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-.4088217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24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.127373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-3.21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0.001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-.6584682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79" w:right="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-.1591752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yes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.0558379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.0929422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0.60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0.548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-.1263256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.2380013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no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-.7388327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.1402702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-5.27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-1.013757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79" w:right="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-.4639082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wagesandsalaries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.0825686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.0638039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1.29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0.196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-.0424847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.2076219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0"/>
                <w:sz w:val="18"/>
              </w:rPr>
              <w:t>businessentreprisesortrade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.2411539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.1438262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1.68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0.094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-.0407403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.5230481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80"/>
                <w:sz w:val="18"/>
              </w:rPr>
              <w:t>farmingcropandlivestockincomes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.0041333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.0021561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1.92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0.055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-.0000926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.0083592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remittance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.0297996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.1081045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0.28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0.783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-.1820813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.2416804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85"/>
                <w:sz w:val="18"/>
              </w:rPr>
              <w:t>monetarytransferandassistance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.5608206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.1864137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3.01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0.003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9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.1954566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.9261847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pension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.0331792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.0760471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0.44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0.663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-.1158703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.1822287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dividendfrominvestmants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.0003893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.1439778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0.00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0.998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-.2818019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.2825806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incomefrompropertiesowned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-.0261413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24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.032596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-0.80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0.423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-.0900282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.0377456</w:t>
            </w:r>
          </w:p>
        </w:tc>
      </w:tr>
      <w:tr>
        <w:trPr>
          <w:trHeight w:val="259" w:hRule="atLeast"/>
        </w:trPr>
        <w:tc>
          <w:tcPr>
            <w:tcW w:w="299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ginicoefficient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-.254597</w:t>
            </w:r>
          </w:p>
        </w:tc>
        <w:tc>
          <w:tcPr>
            <w:tcW w:w="1144" w:type="dxa"/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.1122987</w:t>
            </w:r>
          </w:p>
        </w:tc>
        <w:tc>
          <w:tcPr>
            <w:tcW w:w="762" w:type="dxa"/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-2.27</w:t>
            </w:r>
          </w:p>
        </w:tc>
        <w:tc>
          <w:tcPr>
            <w:tcW w:w="810" w:type="dxa"/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0.023</w:t>
            </w:r>
          </w:p>
        </w:tc>
        <w:tc>
          <w:tcPr>
            <w:tcW w:w="1287" w:type="dxa"/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-.4746985</w:t>
            </w:r>
          </w:p>
        </w:tc>
        <w:tc>
          <w:tcPr>
            <w:tcW w:w="901" w:type="dxa"/>
          </w:tcPr>
          <w:p>
            <w:pPr>
              <w:pStyle w:val="TableParagraph"/>
              <w:spacing w:before="27"/>
              <w:ind w:left="79" w:right="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-.0344955</w:t>
            </w:r>
          </w:p>
        </w:tc>
      </w:tr>
      <w:tr>
        <w:trPr>
          <w:trHeight w:val="369" w:hRule="atLeast"/>
        </w:trPr>
        <w:tc>
          <w:tcPr>
            <w:tcW w:w="2998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_cons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-1.620776</w:t>
            </w:r>
          </w:p>
        </w:tc>
        <w:tc>
          <w:tcPr>
            <w:tcW w:w="1144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left="24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.293025</w:t>
            </w:r>
          </w:p>
        </w:tc>
        <w:tc>
          <w:tcPr>
            <w:tcW w:w="762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-5.53</w:t>
            </w:r>
          </w:p>
        </w:tc>
        <w:tc>
          <w:tcPr>
            <w:tcW w:w="810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left="114" w:right="14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0.000</w:t>
            </w:r>
          </w:p>
        </w:tc>
        <w:tc>
          <w:tcPr>
            <w:tcW w:w="1287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-2.195095</w:t>
            </w:r>
          </w:p>
        </w:tc>
        <w:tc>
          <w:tcPr>
            <w:tcW w:w="901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left="79" w:right="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-1.046458</w:t>
            </w:r>
          </w:p>
        </w:tc>
      </w:tr>
      <w:tr>
        <w:trPr>
          <w:trHeight w:val="499" w:hRule="atLeast"/>
        </w:trPr>
        <w:tc>
          <w:tcPr>
            <w:tcW w:w="2998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56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/lnsig2u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6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-1.583728</w:t>
            </w:r>
          </w:p>
        </w:tc>
        <w:tc>
          <w:tcPr>
            <w:tcW w:w="1144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6"/>
              <w:ind w:left="24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.263553</w:t>
            </w:r>
          </w:p>
        </w:tc>
        <w:tc>
          <w:tcPr>
            <w:tcW w:w="762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0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7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6"/>
              <w:ind w:left="20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-2.100283</w:t>
            </w:r>
          </w:p>
        </w:tc>
        <w:tc>
          <w:tcPr>
            <w:tcW w:w="901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56"/>
              <w:ind w:left="79" w:right="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-1.067174</w:t>
            </w:r>
          </w:p>
        </w:tc>
      </w:tr>
      <w:tr>
        <w:trPr>
          <w:trHeight w:val="388" w:hRule="atLeast"/>
        </w:trPr>
        <w:tc>
          <w:tcPr>
            <w:tcW w:w="2998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56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sigma_u</w:t>
            </w:r>
          </w:p>
        </w:tc>
        <w:tc>
          <w:tcPr>
            <w:tcW w:w="1237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56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.4529995</w:t>
            </w:r>
          </w:p>
        </w:tc>
        <w:tc>
          <w:tcPr>
            <w:tcW w:w="1144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6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.0596947</w:t>
            </w:r>
          </w:p>
        </w:tc>
        <w:tc>
          <w:tcPr>
            <w:tcW w:w="762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0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7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6"/>
              <w:ind w:left="29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.3498883</w:t>
            </w:r>
          </w:p>
        </w:tc>
        <w:tc>
          <w:tcPr>
            <w:tcW w:w="901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56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.5864974</w:t>
            </w:r>
          </w:p>
        </w:tc>
      </w:tr>
      <w:tr>
        <w:trPr>
          <w:trHeight w:val="369" w:hRule="atLeast"/>
        </w:trPr>
        <w:tc>
          <w:tcPr>
            <w:tcW w:w="2998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27"/>
              <w:ind w:right="131"/>
              <w:rPr>
                <w:sz w:val="18"/>
              </w:rPr>
            </w:pPr>
            <w:r>
              <w:rPr>
                <w:w w:val="95"/>
                <w:sz w:val="18"/>
              </w:rPr>
              <w:t>rho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.0587136</w:t>
            </w:r>
          </w:p>
        </w:tc>
        <w:tc>
          <w:tcPr>
            <w:tcW w:w="1144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left="15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.0145656</w:t>
            </w:r>
          </w:p>
        </w:tc>
        <w:tc>
          <w:tcPr>
            <w:tcW w:w="762" w:type="dxa"/>
            <w:tcBorders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0" w:type="dxa"/>
            <w:tcBorders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7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left="29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.0358767</w:t>
            </w:r>
          </w:p>
        </w:tc>
        <w:tc>
          <w:tcPr>
            <w:tcW w:w="901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7"/>
              <w:ind w:left="156" w:right="-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.0946598</w:t>
            </w:r>
          </w:p>
        </w:tc>
      </w:tr>
    </w:tbl>
    <w:p>
      <w:pPr>
        <w:tabs>
          <w:tab w:pos="4738" w:val="left" w:leader="none"/>
        </w:tabs>
        <w:spacing w:before="158"/>
        <w:ind w:left="160" w:right="0" w:firstLine="0"/>
        <w:jc w:val="left"/>
        <w:rPr>
          <w:rFonts w:ascii="Courier New"/>
          <w:sz w:val="18"/>
        </w:rPr>
      </w:pPr>
      <w:r>
        <w:rPr>
          <w:rFonts w:ascii="Courier New"/>
          <w:w w:val="85"/>
          <w:sz w:val="18"/>
        </w:rPr>
        <w:t>Likelihood-ratio</w:t>
      </w:r>
      <w:r>
        <w:rPr>
          <w:rFonts w:ascii="Courier New"/>
          <w:spacing w:val="24"/>
          <w:w w:val="85"/>
          <w:sz w:val="18"/>
        </w:rPr>
        <w:t> </w:t>
      </w:r>
      <w:r>
        <w:rPr>
          <w:rFonts w:ascii="Courier New"/>
          <w:w w:val="85"/>
          <w:sz w:val="18"/>
        </w:rPr>
        <w:t>test</w:t>
      </w:r>
      <w:r>
        <w:rPr>
          <w:rFonts w:ascii="Courier New"/>
          <w:spacing w:val="25"/>
          <w:w w:val="85"/>
          <w:sz w:val="18"/>
        </w:rPr>
        <w:t> </w:t>
      </w:r>
      <w:r>
        <w:rPr>
          <w:rFonts w:ascii="Courier New"/>
          <w:w w:val="85"/>
          <w:sz w:val="18"/>
        </w:rPr>
        <w:t>of</w:t>
      </w:r>
      <w:r>
        <w:rPr>
          <w:rFonts w:ascii="Courier New"/>
          <w:spacing w:val="24"/>
          <w:w w:val="85"/>
          <w:sz w:val="18"/>
        </w:rPr>
        <w:t> </w:t>
      </w:r>
      <w:r>
        <w:rPr>
          <w:rFonts w:ascii="Courier New"/>
          <w:w w:val="85"/>
          <w:sz w:val="18"/>
        </w:rPr>
        <w:t>rho=0:</w:t>
      </w:r>
      <w:r>
        <w:rPr>
          <w:rFonts w:ascii="Courier New"/>
          <w:spacing w:val="24"/>
          <w:w w:val="85"/>
          <w:sz w:val="18"/>
        </w:rPr>
        <w:t> </w:t>
      </w:r>
      <w:r>
        <w:rPr>
          <w:rFonts w:ascii="Courier New"/>
          <w:w w:val="85"/>
          <w:sz w:val="18"/>
        </w:rPr>
        <w:t>chibar2(01)</w:t>
      </w:r>
      <w:r>
        <w:rPr>
          <w:rFonts w:ascii="Courier New"/>
          <w:spacing w:val="24"/>
          <w:w w:val="85"/>
          <w:sz w:val="18"/>
        </w:rPr>
        <w:t> </w:t>
      </w:r>
      <w:r>
        <w:rPr>
          <w:rFonts w:ascii="Courier New"/>
          <w:w w:val="85"/>
          <w:sz w:val="18"/>
        </w:rPr>
        <w:t>=</w:t>
        <w:tab/>
        <w:t>277.14</w:t>
      </w:r>
      <w:r>
        <w:rPr>
          <w:rFonts w:ascii="Courier New"/>
          <w:spacing w:val="16"/>
          <w:w w:val="85"/>
          <w:sz w:val="18"/>
        </w:rPr>
        <w:t> </w:t>
      </w:r>
      <w:r>
        <w:rPr>
          <w:rFonts w:ascii="Courier New"/>
          <w:w w:val="85"/>
          <w:sz w:val="18"/>
        </w:rPr>
        <w:t>Prob</w:t>
      </w:r>
      <w:r>
        <w:rPr>
          <w:rFonts w:ascii="Courier New"/>
          <w:spacing w:val="17"/>
          <w:w w:val="85"/>
          <w:sz w:val="18"/>
        </w:rPr>
        <w:t> </w:t>
      </w:r>
      <w:r>
        <w:rPr>
          <w:rFonts w:ascii="Courier New"/>
          <w:w w:val="85"/>
          <w:sz w:val="18"/>
        </w:rPr>
        <w:t>&gt;=</w:t>
      </w:r>
      <w:r>
        <w:rPr>
          <w:rFonts w:ascii="Courier New"/>
          <w:spacing w:val="17"/>
          <w:w w:val="85"/>
          <w:sz w:val="18"/>
        </w:rPr>
        <w:t> </w:t>
      </w:r>
      <w:r>
        <w:rPr>
          <w:rFonts w:ascii="Courier New"/>
          <w:w w:val="85"/>
          <w:sz w:val="18"/>
        </w:rPr>
        <w:t>chibar2</w:t>
      </w:r>
      <w:r>
        <w:rPr>
          <w:rFonts w:ascii="Courier New"/>
          <w:spacing w:val="17"/>
          <w:w w:val="85"/>
          <w:sz w:val="18"/>
        </w:rPr>
        <w:t> </w:t>
      </w:r>
      <w:r>
        <w:rPr>
          <w:rFonts w:ascii="Courier New"/>
          <w:w w:val="85"/>
          <w:sz w:val="18"/>
        </w:rPr>
        <w:t>=</w:t>
      </w:r>
      <w:r>
        <w:rPr>
          <w:rFonts w:ascii="Courier New"/>
          <w:spacing w:val="18"/>
          <w:w w:val="85"/>
          <w:sz w:val="18"/>
        </w:rPr>
        <w:t> </w:t>
      </w:r>
      <w:r>
        <w:rPr>
          <w:rFonts w:ascii="Courier New"/>
          <w:w w:val="85"/>
          <w:sz w:val="18"/>
        </w:rPr>
        <w:t>0.000</w:t>
      </w:r>
    </w:p>
    <w:p>
      <w:pPr>
        <w:spacing w:after="0"/>
        <w:jc w:val="left"/>
        <w:rPr>
          <w:rFonts w:ascii="Courier New"/>
          <w:sz w:val="18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5"/>
        <w:jc w:val="center"/>
      </w:pPr>
      <w:r>
        <w:rPr/>
        <w:t>TABLE</w:t>
      </w:r>
      <w:r>
        <w:rPr>
          <w:spacing w:val="-1"/>
        </w:rPr>
        <w:t> </w:t>
      </w:r>
      <w:r>
        <w:rPr/>
        <w:t>L9:</w:t>
      </w:r>
      <w:r>
        <w:rPr>
          <w:spacing w:val="-2"/>
        </w:rPr>
        <w:t> </w:t>
      </w:r>
      <w:r>
        <w:rPr/>
        <w:t>HOMOGENEITY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WAVE</w:t>
      </w:r>
      <w:r>
        <w:rPr>
          <w:spacing w:val="-1"/>
        </w:rPr>
        <w:t> </w:t>
      </w:r>
      <w:r>
        <w:rPr/>
        <w:t>II</w:t>
      </w:r>
    </w:p>
    <w:p>
      <w:pPr>
        <w:spacing w:before="36"/>
        <w:ind w:left="160" w:right="0" w:firstLine="0"/>
        <w:jc w:val="left"/>
        <w:rPr>
          <w:rFonts w:ascii="Courier New"/>
          <w:sz w:val="13"/>
        </w:rPr>
      </w:pPr>
      <w:r>
        <w:rPr>
          <w:rFonts w:ascii="Courier New"/>
          <w:w w:val="115"/>
          <w:sz w:val="13"/>
        </w:rPr>
        <w:t>Breusch</w:t>
      </w:r>
      <w:r>
        <w:rPr>
          <w:rFonts w:ascii="Courier New"/>
          <w:spacing w:val="39"/>
          <w:w w:val="115"/>
          <w:sz w:val="13"/>
        </w:rPr>
        <w:t> </w:t>
      </w:r>
      <w:r>
        <w:rPr>
          <w:rFonts w:ascii="Courier New"/>
          <w:w w:val="115"/>
          <w:sz w:val="13"/>
        </w:rPr>
        <w:t>and</w:t>
      </w:r>
      <w:r>
        <w:rPr>
          <w:rFonts w:ascii="Courier New"/>
          <w:spacing w:val="40"/>
          <w:w w:val="115"/>
          <w:sz w:val="13"/>
        </w:rPr>
        <w:t> </w:t>
      </w:r>
      <w:r>
        <w:rPr>
          <w:rFonts w:ascii="Courier New"/>
          <w:w w:val="115"/>
          <w:sz w:val="13"/>
        </w:rPr>
        <w:t>Pagan</w:t>
      </w:r>
      <w:r>
        <w:rPr>
          <w:rFonts w:ascii="Courier New"/>
          <w:spacing w:val="40"/>
          <w:w w:val="115"/>
          <w:sz w:val="13"/>
        </w:rPr>
        <w:t> </w:t>
      </w:r>
      <w:r>
        <w:rPr>
          <w:rFonts w:ascii="Courier New"/>
          <w:w w:val="115"/>
          <w:sz w:val="13"/>
        </w:rPr>
        <w:t>Lagrangian</w:t>
      </w:r>
      <w:r>
        <w:rPr>
          <w:rFonts w:ascii="Courier New"/>
          <w:spacing w:val="39"/>
          <w:w w:val="115"/>
          <w:sz w:val="13"/>
        </w:rPr>
        <w:t> </w:t>
      </w:r>
      <w:r>
        <w:rPr>
          <w:rFonts w:ascii="Courier New"/>
          <w:w w:val="115"/>
          <w:sz w:val="13"/>
        </w:rPr>
        <w:t>multiplier</w:t>
      </w:r>
      <w:r>
        <w:rPr>
          <w:rFonts w:ascii="Courier New"/>
          <w:spacing w:val="38"/>
          <w:w w:val="115"/>
          <w:sz w:val="13"/>
        </w:rPr>
        <w:t> </w:t>
      </w:r>
      <w:r>
        <w:rPr>
          <w:rFonts w:ascii="Courier New"/>
          <w:w w:val="115"/>
          <w:sz w:val="13"/>
        </w:rPr>
        <w:t>test</w:t>
      </w:r>
      <w:r>
        <w:rPr>
          <w:rFonts w:ascii="Courier New"/>
          <w:spacing w:val="39"/>
          <w:w w:val="115"/>
          <w:sz w:val="13"/>
        </w:rPr>
        <w:t> </w:t>
      </w:r>
      <w:r>
        <w:rPr>
          <w:rFonts w:ascii="Courier New"/>
          <w:w w:val="115"/>
          <w:sz w:val="13"/>
        </w:rPr>
        <w:t>for</w:t>
      </w:r>
      <w:r>
        <w:rPr>
          <w:rFonts w:ascii="Courier New"/>
          <w:spacing w:val="39"/>
          <w:w w:val="115"/>
          <w:sz w:val="13"/>
        </w:rPr>
        <w:t> </w:t>
      </w:r>
      <w:r>
        <w:rPr>
          <w:rFonts w:ascii="Courier New"/>
          <w:w w:val="115"/>
          <w:sz w:val="13"/>
        </w:rPr>
        <w:t>random</w:t>
      </w:r>
      <w:r>
        <w:rPr>
          <w:rFonts w:ascii="Courier New"/>
          <w:spacing w:val="38"/>
          <w:w w:val="115"/>
          <w:sz w:val="13"/>
        </w:rPr>
        <w:t> </w:t>
      </w:r>
      <w:r>
        <w:rPr>
          <w:rFonts w:ascii="Courier New"/>
          <w:w w:val="115"/>
          <w:sz w:val="13"/>
        </w:rPr>
        <w:t>effects</w:t>
      </w:r>
    </w:p>
    <w:p>
      <w:pPr>
        <w:pStyle w:val="BodyText"/>
        <w:spacing w:before="8"/>
        <w:rPr>
          <w:rFonts w:ascii="Courier New"/>
          <w:sz w:val="12"/>
        </w:rPr>
      </w:pPr>
    </w:p>
    <w:p>
      <w:pPr>
        <w:spacing w:before="105"/>
        <w:ind w:left="923" w:right="0" w:firstLine="0"/>
        <w:jc w:val="left"/>
        <w:rPr>
          <w:rFonts w:ascii="Courier New"/>
          <w:sz w:val="13"/>
        </w:rPr>
      </w:pPr>
      <w:r>
        <w:rPr>
          <w:rFonts w:ascii="Courier New"/>
          <w:w w:val="115"/>
          <w:sz w:val="13"/>
        </w:rPr>
        <w:t>healthcareconsultation[state,t]</w:t>
      </w:r>
      <w:r>
        <w:rPr>
          <w:rFonts w:ascii="Courier New"/>
          <w:spacing w:val="48"/>
          <w:w w:val="115"/>
          <w:sz w:val="13"/>
        </w:rPr>
        <w:t> </w:t>
      </w:r>
      <w:r>
        <w:rPr>
          <w:rFonts w:ascii="Courier New"/>
          <w:w w:val="115"/>
          <w:sz w:val="13"/>
        </w:rPr>
        <w:t>=</w:t>
      </w:r>
      <w:r>
        <w:rPr>
          <w:rFonts w:ascii="Courier New"/>
          <w:spacing w:val="49"/>
          <w:w w:val="115"/>
          <w:sz w:val="13"/>
        </w:rPr>
        <w:t> </w:t>
      </w:r>
      <w:r>
        <w:rPr>
          <w:rFonts w:ascii="Courier New"/>
          <w:w w:val="115"/>
          <w:sz w:val="13"/>
        </w:rPr>
        <w:t>Xb</w:t>
      </w:r>
      <w:r>
        <w:rPr>
          <w:rFonts w:ascii="Courier New"/>
          <w:spacing w:val="48"/>
          <w:w w:val="115"/>
          <w:sz w:val="13"/>
        </w:rPr>
        <w:t> </w:t>
      </w:r>
      <w:r>
        <w:rPr>
          <w:rFonts w:ascii="Courier New"/>
          <w:w w:val="115"/>
          <w:sz w:val="13"/>
        </w:rPr>
        <w:t>+</w:t>
      </w:r>
      <w:r>
        <w:rPr>
          <w:rFonts w:ascii="Courier New"/>
          <w:spacing w:val="50"/>
          <w:w w:val="115"/>
          <w:sz w:val="13"/>
        </w:rPr>
        <w:t> </w:t>
      </w:r>
      <w:r>
        <w:rPr>
          <w:rFonts w:ascii="Courier New"/>
          <w:w w:val="115"/>
          <w:sz w:val="13"/>
        </w:rPr>
        <w:t>u[state]</w:t>
      </w:r>
      <w:r>
        <w:rPr>
          <w:rFonts w:ascii="Courier New"/>
          <w:spacing w:val="48"/>
          <w:w w:val="115"/>
          <w:sz w:val="13"/>
        </w:rPr>
        <w:t> </w:t>
      </w:r>
      <w:r>
        <w:rPr>
          <w:rFonts w:ascii="Courier New"/>
          <w:w w:val="115"/>
          <w:sz w:val="13"/>
        </w:rPr>
        <w:t>+</w:t>
      </w:r>
      <w:r>
        <w:rPr>
          <w:rFonts w:ascii="Courier New"/>
          <w:spacing w:val="49"/>
          <w:w w:val="115"/>
          <w:sz w:val="13"/>
        </w:rPr>
        <w:t> </w:t>
      </w:r>
      <w:r>
        <w:rPr>
          <w:rFonts w:ascii="Courier New"/>
          <w:w w:val="115"/>
          <w:sz w:val="13"/>
        </w:rPr>
        <w:t>e[state,t]</w:t>
      </w:r>
    </w:p>
    <w:p>
      <w:pPr>
        <w:pStyle w:val="BodyText"/>
        <w:spacing w:before="8"/>
        <w:rPr>
          <w:rFonts w:ascii="Courier New"/>
          <w:sz w:val="12"/>
        </w:rPr>
      </w:pPr>
    </w:p>
    <w:p>
      <w:pPr>
        <w:spacing w:before="106"/>
        <w:ind w:left="923" w:right="0" w:firstLine="0"/>
        <w:jc w:val="left"/>
        <w:rPr>
          <w:rFonts w:ascii="Courier New"/>
          <w:sz w:val="13"/>
        </w:rPr>
      </w:pPr>
      <w:r>
        <w:rPr/>
        <w:pict>
          <v:group style="position:absolute;margin-left:145.565277pt;margin-top:14.122599pt;width:191.5pt;height:49pt;mso-position-horizontal-relative:page;mso-position-vertical-relative:paragraph;z-index:-15658496;mso-wrap-distance-left:0;mso-wrap-distance-right:0" coordorigin="2911,282" coordsize="3830,980">
            <v:shape style="position:absolute;left:3905;top:679;width:14;height:583" coordorigin="3906,679" coordsize="14,583" path="m3919,1076l3906,1076,3906,1262,3919,1262,3919,1076xm3919,877l3906,877,3906,1064,3919,1064,3919,877xm3919,679l3906,679,3906,865,3919,865,3919,679xe" filled="true" fillcolor="#000000" stroked="false">
              <v:path arrowok="t"/>
              <v:fill type="solid"/>
            </v:shape>
            <v:line style="position:absolute" from="3013,568" to="3954,568" stroked="true" strokeweight=".625633pt" strokecolor="#000000">
              <v:stroke dashstyle="shortdash"/>
            </v:line>
            <v:shape style="position:absolute;left:3905;top:480;width:144;height:187" coordorigin="3906,481" coordsize="144,187" path="m3919,481l3906,481,3906,667,3919,667,3919,481xm4049,561l3967,561,3967,574,4049,574,4049,561xe" filled="true" fillcolor="#000000" stroked="false">
              <v:path arrowok="t"/>
              <v:fill type="solid"/>
            </v:shape>
            <v:line style="position:absolute" from="4063,568" to="6719,568" stroked="true" strokeweight=".625633pt" strokecolor="#000000">
              <v:stroke dashstyle="shortdash"/>
            </v:line>
            <v:rect style="position:absolute;left:3905;top:282;width:14;height:186" filled="true" fillcolor="#000000" stroked="false">
              <v:fill type="solid"/>
            </v:rect>
            <v:shape style="position:absolute;left:4628;top:299;width:301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15"/>
                        <w:sz w:val="13"/>
                      </w:rPr>
                      <w:t>Var</w:t>
                    </w:r>
                  </w:p>
                </w:txbxContent>
              </v:textbox>
              <w10:wrap type="none"/>
            </v:shape>
            <v:shape style="position:absolute;left:5390;top:299;width:1350;height:15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15"/>
                        <w:sz w:val="13"/>
                      </w:rPr>
                      <w:t>sd</w:t>
                    </w:r>
                    <w:r>
                      <w:rPr>
                        <w:rFonts w:ascii="Courier New"/>
                        <w:spacing w:val="31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Courier New"/>
                        <w:w w:val="115"/>
                        <w:sz w:val="13"/>
                      </w:rPr>
                      <w:t>=</w:t>
                    </w:r>
                    <w:r>
                      <w:rPr>
                        <w:rFonts w:ascii="Courier New"/>
                        <w:spacing w:val="31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Courier New"/>
                        <w:w w:val="115"/>
                        <w:sz w:val="13"/>
                      </w:rPr>
                      <w:t>sqrt(Var)</w:t>
                    </w:r>
                  </w:p>
                </w:txbxContent>
              </v:textbox>
              <w10:wrap type="none"/>
            </v:shape>
            <v:shape style="position:absolute;left:2911;top:695;width:874;height:552" type="#_x0000_t202" filled="false" stroked="false">
              <v:textbox inset="0,0,0,0">
                <w:txbxContent>
                  <w:p>
                    <w:pPr>
                      <w:spacing w:before="5"/>
                      <w:ind w:left="0" w:right="18" w:firstLine="0"/>
                      <w:jc w:val="righ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15"/>
                        <w:sz w:val="13"/>
                      </w:rPr>
                      <w:t>healthc~n</w:t>
                    </w:r>
                  </w:p>
                  <w:p>
                    <w:pPr>
                      <w:spacing w:line="200" w:lineRule="atLeast" w:before="0"/>
                      <w:ind w:left="696" w:right="18" w:firstLine="0"/>
                      <w:jc w:val="righ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15"/>
                        <w:sz w:val="13"/>
                      </w:rPr>
                      <w:t>e</w:t>
                    </w:r>
                    <w:r>
                      <w:rPr>
                        <w:rFonts w:ascii="Courier New"/>
                        <w:spacing w:val="-87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Courier New"/>
                        <w:w w:val="115"/>
                        <w:sz w:val="13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4246;top:695;width:778;height:552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15"/>
                        <w:sz w:val="13"/>
                      </w:rPr>
                      <w:t>.1020391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15"/>
                        <w:sz w:val="13"/>
                      </w:rPr>
                      <w:t>.0692729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15"/>
                        <w:sz w:val="13"/>
                      </w:rPr>
                      <w:t>.0012733</w:t>
                    </w:r>
                  </w:p>
                </w:txbxContent>
              </v:textbox>
              <w10:wrap type="none"/>
            </v:shape>
            <v:shape style="position:absolute;left:5677;top:695;width:778;height:35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15"/>
                        <w:sz w:val="13"/>
                      </w:rPr>
                      <w:t>.3194355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Courier New"/>
                        <w:sz w:val="13"/>
                      </w:rPr>
                    </w:pPr>
                    <w:r>
                      <w:rPr>
                        <w:rFonts w:ascii="Courier New"/>
                        <w:w w:val="115"/>
                        <w:sz w:val="13"/>
                      </w:rPr>
                      <w:t>.2631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Courier New"/>
          <w:w w:val="115"/>
          <w:sz w:val="13"/>
        </w:rPr>
        <w:t>Estimated</w:t>
      </w:r>
      <w:r>
        <w:rPr>
          <w:rFonts w:ascii="Courier New"/>
          <w:spacing w:val="89"/>
          <w:w w:val="115"/>
          <w:sz w:val="13"/>
        </w:rPr>
        <w:t> </w:t>
      </w:r>
      <w:r>
        <w:rPr>
          <w:rFonts w:ascii="Courier New"/>
          <w:w w:val="115"/>
          <w:sz w:val="13"/>
        </w:rPr>
        <w:t>results:</w:t>
      </w:r>
    </w:p>
    <w:p>
      <w:pPr>
        <w:pStyle w:val="BodyText"/>
        <w:spacing w:before="8"/>
        <w:rPr>
          <w:rFonts w:ascii="Courier New"/>
          <w:sz w:val="8"/>
        </w:rPr>
      </w:pPr>
    </w:p>
    <w:p>
      <w:pPr>
        <w:tabs>
          <w:tab w:pos="1686" w:val="left" w:leader="none"/>
        </w:tabs>
        <w:spacing w:before="105"/>
        <w:ind w:left="923" w:right="0" w:firstLine="0"/>
        <w:jc w:val="left"/>
        <w:rPr>
          <w:rFonts w:ascii="Courier New"/>
          <w:sz w:val="13"/>
        </w:rPr>
      </w:pPr>
      <w:r>
        <w:rPr>
          <w:rFonts w:ascii="Courier New"/>
          <w:w w:val="115"/>
          <w:sz w:val="13"/>
        </w:rPr>
        <w:t>Test:</w:t>
        <w:tab/>
        <w:t>Var(u)</w:t>
      </w:r>
      <w:r>
        <w:rPr>
          <w:rFonts w:ascii="Courier New"/>
          <w:spacing w:val="24"/>
          <w:w w:val="115"/>
          <w:sz w:val="13"/>
        </w:rPr>
        <w:t> </w:t>
      </w:r>
      <w:r>
        <w:rPr>
          <w:rFonts w:ascii="Courier New"/>
          <w:w w:val="115"/>
          <w:sz w:val="13"/>
        </w:rPr>
        <w:t>=</w:t>
      </w:r>
      <w:r>
        <w:rPr>
          <w:rFonts w:ascii="Courier New"/>
          <w:spacing w:val="23"/>
          <w:w w:val="115"/>
          <w:sz w:val="13"/>
        </w:rPr>
        <w:t> </w:t>
      </w:r>
      <w:r>
        <w:rPr>
          <w:rFonts w:ascii="Courier New"/>
          <w:w w:val="115"/>
          <w:sz w:val="13"/>
        </w:rPr>
        <w:t>0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26"/>
        </w:rPr>
      </w:pPr>
    </w:p>
    <w:p>
      <w:pPr>
        <w:pStyle w:val="BodyText"/>
        <w:spacing w:before="90"/>
        <w:ind w:left="197" w:right="517"/>
        <w:jc w:val="center"/>
      </w:pPr>
      <w:r>
        <w:rPr/>
        <w:t>TABLE</w:t>
      </w:r>
      <w:r>
        <w:rPr>
          <w:spacing w:val="-1"/>
        </w:rPr>
        <w:t> </w:t>
      </w:r>
      <w:r>
        <w:rPr/>
        <w:t>L10:</w:t>
      </w:r>
      <w:r>
        <w:rPr>
          <w:spacing w:val="-1"/>
        </w:rPr>
        <w:t> </w:t>
      </w:r>
      <w:r>
        <w:rPr/>
        <w:t>HAUSMAN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WAVE II</w:t>
      </w:r>
    </w:p>
    <w:p>
      <w:pPr>
        <w:pStyle w:val="BodyText"/>
        <w:spacing w:before="1"/>
        <w:rPr>
          <w:sz w:val="15"/>
        </w:rPr>
      </w:pPr>
    </w:p>
    <w:p>
      <w:pPr>
        <w:spacing w:before="103" w:after="34"/>
        <w:ind w:left="2259" w:right="0" w:firstLine="0"/>
        <w:jc w:val="left"/>
        <w:rPr>
          <w:rFonts w:ascii="Courier New"/>
          <w:sz w:val="16"/>
        </w:rPr>
      </w:pPr>
      <w:r>
        <w:rPr/>
        <w:pict>
          <v:shape style="position:absolute;margin-left:155.448227pt;margin-top:9.193015pt;width:18.4pt;height:.1pt;mso-position-horizontal-relative:page;mso-position-vertical-relative:paragraph;z-index:15799296" coordorigin="3109,184" coordsize="368,0" path="m3109,184l3191,184m3204,184l3286,184m3300,184l3381,184m3395,184l3477,184e" filled="false" stroked="true" strokeweight=".71890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41.265182pt;margin-top:9.193015pt;width:18.4pt;height:.1pt;mso-position-horizontal-relative:page;mso-position-vertical-relative:paragraph;z-index:15799808" coordorigin="4825,184" coordsize="368,0" path="m4825,184l4907,184m4921,184l5003,184m5016,184l5098,184m5112,184l5193,184e" filled="false" stroked="true" strokeweight=".718906pt" strokecolor="#000000">
            <v:path arrowok="t"/>
            <v:stroke dashstyle="solid"/>
            <w10:wrap type="none"/>
          </v:shape>
        </w:pict>
      </w:r>
      <w:r>
        <w:rPr>
          <w:rFonts w:ascii="Courier New"/>
          <w:sz w:val="16"/>
        </w:rPr>
        <w:t>Coefficients</w:t>
      </w: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1"/>
        <w:gridCol w:w="1380"/>
        <w:gridCol w:w="1335"/>
        <w:gridCol w:w="1383"/>
        <w:gridCol w:w="2046"/>
      </w:tblGrid>
      <w:tr>
        <w:trPr>
          <w:trHeight w:val="571" w:hRule="atLeast"/>
        </w:trPr>
        <w:tc>
          <w:tcPr>
            <w:tcW w:w="1281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15" w:type="dxa"/>
            <w:gridSpan w:val="2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tabs>
                <w:tab w:pos="1859" w:val="left" w:leader="none"/>
              </w:tabs>
              <w:spacing w:before="23"/>
              <w:ind w:left="619"/>
              <w:jc w:val="left"/>
              <w:rPr>
                <w:sz w:val="16"/>
              </w:rPr>
            </w:pPr>
            <w:r>
              <w:rPr>
                <w:sz w:val="16"/>
              </w:rPr>
              <w:t>(b)</w:t>
              <w:tab/>
              <w:t>(B)</w:t>
            </w:r>
          </w:p>
          <w:p>
            <w:pPr>
              <w:pStyle w:val="TableParagraph"/>
              <w:tabs>
                <w:tab w:pos="1859" w:val="left" w:leader="none"/>
              </w:tabs>
              <w:spacing w:before="57"/>
              <w:ind w:left="715"/>
              <w:jc w:val="left"/>
              <w:rPr>
                <w:sz w:val="16"/>
              </w:rPr>
            </w:pPr>
            <w:r>
              <w:rPr>
                <w:sz w:val="16"/>
              </w:rPr>
              <w:t>fe</w:t>
              <w:tab/>
              <w:t>ree</w:t>
            </w:r>
          </w:p>
        </w:tc>
        <w:tc>
          <w:tcPr>
            <w:tcW w:w="1383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3"/>
              <w:ind w:left="270" w:right="17"/>
              <w:jc w:val="center"/>
              <w:rPr>
                <w:sz w:val="16"/>
              </w:rPr>
            </w:pPr>
            <w:r>
              <w:rPr>
                <w:sz w:val="16"/>
              </w:rPr>
              <w:t>(b-B)</w:t>
            </w:r>
          </w:p>
          <w:p>
            <w:pPr>
              <w:pStyle w:val="TableParagraph"/>
              <w:spacing w:before="57"/>
              <w:ind w:left="270" w:right="112"/>
              <w:jc w:val="center"/>
              <w:rPr>
                <w:sz w:val="16"/>
              </w:rPr>
            </w:pPr>
            <w:r>
              <w:rPr>
                <w:sz w:val="16"/>
              </w:rPr>
              <w:t>Difference</w:t>
            </w:r>
          </w:p>
        </w:tc>
        <w:tc>
          <w:tcPr>
            <w:tcW w:w="204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line="316" w:lineRule="auto" w:before="23"/>
              <w:ind w:left="820" w:hanging="668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sqrt(diag(V_b-V_B))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S.E.</w:t>
            </w:r>
          </w:p>
        </w:tc>
      </w:tr>
      <w:tr>
        <w:trPr>
          <w:trHeight w:val="356" w:hRule="atLeast"/>
        </w:trPr>
        <w:tc>
          <w:tcPr>
            <w:tcW w:w="1281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47"/>
              <w:ind w:right="131"/>
              <w:rPr>
                <w:sz w:val="16"/>
              </w:rPr>
            </w:pPr>
            <w:r>
              <w:rPr>
                <w:sz w:val="16"/>
              </w:rPr>
              <w:t>familysize</w:t>
            </w:r>
          </w:p>
        </w:tc>
        <w:tc>
          <w:tcPr>
            <w:tcW w:w="1380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47"/>
              <w:ind w:right="184"/>
              <w:rPr>
                <w:sz w:val="16"/>
              </w:rPr>
            </w:pPr>
            <w:r>
              <w:rPr>
                <w:sz w:val="16"/>
              </w:rPr>
              <w:t>-.0025359</w:t>
            </w:r>
          </w:p>
        </w:tc>
        <w:tc>
          <w:tcPr>
            <w:tcW w:w="1335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47"/>
              <w:ind w:right="279"/>
              <w:rPr>
                <w:sz w:val="16"/>
              </w:rPr>
            </w:pPr>
            <w:r>
              <w:rPr>
                <w:sz w:val="16"/>
              </w:rPr>
              <w:t>-.0028173</w:t>
            </w:r>
          </w:p>
        </w:tc>
        <w:tc>
          <w:tcPr>
            <w:tcW w:w="1383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47"/>
              <w:ind w:right="136"/>
              <w:rPr>
                <w:sz w:val="16"/>
              </w:rPr>
            </w:pPr>
            <w:r>
              <w:rPr>
                <w:sz w:val="16"/>
              </w:rPr>
              <w:t>.0002814</w:t>
            </w:r>
          </w:p>
        </w:tc>
        <w:tc>
          <w:tcPr>
            <w:tcW w:w="204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47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.0005002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w w:val="90"/>
                <w:sz w:val="16"/>
              </w:rPr>
              <w:t>nobasicedu~n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-.0001663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-.0001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-.0000663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.0000952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w w:val="90"/>
                <w:sz w:val="16"/>
              </w:rPr>
              <w:t>primaryedu~n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.0012929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.0012604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.0000325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538"/>
              <w:jc w:val="center"/>
              <w:rPr>
                <w:sz w:val="16"/>
              </w:rPr>
            </w:pPr>
            <w:r>
              <w:rPr>
                <w:sz w:val="16"/>
              </w:rPr>
              <w:t>.000169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w w:val="90"/>
                <w:sz w:val="16"/>
              </w:rPr>
              <w:t>secondarye~n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-.000304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-.0001337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-.0001703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.0003218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w w:val="90"/>
                <w:sz w:val="16"/>
              </w:rPr>
              <w:t>highereduc~n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.4258039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.4261466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-.0003427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538"/>
              <w:jc w:val="center"/>
              <w:rPr>
                <w:sz w:val="16"/>
              </w:rPr>
            </w:pPr>
            <w:r>
              <w:rPr>
                <w:sz w:val="16"/>
              </w:rPr>
              <w:t>.000269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sz w:val="16"/>
              </w:rPr>
              <w:t>male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-.0904117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-.0909536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.0005419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.0003889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sz w:val="16"/>
              </w:rPr>
              <w:t>female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.0005741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.0006428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-.0000687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.0000954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sz w:val="16"/>
              </w:rPr>
              <w:t>married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.0176408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.0178023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-.0001615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.0002471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w w:val="90"/>
                <w:sz w:val="16"/>
              </w:rPr>
              <w:t>nevermarried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-.0072261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-.0071533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-.0000727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.0001784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w w:val="90"/>
                <w:sz w:val="16"/>
              </w:rPr>
              <w:t>singlepare~s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-.0969859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-.0969159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-.00007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.0001883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sz w:val="16"/>
              </w:rPr>
              <w:t>widow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-.0248621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-.0247998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-.0000623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.0001415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.0032212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.0033524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-.0001312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.0003164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-.0807974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-.0803582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-.0004391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.0003841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w w:val="90"/>
                <w:sz w:val="16"/>
              </w:rPr>
              <w:t>wagesandsa~s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.0020897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.0018929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.0001968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.0001758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w w:val="90"/>
                <w:sz w:val="16"/>
              </w:rPr>
              <w:t>businessen~e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.0171035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.0148553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.0022483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.0035351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w w:val="90"/>
                <w:sz w:val="16"/>
              </w:rPr>
              <w:t>farmingcro~s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.0002522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.0002291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.0000231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.0000341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sz w:val="16"/>
              </w:rPr>
              <w:t>remittance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.0001859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.0005722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-.0003863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.0003776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w w:val="90"/>
                <w:sz w:val="16"/>
              </w:rPr>
              <w:t>monetarytr~e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.0374541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.0378351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-.000381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.0003592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.0026104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.0024932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.0001172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.0002843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w w:val="90"/>
                <w:sz w:val="16"/>
              </w:rPr>
              <w:t>dividendfr~s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.0008156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.000061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.0007546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.0006095</w:t>
            </w:r>
          </w:p>
        </w:tc>
      </w:tr>
      <w:tr>
        <w:trPr>
          <w:trHeight w:val="238" w:hRule="atLeast"/>
        </w:trPr>
        <w:tc>
          <w:tcPr>
            <w:tcW w:w="1281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w w:val="90"/>
                <w:sz w:val="16"/>
              </w:rPr>
              <w:t>incomefrom~d</w:t>
            </w:r>
          </w:p>
        </w:tc>
        <w:tc>
          <w:tcPr>
            <w:tcW w:w="1380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-.0024776</w:t>
            </w:r>
          </w:p>
        </w:tc>
        <w:tc>
          <w:tcPr>
            <w:tcW w:w="1335" w:type="dxa"/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-.0026031</w:t>
            </w:r>
          </w:p>
        </w:tc>
        <w:tc>
          <w:tcPr>
            <w:tcW w:w="1383" w:type="dxa"/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.0001255</w:t>
            </w:r>
          </w:p>
        </w:tc>
        <w:tc>
          <w:tcPr>
            <w:tcW w:w="2046" w:type="dxa"/>
          </w:tcPr>
          <w:p>
            <w:pPr>
              <w:pStyle w:val="TableParagraph"/>
              <w:spacing w:before="29"/>
              <w:ind w:left="605" w:right="538"/>
              <w:jc w:val="center"/>
              <w:rPr>
                <w:sz w:val="16"/>
              </w:rPr>
            </w:pPr>
            <w:r>
              <w:rPr>
                <w:sz w:val="16"/>
              </w:rPr>
              <w:t>.000217</w:t>
            </w:r>
          </w:p>
        </w:tc>
      </w:tr>
      <w:tr>
        <w:trPr>
          <w:trHeight w:val="338" w:hRule="atLeast"/>
        </w:trPr>
        <w:tc>
          <w:tcPr>
            <w:tcW w:w="1281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29"/>
              <w:ind w:right="131"/>
              <w:rPr>
                <w:sz w:val="16"/>
              </w:rPr>
            </w:pPr>
            <w:r>
              <w:rPr>
                <w:w w:val="90"/>
                <w:sz w:val="16"/>
              </w:rPr>
              <w:t>ginicoeffi~t</w:t>
            </w:r>
          </w:p>
        </w:tc>
        <w:tc>
          <w:tcPr>
            <w:tcW w:w="1380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right="184"/>
              <w:rPr>
                <w:sz w:val="16"/>
              </w:rPr>
            </w:pPr>
            <w:r>
              <w:rPr>
                <w:sz w:val="16"/>
              </w:rPr>
              <w:t>-.0325315</w:t>
            </w:r>
          </w:p>
        </w:tc>
        <w:tc>
          <w:tcPr>
            <w:tcW w:w="1335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right="279"/>
              <w:rPr>
                <w:sz w:val="16"/>
              </w:rPr>
            </w:pPr>
            <w:r>
              <w:rPr>
                <w:sz w:val="16"/>
              </w:rPr>
              <w:t>-.0325775</w:t>
            </w:r>
          </w:p>
        </w:tc>
        <w:tc>
          <w:tcPr>
            <w:tcW w:w="1383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right="136"/>
              <w:rPr>
                <w:sz w:val="16"/>
              </w:rPr>
            </w:pPr>
            <w:r>
              <w:rPr>
                <w:sz w:val="16"/>
              </w:rPr>
              <w:t>.0000459</w:t>
            </w:r>
          </w:p>
        </w:tc>
        <w:tc>
          <w:tcPr>
            <w:tcW w:w="2046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29"/>
              <w:ind w:left="605" w:right="631"/>
              <w:jc w:val="center"/>
              <w:rPr>
                <w:sz w:val="16"/>
              </w:rPr>
            </w:pPr>
            <w:r>
              <w:rPr>
                <w:sz w:val="16"/>
              </w:rPr>
              <w:t>.0001491</w:t>
            </w:r>
          </w:p>
        </w:tc>
      </w:tr>
    </w:tbl>
    <w:p>
      <w:pPr>
        <w:spacing w:line="316" w:lineRule="auto" w:before="150"/>
        <w:ind w:left="1305" w:right="2272" w:firstLine="1430"/>
        <w:jc w:val="left"/>
        <w:rPr>
          <w:rFonts w:ascii="Courier New"/>
          <w:sz w:val="16"/>
        </w:rPr>
      </w:pPr>
      <w:r>
        <w:rPr>
          <w:rFonts w:ascii="Courier New"/>
          <w:sz w:val="16"/>
        </w:rPr>
        <w:t>b</w:t>
      </w:r>
      <w:r>
        <w:rPr>
          <w:rFonts w:ascii="Courier New"/>
          <w:spacing w:val="-7"/>
          <w:sz w:val="16"/>
        </w:rPr>
        <w:t> </w:t>
      </w:r>
      <w:r>
        <w:rPr>
          <w:rFonts w:ascii="Courier New"/>
          <w:sz w:val="16"/>
        </w:rPr>
        <w:t>=</w:t>
      </w:r>
      <w:r>
        <w:rPr>
          <w:rFonts w:ascii="Courier New"/>
          <w:spacing w:val="-7"/>
          <w:sz w:val="16"/>
        </w:rPr>
        <w:t> </w:t>
      </w:r>
      <w:r>
        <w:rPr>
          <w:rFonts w:ascii="Courier New"/>
          <w:sz w:val="16"/>
        </w:rPr>
        <w:t>consistent</w:t>
      </w:r>
      <w:r>
        <w:rPr>
          <w:rFonts w:ascii="Courier New"/>
          <w:spacing w:val="-5"/>
          <w:sz w:val="16"/>
        </w:rPr>
        <w:t> </w:t>
      </w:r>
      <w:r>
        <w:rPr>
          <w:rFonts w:ascii="Courier New"/>
          <w:sz w:val="16"/>
        </w:rPr>
        <w:t>under</w:t>
      </w:r>
      <w:r>
        <w:rPr>
          <w:rFonts w:ascii="Courier New"/>
          <w:spacing w:val="-6"/>
          <w:sz w:val="16"/>
        </w:rPr>
        <w:t> </w:t>
      </w:r>
      <w:r>
        <w:rPr>
          <w:rFonts w:ascii="Courier New"/>
          <w:sz w:val="16"/>
        </w:rPr>
        <w:t>Ho</w:t>
      </w:r>
      <w:r>
        <w:rPr>
          <w:rFonts w:ascii="Courier New"/>
          <w:spacing w:val="-6"/>
          <w:sz w:val="16"/>
        </w:rPr>
        <w:t> </w:t>
      </w:r>
      <w:r>
        <w:rPr>
          <w:rFonts w:ascii="Courier New"/>
          <w:sz w:val="16"/>
        </w:rPr>
        <w:t>and</w:t>
      </w:r>
      <w:r>
        <w:rPr>
          <w:rFonts w:ascii="Courier New"/>
          <w:spacing w:val="-7"/>
          <w:sz w:val="16"/>
        </w:rPr>
        <w:t> </w:t>
      </w:r>
      <w:r>
        <w:rPr>
          <w:rFonts w:ascii="Courier New"/>
          <w:sz w:val="16"/>
        </w:rPr>
        <w:t>Ha;</w:t>
      </w:r>
      <w:r>
        <w:rPr>
          <w:rFonts w:ascii="Courier New"/>
          <w:spacing w:val="-6"/>
          <w:sz w:val="16"/>
        </w:rPr>
        <w:t> </w:t>
      </w:r>
      <w:r>
        <w:rPr>
          <w:rFonts w:ascii="Courier New"/>
          <w:sz w:val="16"/>
        </w:rPr>
        <w:t>obtained</w:t>
      </w:r>
      <w:r>
        <w:rPr>
          <w:rFonts w:ascii="Courier New"/>
          <w:spacing w:val="-6"/>
          <w:sz w:val="16"/>
        </w:rPr>
        <w:t> </w:t>
      </w:r>
      <w:r>
        <w:rPr>
          <w:rFonts w:ascii="Courier New"/>
          <w:sz w:val="16"/>
        </w:rPr>
        <w:t>from</w:t>
      </w:r>
      <w:r>
        <w:rPr>
          <w:rFonts w:ascii="Courier New"/>
          <w:spacing w:val="-6"/>
          <w:sz w:val="16"/>
        </w:rPr>
        <w:t> </w:t>
      </w:r>
      <w:r>
        <w:rPr>
          <w:rFonts w:ascii="Courier New"/>
          <w:sz w:val="16"/>
        </w:rPr>
        <w:t>xtreg</w:t>
      </w:r>
      <w:r>
        <w:rPr>
          <w:rFonts w:ascii="Courier New"/>
          <w:spacing w:val="-93"/>
          <w:sz w:val="16"/>
        </w:rPr>
        <w:t> </w:t>
      </w:r>
      <w:r>
        <w:rPr>
          <w:rFonts w:ascii="Courier New"/>
          <w:w w:val="95"/>
          <w:sz w:val="16"/>
        </w:rPr>
        <w:t>B</w:t>
      </w:r>
      <w:r>
        <w:rPr>
          <w:rFonts w:ascii="Courier New"/>
          <w:spacing w:val="23"/>
          <w:w w:val="95"/>
          <w:sz w:val="16"/>
        </w:rPr>
        <w:t> </w:t>
      </w:r>
      <w:r>
        <w:rPr>
          <w:rFonts w:ascii="Courier New"/>
          <w:w w:val="95"/>
          <w:sz w:val="16"/>
        </w:rPr>
        <w:t>=</w:t>
      </w:r>
      <w:r>
        <w:rPr>
          <w:rFonts w:ascii="Courier New"/>
          <w:spacing w:val="23"/>
          <w:w w:val="95"/>
          <w:sz w:val="16"/>
        </w:rPr>
        <w:t> </w:t>
      </w:r>
      <w:r>
        <w:rPr>
          <w:rFonts w:ascii="Courier New"/>
          <w:w w:val="95"/>
          <w:sz w:val="16"/>
        </w:rPr>
        <w:t>inconsistent</w:t>
      </w:r>
      <w:r>
        <w:rPr>
          <w:rFonts w:ascii="Courier New"/>
          <w:spacing w:val="24"/>
          <w:w w:val="95"/>
          <w:sz w:val="16"/>
        </w:rPr>
        <w:t> </w:t>
      </w:r>
      <w:r>
        <w:rPr>
          <w:rFonts w:ascii="Courier New"/>
          <w:w w:val="95"/>
          <w:sz w:val="16"/>
        </w:rPr>
        <w:t>under</w:t>
      </w:r>
      <w:r>
        <w:rPr>
          <w:rFonts w:ascii="Courier New"/>
          <w:spacing w:val="23"/>
          <w:w w:val="95"/>
          <w:sz w:val="16"/>
        </w:rPr>
        <w:t> </w:t>
      </w:r>
      <w:r>
        <w:rPr>
          <w:rFonts w:ascii="Courier New"/>
          <w:w w:val="95"/>
          <w:sz w:val="16"/>
        </w:rPr>
        <w:t>Ha,</w:t>
      </w:r>
      <w:r>
        <w:rPr>
          <w:rFonts w:ascii="Courier New"/>
          <w:spacing w:val="24"/>
          <w:w w:val="95"/>
          <w:sz w:val="16"/>
        </w:rPr>
        <w:t> </w:t>
      </w:r>
      <w:r>
        <w:rPr>
          <w:rFonts w:ascii="Courier New"/>
          <w:w w:val="95"/>
          <w:sz w:val="16"/>
        </w:rPr>
        <w:t>efficient</w:t>
      </w:r>
      <w:r>
        <w:rPr>
          <w:rFonts w:ascii="Courier New"/>
          <w:spacing w:val="23"/>
          <w:w w:val="95"/>
          <w:sz w:val="16"/>
        </w:rPr>
        <w:t> </w:t>
      </w:r>
      <w:r>
        <w:rPr>
          <w:rFonts w:ascii="Courier New"/>
          <w:w w:val="95"/>
          <w:sz w:val="16"/>
        </w:rPr>
        <w:t>under</w:t>
      </w:r>
      <w:r>
        <w:rPr>
          <w:rFonts w:ascii="Courier New"/>
          <w:spacing w:val="23"/>
          <w:w w:val="95"/>
          <w:sz w:val="16"/>
        </w:rPr>
        <w:t> </w:t>
      </w:r>
      <w:r>
        <w:rPr>
          <w:rFonts w:ascii="Courier New"/>
          <w:w w:val="95"/>
          <w:sz w:val="16"/>
        </w:rPr>
        <w:t>Ho;</w:t>
      </w:r>
      <w:r>
        <w:rPr>
          <w:rFonts w:ascii="Courier New"/>
          <w:spacing w:val="24"/>
          <w:w w:val="95"/>
          <w:sz w:val="16"/>
        </w:rPr>
        <w:t> </w:t>
      </w:r>
      <w:r>
        <w:rPr>
          <w:rFonts w:ascii="Courier New"/>
          <w:w w:val="95"/>
          <w:sz w:val="16"/>
        </w:rPr>
        <w:t>obtained</w:t>
      </w:r>
      <w:r>
        <w:rPr>
          <w:rFonts w:ascii="Courier New"/>
          <w:spacing w:val="24"/>
          <w:w w:val="95"/>
          <w:sz w:val="16"/>
        </w:rPr>
        <w:t> </w:t>
      </w:r>
      <w:r>
        <w:rPr>
          <w:rFonts w:ascii="Courier New"/>
          <w:w w:val="95"/>
          <w:sz w:val="16"/>
        </w:rPr>
        <w:t>from</w:t>
      </w:r>
      <w:r>
        <w:rPr>
          <w:rFonts w:ascii="Courier New"/>
          <w:spacing w:val="25"/>
          <w:w w:val="95"/>
          <w:sz w:val="16"/>
        </w:rPr>
        <w:t> </w:t>
      </w:r>
      <w:r>
        <w:rPr>
          <w:rFonts w:ascii="Courier New"/>
          <w:w w:val="95"/>
          <w:sz w:val="16"/>
        </w:rPr>
        <w:t>xtreg</w:t>
      </w:r>
    </w:p>
    <w:p>
      <w:pPr>
        <w:pStyle w:val="BodyText"/>
        <w:spacing w:before="8"/>
        <w:rPr>
          <w:rFonts w:ascii="Courier New"/>
          <w:sz w:val="11"/>
        </w:rPr>
      </w:pPr>
    </w:p>
    <w:p>
      <w:pPr>
        <w:spacing w:before="104"/>
        <w:ind w:left="542" w:right="0" w:firstLine="0"/>
        <w:jc w:val="left"/>
        <w:rPr>
          <w:rFonts w:ascii="Courier New"/>
          <w:sz w:val="16"/>
        </w:rPr>
      </w:pPr>
      <w:r>
        <w:rPr>
          <w:rFonts w:ascii="Courier New"/>
          <w:w w:val="95"/>
          <w:sz w:val="16"/>
        </w:rPr>
        <w:t>Test:</w:t>
      </w:r>
      <w:r>
        <w:rPr>
          <w:rFonts w:ascii="Courier New"/>
          <w:spacing w:val="129"/>
          <w:sz w:val="16"/>
        </w:rPr>
        <w:t> </w:t>
      </w:r>
      <w:r>
        <w:rPr>
          <w:rFonts w:ascii="Courier New"/>
          <w:w w:val="95"/>
          <w:sz w:val="16"/>
        </w:rPr>
        <w:t>Ho:</w:t>
      </w:r>
      <w:r>
        <w:rPr>
          <w:rFonts w:ascii="Courier New"/>
          <w:spacing w:val="129"/>
          <w:sz w:val="16"/>
        </w:rPr>
        <w:t> </w:t>
      </w:r>
      <w:r>
        <w:rPr>
          <w:rFonts w:ascii="Courier New"/>
          <w:w w:val="95"/>
          <w:sz w:val="16"/>
        </w:rPr>
        <w:t>difference</w:t>
      </w:r>
      <w:r>
        <w:rPr>
          <w:rFonts w:ascii="Courier New"/>
          <w:spacing w:val="25"/>
          <w:w w:val="95"/>
          <w:sz w:val="16"/>
        </w:rPr>
        <w:t> </w:t>
      </w:r>
      <w:r>
        <w:rPr>
          <w:rFonts w:ascii="Courier New"/>
          <w:w w:val="95"/>
          <w:sz w:val="16"/>
        </w:rPr>
        <w:t>in</w:t>
      </w:r>
      <w:r>
        <w:rPr>
          <w:rFonts w:ascii="Courier New"/>
          <w:spacing w:val="24"/>
          <w:w w:val="95"/>
          <w:sz w:val="16"/>
        </w:rPr>
        <w:t> </w:t>
      </w:r>
      <w:r>
        <w:rPr>
          <w:rFonts w:ascii="Courier New"/>
          <w:w w:val="95"/>
          <w:sz w:val="16"/>
        </w:rPr>
        <w:t>coefficients</w:t>
      </w:r>
      <w:r>
        <w:rPr>
          <w:rFonts w:ascii="Courier New"/>
          <w:spacing w:val="25"/>
          <w:w w:val="95"/>
          <w:sz w:val="16"/>
        </w:rPr>
        <w:t> </w:t>
      </w:r>
      <w:r>
        <w:rPr>
          <w:rFonts w:ascii="Courier New"/>
          <w:w w:val="95"/>
          <w:sz w:val="16"/>
        </w:rPr>
        <w:t>not</w:t>
      </w:r>
      <w:r>
        <w:rPr>
          <w:rFonts w:ascii="Courier New"/>
          <w:spacing w:val="26"/>
          <w:w w:val="95"/>
          <w:sz w:val="16"/>
        </w:rPr>
        <w:t> </w:t>
      </w:r>
      <w:r>
        <w:rPr>
          <w:rFonts w:ascii="Courier New"/>
          <w:w w:val="95"/>
          <w:sz w:val="16"/>
        </w:rPr>
        <w:t>systematic</w:t>
      </w:r>
    </w:p>
    <w:p>
      <w:pPr>
        <w:pStyle w:val="BodyText"/>
        <w:spacing w:before="10"/>
        <w:rPr>
          <w:rFonts w:ascii="Courier New"/>
          <w:sz w:val="16"/>
        </w:rPr>
      </w:pPr>
    </w:p>
    <w:p>
      <w:pPr>
        <w:spacing w:before="104"/>
        <w:ind w:left="1782" w:right="0" w:firstLine="0"/>
        <w:jc w:val="left"/>
        <w:rPr>
          <w:rFonts w:ascii="Courier New"/>
          <w:sz w:val="16"/>
        </w:rPr>
      </w:pPr>
      <w:r>
        <w:rPr>
          <w:rFonts w:ascii="Courier New"/>
          <w:w w:val="95"/>
          <w:sz w:val="16"/>
        </w:rPr>
        <w:t>chi2(22)</w:t>
      </w:r>
      <w:r>
        <w:rPr>
          <w:rFonts w:ascii="Courier New"/>
          <w:spacing w:val="54"/>
          <w:w w:val="95"/>
          <w:sz w:val="16"/>
        </w:rPr>
        <w:t> </w:t>
      </w:r>
      <w:r>
        <w:rPr>
          <w:rFonts w:ascii="Courier New"/>
          <w:w w:val="95"/>
          <w:sz w:val="16"/>
        </w:rPr>
        <w:t>=</w:t>
      </w:r>
      <w:r>
        <w:rPr>
          <w:rFonts w:ascii="Courier New"/>
          <w:spacing w:val="57"/>
          <w:w w:val="95"/>
          <w:sz w:val="16"/>
        </w:rPr>
        <w:t> </w:t>
      </w:r>
      <w:r>
        <w:rPr>
          <w:rFonts w:ascii="Courier New"/>
          <w:w w:val="95"/>
          <w:sz w:val="16"/>
        </w:rPr>
        <w:t>(b-B)'[(V_b-V_B)^(-1)](b-B)</w:t>
      </w:r>
    </w:p>
    <w:p>
      <w:pPr>
        <w:tabs>
          <w:tab w:pos="3403" w:val="left" w:leader="none"/>
        </w:tabs>
        <w:spacing w:before="57"/>
        <w:ind w:left="2640" w:right="0" w:firstLine="0"/>
        <w:jc w:val="left"/>
        <w:rPr>
          <w:rFonts w:ascii="Courier New"/>
          <w:sz w:val="16"/>
        </w:rPr>
      </w:pPr>
      <w:r>
        <w:rPr>
          <w:rFonts w:ascii="Courier New"/>
          <w:sz w:val="16"/>
        </w:rPr>
        <w:t>=</w:t>
        <w:tab/>
        <w:t>13.08</w:t>
      </w:r>
    </w:p>
    <w:p>
      <w:pPr>
        <w:tabs>
          <w:tab w:pos="3874" w:val="right" w:leader="none"/>
        </w:tabs>
        <w:spacing w:before="57"/>
        <w:ind w:left="1686" w:right="0" w:firstLine="0"/>
        <w:jc w:val="left"/>
        <w:rPr>
          <w:rFonts w:ascii="Courier New"/>
          <w:sz w:val="16"/>
        </w:rPr>
      </w:pPr>
      <w:r>
        <w:rPr>
          <w:rFonts w:ascii="Courier New"/>
          <w:sz w:val="16"/>
        </w:rPr>
        <w:t>Prob&gt;chi2</w:t>
      </w:r>
      <w:r>
        <w:rPr>
          <w:rFonts w:ascii="Courier New"/>
          <w:spacing w:val="-1"/>
          <w:sz w:val="16"/>
        </w:rPr>
        <w:t> </w:t>
      </w:r>
      <w:r>
        <w:rPr>
          <w:rFonts w:ascii="Courier New"/>
          <w:sz w:val="16"/>
        </w:rPr>
        <w:t>=</w:t>
        <w:tab/>
        <w:t>0.9310</w:t>
      </w:r>
    </w:p>
    <w:p>
      <w:pPr>
        <w:spacing w:after="0"/>
        <w:jc w:val="left"/>
        <w:rPr>
          <w:rFonts w:ascii="Courier New"/>
          <w:sz w:val="16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243" w:right="562"/>
        <w:jc w:val="center"/>
      </w:pPr>
      <w:r>
        <w:rPr/>
        <w:t>TABLE</w:t>
      </w:r>
      <w:r>
        <w:rPr>
          <w:spacing w:val="-2"/>
        </w:rPr>
        <w:t> </w:t>
      </w:r>
      <w:r>
        <w:rPr/>
        <w:t>L11:</w:t>
      </w:r>
      <w:r>
        <w:rPr>
          <w:spacing w:val="-2"/>
        </w:rPr>
        <w:t> </w:t>
      </w:r>
      <w:r>
        <w:rPr/>
        <w:t>POLS</w:t>
      </w:r>
      <w:r>
        <w:rPr>
          <w:spacing w:val="-2"/>
        </w:rPr>
        <w:t> </w:t>
      </w:r>
      <w:r>
        <w:rPr/>
        <w:t>REGRESSION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WAVE</w:t>
      </w:r>
      <w:r>
        <w:rPr>
          <w:spacing w:val="-1"/>
        </w:rPr>
        <w:t> </w:t>
      </w:r>
      <w:r>
        <w:rPr/>
        <w:t>III</w:t>
      </w:r>
    </w:p>
    <w:p>
      <w:pPr>
        <w:spacing w:before="53"/>
        <w:ind w:left="160" w:right="0" w:firstLine="0"/>
        <w:jc w:val="left"/>
        <w:rPr>
          <w:rFonts w:ascii="Courier New"/>
          <w:sz w:val="23"/>
        </w:rPr>
      </w:pPr>
      <w:r>
        <w:rPr>
          <w:rFonts w:ascii="Courier New"/>
          <w:w w:val="65"/>
          <w:sz w:val="23"/>
        </w:rPr>
        <w:t>Iteration</w:t>
      </w:r>
      <w:r>
        <w:rPr>
          <w:rFonts w:ascii="Courier New"/>
          <w:spacing w:val="27"/>
          <w:w w:val="65"/>
          <w:sz w:val="23"/>
        </w:rPr>
        <w:t> </w:t>
      </w:r>
      <w:r>
        <w:rPr>
          <w:rFonts w:ascii="Courier New"/>
          <w:w w:val="65"/>
          <w:sz w:val="23"/>
        </w:rPr>
        <w:t>6:</w:t>
      </w:r>
      <w:r>
        <w:rPr>
          <w:rFonts w:ascii="Courier New"/>
          <w:spacing w:val="202"/>
          <w:sz w:val="23"/>
        </w:rPr>
        <w:t> </w:t>
      </w:r>
      <w:r>
        <w:rPr>
          <w:rFonts w:ascii="Courier New"/>
          <w:w w:val="65"/>
          <w:sz w:val="23"/>
        </w:rPr>
        <w:t>log</w:t>
      </w:r>
      <w:r>
        <w:rPr>
          <w:rFonts w:ascii="Courier New"/>
          <w:spacing w:val="27"/>
          <w:w w:val="65"/>
          <w:sz w:val="23"/>
        </w:rPr>
        <w:t> </w:t>
      </w:r>
      <w:r>
        <w:rPr>
          <w:rFonts w:ascii="Courier New"/>
          <w:w w:val="65"/>
          <w:sz w:val="23"/>
        </w:rPr>
        <w:t>likelihood</w:t>
      </w:r>
      <w:r>
        <w:rPr>
          <w:rFonts w:ascii="Courier New"/>
          <w:spacing w:val="27"/>
          <w:w w:val="65"/>
          <w:sz w:val="23"/>
        </w:rPr>
        <w:t> </w:t>
      </w:r>
      <w:r>
        <w:rPr>
          <w:rFonts w:ascii="Courier New"/>
          <w:w w:val="65"/>
          <w:sz w:val="23"/>
        </w:rPr>
        <w:t>=</w:t>
      </w:r>
      <w:r>
        <w:rPr>
          <w:rFonts w:ascii="Courier New"/>
          <w:spacing w:val="91"/>
          <w:sz w:val="23"/>
        </w:rPr>
        <w:t> </w:t>
      </w:r>
      <w:r>
        <w:rPr>
          <w:rFonts w:ascii="Courier New"/>
          <w:w w:val="65"/>
          <w:sz w:val="23"/>
        </w:rPr>
        <w:t>-8169.129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17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"/>
        <w:gridCol w:w="1049"/>
        <w:gridCol w:w="238"/>
        <w:gridCol w:w="3099"/>
        <w:gridCol w:w="666"/>
        <w:gridCol w:w="761"/>
        <w:gridCol w:w="428"/>
        <w:gridCol w:w="904"/>
      </w:tblGrid>
      <w:tr>
        <w:trPr>
          <w:trHeight w:val="306" w:hRule="atLeast"/>
        </w:trPr>
        <w:tc>
          <w:tcPr>
            <w:tcW w:w="6194" w:type="dxa"/>
            <w:gridSpan w:val="6"/>
          </w:tcPr>
          <w:p>
            <w:pPr>
              <w:pStyle w:val="TableParagraph"/>
              <w:tabs>
                <w:tab w:pos="4818" w:val="left" w:leader="none"/>
              </w:tabs>
              <w:spacing w:before="5"/>
              <w:ind w:left="49"/>
              <w:jc w:val="left"/>
              <w:rPr>
                <w:sz w:val="23"/>
              </w:rPr>
            </w:pPr>
            <w:r>
              <w:rPr>
                <w:w w:val="65"/>
                <w:sz w:val="23"/>
              </w:rPr>
              <w:t>Logistic</w:t>
            </w:r>
            <w:r>
              <w:rPr>
                <w:spacing w:val="46"/>
                <w:w w:val="65"/>
                <w:sz w:val="23"/>
              </w:rPr>
              <w:t> </w:t>
            </w:r>
            <w:r>
              <w:rPr>
                <w:w w:val="65"/>
                <w:sz w:val="23"/>
              </w:rPr>
              <w:t>regression</w:t>
              <w:tab/>
              <w:t>Number</w:t>
            </w:r>
            <w:r>
              <w:rPr>
                <w:spacing w:val="26"/>
                <w:w w:val="65"/>
                <w:sz w:val="23"/>
              </w:rPr>
              <w:t> </w:t>
            </w:r>
            <w:r>
              <w:rPr>
                <w:w w:val="65"/>
                <w:sz w:val="23"/>
              </w:rPr>
              <w:t>of</w:t>
            </w:r>
            <w:r>
              <w:rPr>
                <w:spacing w:val="26"/>
                <w:w w:val="65"/>
                <w:sz w:val="23"/>
              </w:rPr>
              <w:t> </w:t>
            </w:r>
            <w:r>
              <w:rPr>
                <w:w w:val="65"/>
                <w:sz w:val="23"/>
              </w:rPr>
              <w:t>obs</w:t>
            </w:r>
          </w:p>
        </w:tc>
        <w:tc>
          <w:tcPr>
            <w:tcW w:w="428" w:type="dxa"/>
          </w:tcPr>
          <w:p>
            <w:pPr>
              <w:pStyle w:val="TableParagraph"/>
              <w:spacing w:before="5"/>
              <w:ind w:left="150"/>
              <w:jc w:val="left"/>
              <w:rPr>
                <w:sz w:val="23"/>
              </w:rPr>
            </w:pPr>
            <w:r>
              <w:rPr>
                <w:w w:val="65"/>
                <w:sz w:val="23"/>
              </w:rPr>
              <w:t>=</w:t>
            </w:r>
          </w:p>
        </w:tc>
        <w:tc>
          <w:tcPr>
            <w:tcW w:w="904" w:type="dxa"/>
          </w:tcPr>
          <w:p>
            <w:pPr>
              <w:pStyle w:val="TableParagraph"/>
              <w:spacing w:before="5"/>
              <w:ind w:right="40"/>
              <w:rPr>
                <w:sz w:val="23"/>
              </w:rPr>
            </w:pPr>
            <w:r>
              <w:rPr>
                <w:w w:val="75"/>
                <w:sz w:val="23"/>
              </w:rPr>
              <w:t>26774</w:t>
            </w:r>
          </w:p>
        </w:tc>
      </w:tr>
      <w:tr>
        <w:trPr>
          <w:trHeight w:val="306" w:hRule="atLeast"/>
        </w:trPr>
        <w:tc>
          <w:tcPr>
            <w:tcW w:w="6194" w:type="dxa"/>
            <w:gridSpan w:val="6"/>
          </w:tcPr>
          <w:p>
            <w:pPr>
              <w:pStyle w:val="TableParagraph"/>
              <w:spacing w:line="242" w:lineRule="exact" w:before="43"/>
              <w:ind w:right="329"/>
              <w:rPr>
                <w:sz w:val="23"/>
              </w:rPr>
            </w:pPr>
            <w:r>
              <w:rPr>
                <w:w w:val="65"/>
                <w:sz w:val="23"/>
              </w:rPr>
              <w:t>LR</w:t>
            </w:r>
            <w:r>
              <w:rPr>
                <w:spacing w:val="35"/>
                <w:w w:val="65"/>
                <w:sz w:val="23"/>
              </w:rPr>
              <w:t> </w:t>
            </w:r>
            <w:r>
              <w:rPr>
                <w:w w:val="65"/>
                <w:sz w:val="23"/>
              </w:rPr>
              <w:t>chi2(22)</w:t>
            </w:r>
          </w:p>
        </w:tc>
        <w:tc>
          <w:tcPr>
            <w:tcW w:w="428" w:type="dxa"/>
          </w:tcPr>
          <w:p>
            <w:pPr>
              <w:pStyle w:val="TableParagraph"/>
              <w:spacing w:line="242" w:lineRule="exact" w:before="43"/>
              <w:ind w:left="150"/>
              <w:jc w:val="left"/>
              <w:rPr>
                <w:sz w:val="23"/>
              </w:rPr>
            </w:pPr>
            <w:r>
              <w:rPr>
                <w:w w:val="65"/>
                <w:sz w:val="23"/>
              </w:rPr>
              <w:t>=</w:t>
            </w:r>
          </w:p>
        </w:tc>
        <w:tc>
          <w:tcPr>
            <w:tcW w:w="904" w:type="dxa"/>
          </w:tcPr>
          <w:p>
            <w:pPr>
              <w:pStyle w:val="TableParagraph"/>
              <w:spacing w:line="242" w:lineRule="exact" w:before="43"/>
              <w:ind w:right="40"/>
              <w:rPr>
                <w:sz w:val="23"/>
              </w:rPr>
            </w:pPr>
            <w:r>
              <w:rPr>
                <w:w w:val="75"/>
                <w:sz w:val="23"/>
              </w:rPr>
              <w:t>4425.53</w:t>
            </w:r>
          </w:p>
        </w:tc>
      </w:tr>
      <w:tr>
        <w:trPr>
          <w:trHeight w:val="382" w:hRule="atLeast"/>
        </w:trPr>
        <w:tc>
          <w:tcPr>
            <w:tcW w:w="38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09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spacing w:before="82"/>
              <w:ind w:left="21" w:right="18"/>
              <w:jc w:val="center"/>
              <w:rPr>
                <w:sz w:val="23"/>
              </w:rPr>
            </w:pPr>
            <w:r>
              <w:rPr>
                <w:w w:val="65"/>
                <w:sz w:val="23"/>
              </w:rPr>
              <w:t>Prob</w:t>
            </w:r>
            <w:r>
              <w:rPr>
                <w:spacing w:val="19"/>
                <w:w w:val="65"/>
                <w:sz w:val="23"/>
              </w:rPr>
              <w:t> </w:t>
            </w:r>
            <w:r>
              <w:rPr>
                <w:w w:val="65"/>
                <w:sz w:val="23"/>
              </w:rPr>
              <w:t>&gt;</w:t>
            </w:r>
          </w:p>
        </w:tc>
        <w:tc>
          <w:tcPr>
            <w:tcW w:w="761" w:type="dxa"/>
          </w:tcPr>
          <w:p>
            <w:pPr>
              <w:pStyle w:val="TableParagraph"/>
              <w:spacing w:before="82"/>
              <w:ind w:left="53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chi2</w:t>
            </w:r>
          </w:p>
        </w:tc>
        <w:tc>
          <w:tcPr>
            <w:tcW w:w="428" w:type="dxa"/>
          </w:tcPr>
          <w:p>
            <w:pPr>
              <w:pStyle w:val="TableParagraph"/>
              <w:spacing w:before="82"/>
              <w:ind w:left="150"/>
              <w:jc w:val="left"/>
              <w:rPr>
                <w:sz w:val="23"/>
              </w:rPr>
            </w:pPr>
            <w:r>
              <w:rPr>
                <w:w w:val="65"/>
                <w:sz w:val="23"/>
              </w:rPr>
              <w:t>=</w:t>
            </w:r>
          </w:p>
        </w:tc>
        <w:tc>
          <w:tcPr>
            <w:tcW w:w="904" w:type="dxa"/>
          </w:tcPr>
          <w:p>
            <w:pPr>
              <w:pStyle w:val="TableParagraph"/>
              <w:spacing w:before="82"/>
              <w:ind w:right="40"/>
              <w:rPr>
                <w:sz w:val="23"/>
              </w:rPr>
            </w:pPr>
            <w:r>
              <w:rPr>
                <w:w w:val="75"/>
                <w:sz w:val="23"/>
              </w:rPr>
              <w:t>0.0000</w:t>
            </w:r>
          </w:p>
        </w:tc>
      </w:tr>
      <w:tr>
        <w:trPr>
          <w:trHeight w:val="305" w:hRule="atLeast"/>
        </w:trPr>
        <w:tc>
          <w:tcPr>
            <w:tcW w:w="381" w:type="dxa"/>
          </w:tcPr>
          <w:p>
            <w:pPr>
              <w:pStyle w:val="TableParagraph"/>
              <w:spacing w:line="242" w:lineRule="exact" w:before="43"/>
              <w:ind w:left="50"/>
              <w:jc w:val="left"/>
              <w:rPr>
                <w:sz w:val="23"/>
              </w:rPr>
            </w:pPr>
            <w:r>
              <w:rPr>
                <w:w w:val="70"/>
                <w:sz w:val="23"/>
              </w:rPr>
              <w:t>Log</w:t>
            </w:r>
          </w:p>
        </w:tc>
        <w:tc>
          <w:tcPr>
            <w:tcW w:w="1049" w:type="dxa"/>
          </w:tcPr>
          <w:p>
            <w:pPr>
              <w:pStyle w:val="TableParagraph"/>
              <w:spacing w:line="242" w:lineRule="exact" w:before="43"/>
              <w:ind w:left="50"/>
              <w:jc w:val="left"/>
              <w:rPr>
                <w:sz w:val="23"/>
              </w:rPr>
            </w:pPr>
            <w:r>
              <w:rPr>
                <w:w w:val="65"/>
                <w:sz w:val="23"/>
              </w:rPr>
              <w:t>likelihood</w:t>
            </w:r>
          </w:p>
        </w:tc>
        <w:tc>
          <w:tcPr>
            <w:tcW w:w="238" w:type="dxa"/>
          </w:tcPr>
          <w:p>
            <w:pPr>
              <w:pStyle w:val="TableParagraph"/>
              <w:spacing w:line="242" w:lineRule="exact" w:before="43"/>
              <w:ind w:left="50"/>
              <w:jc w:val="left"/>
              <w:rPr>
                <w:sz w:val="23"/>
              </w:rPr>
            </w:pPr>
            <w:r>
              <w:rPr>
                <w:w w:val="65"/>
                <w:sz w:val="23"/>
              </w:rPr>
              <w:t>=</w:t>
            </w:r>
          </w:p>
        </w:tc>
        <w:tc>
          <w:tcPr>
            <w:tcW w:w="3099" w:type="dxa"/>
          </w:tcPr>
          <w:p>
            <w:pPr>
              <w:pStyle w:val="TableParagraph"/>
              <w:spacing w:line="242" w:lineRule="exact" w:before="43"/>
              <w:ind w:left="9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-8169.129</w:t>
            </w:r>
          </w:p>
        </w:tc>
        <w:tc>
          <w:tcPr>
            <w:tcW w:w="666" w:type="dxa"/>
          </w:tcPr>
          <w:p>
            <w:pPr>
              <w:pStyle w:val="TableParagraph"/>
              <w:spacing w:line="242" w:lineRule="exact" w:before="43"/>
              <w:ind w:left="21" w:right="18"/>
              <w:jc w:val="center"/>
              <w:rPr>
                <w:sz w:val="23"/>
              </w:rPr>
            </w:pPr>
            <w:r>
              <w:rPr>
                <w:w w:val="70"/>
                <w:sz w:val="23"/>
              </w:rPr>
              <w:t>Pseudo</w:t>
            </w:r>
          </w:p>
        </w:tc>
        <w:tc>
          <w:tcPr>
            <w:tcW w:w="761" w:type="dxa"/>
          </w:tcPr>
          <w:p>
            <w:pPr>
              <w:pStyle w:val="TableParagraph"/>
              <w:spacing w:line="242" w:lineRule="exact" w:before="43"/>
              <w:ind w:left="53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R2</w:t>
            </w:r>
          </w:p>
        </w:tc>
        <w:tc>
          <w:tcPr>
            <w:tcW w:w="428" w:type="dxa"/>
          </w:tcPr>
          <w:p>
            <w:pPr>
              <w:pStyle w:val="TableParagraph"/>
              <w:spacing w:line="242" w:lineRule="exact" w:before="43"/>
              <w:ind w:left="150"/>
              <w:jc w:val="left"/>
              <w:rPr>
                <w:sz w:val="23"/>
              </w:rPr>
            </w:pPr>
            <w:r>
              <w:rPr>
                <w:w w:val="65"/>
                <w:sz w:val="23"/>
              </w:rPr>
              <w:t>=</w:t>
            </w:r>
          </w:p>
        </w:tc>
        <w:tc>
          <w:tcPr>
            <w:tcW w:w="904" w:type="dxa"/>
          </w:tcPr>
          <w:p>
            <w:pPr>
              <w:pStyle w:val="TableParagraph"/>
              <w:spacing w:line="242" w:lineRule="exact" w:before="43"/>
              <w:ind w:right="40"/>
              <w:rPr>
                <w:sz w:val="23"/>
              </w:rPr>
            </w:pPr>
            <w:r>
              <w:rPr>
                <w:w w:val="75"/>
                <w:sz w:val="23"/>
              </w:rPr>
              <w:t>0.2131</w:t>
            </w: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26"/>
        </w:rPr>
      </w:pPr>
    </w:p>
    <w:tbl>
      <w:tblPr>
        <w:tblW w:w="0" w:type="auto"/>
        <w:jc w:val="left"/>
        <w:tblInd w:w="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8"/>
        <w:gridCol w:w="1237"/>
        <w:gridCol w:w="1096"/>
        <w:gridCol w:w="810"/>
        <w:gridCol w:w="809"/>
        <w:gridCol w:w="1286"/>
        <w:gridCol w:w="900"/>
      </w:tblGrid>
      <w:tr>
        <w:trPr>
          <w:trHeight w:val="658" w:hRule="atLeast"/>
        </w:trPr>
        <w:tc>
          <w:tcPr>
            <w:tcW w:w="3188" w:type="dxa"/>
            <w:tcBorders>
              <w:top w:val="dashSmallGap" w:sz="12" w:space="0" w:color="000000"/>
              <w:bottom w:val="dashSmallGap" w:sz="12" w:space="0" w:color="000000"/>
              <w:right w:val="dashed" w:sz="6" w:space="0" w:color="000000"/>
            </w:tcBorders>
          </w:tcPr>
          <w:p>
            <w:pPr>
              <w:pStyle w:val="TableParagraph"/>
              <w:spacing w:before="21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medicalcareconsultation</w:t>
            </w:r>
          </w:p>
        </w:tc>
        <w:tc>
          <w:tcPr>
            <w:tcW w:w="1237" w:type="dxa"/>
            <w:tcBorders>
              <w:top w:val="dashSmallGap" w:sz="12" w:space="0" w:color="000000"/>
              <w:left w:val="dashed" w:sz="6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1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Coef.</w:t>
            </w:r>
          </w:p>
        </w:tc>
        <w:tc>
          <w:tcPr>
            <w:tcW w:w="1096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13"/>
              <w:ind w:left="157"/>
              <w:jc w:val="left"/>
              <w:rPr>
                <w:sz w:val="23"/>
              </w:rPr>
            </w:pPr>
            <w:r>
              <w:rPr>
                <w:w w:val="65"/>
                <w:sz w:val="23"/>
              </w:rPr>
              <w:t>Std.</w:t>
            </w:r>
            <w:r>
              <w:rPr>
                <w:spacing w:val="29"/>
                <w:w w:val="65"/>
                <w:sz w:val="23"/>
              </w:rPr>
              <w:t> </w:t>
            </w:r>
            <w:r>
              <w:rPr>
                <w:w w:val="65"/>
                <w:sz w:val="23"/>
              </w:rPr>
              <w:t>Err.</w:t>
            </w:r>
          </w:p>
        </w:tc>
        <w:tc>
          <w:tcPr>
            <w:tcW w:w="810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13"/>
              <w:ind w:left="491"/>
              <w:jc w:val="left"/>
              <w:rPr>
                <w:sz w:val="23"/>
              </w:rPr>
            </w:pPr>
            <w:r>
              <w:rPr>
                <w:w w:val="65"/>
                <w:sz w:val="23"/>
              </w:rPr>
              <w:t>z</w:t>
            </w:r>
          </w:p>
        </w:tc>
        <w:tc>
          <w:tcPr>
            <w:tcW w:w="809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1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P&gt;|z|</w:t>
            </w:r>
          </w:p>
        </w:tc>
        <w:tc>
          <w:tcPr>
            <w:tcW w:w="1286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13"/>
              <w:ind w:left="303"/>
              <w:jc w:val="left"/>
              <w:rPr>
                <w:sz w:val="23"/>
              </w:rPr>
            </w:pPr>
            <w:r>
              <w:rPr>
                <w:w w:val="65"/>
                <w:sz w:val="23"/>
              </w:rPr>
              <w:t>[95%</w:t>
            </w:r>
            <w:r>
              <w:rPr>
                <w:spacing w:val="37"/>
                <w:w w:val="65"/>
                <w:sz w:val="23"/>
              </w:rPr>
              <w:t> </w:t>
            </w:r>
            <w:r>
              <w:rPr>
                <w:w w:val="65"/>
                <w:sz w:val="23"/>
              </w:rPr>
              <w:t>Conf.</w:t>
            </w:r>
          </w:p>
        </w:tc>
        <w:tc>
          <w:tcPr>
            <w:tcW w:w="900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213"/>
              <w:ind w:right="-29"/>
              <w:rPr>
                <w:sz w:val="23"/>
              </w:rPr>
            </w:pPr>
            <w:r>
              <w:rPr>
                <w:w w:val="65"/>
                <w:sz w:val="23"/>
              </w:rPr>
              <w:t>Interval]</w:t>
            </w:r>
          </w:p>
        </w:tc>
      </w:tr>
      <w:tr>
        <w:trPr>
          <w:trHeight w:val="514" w:hRule="atLeast"/>
        </w:trPr>
        <w:tc>
          <w:tcPr>
            <w:tcW w:w="3188" w:type="dxa"/>
            <w:tcBorders>
              <w:top w:val="dashSmallGap" w:sz="12" w:space="0" w:color="000000"/>
              <w:right w:val="dashed" w:sz="6" w:space="0" w:color="000000"/>
            </w:tcBorders>
          </w:tcPr>
          <w:p>
            <w:pPr>
              <w:pStyle w:val="TableParagraph"/>
              <w:spacing w:before="21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familysize</w:t>
            </w:r>
          </w:p>
        </w:tc>
        <w:tc>
          <w:tcPr>
            <w:tcW w:w="1237" w:type="dxa"/>
            <w:tcBorders>
              <w:top w:val="dashSmallGap" w:sz="12" w:space="0" w:color="000000"/>
              <w:left w:val="dashed" w:sz="6" w:space="0" w:color="000000"/>
            </w:tcBorders>
          </w:tcPr>
          <w:p>
            <w:pPr>
              <w:pStyle w:val="TableParagraph"/>
              <w:spacing w:before="21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-.0644956</w:t>
            </w:r>
          </w:p>
        </w:tc>
        <w:tc>
          <w:tcPr>
            <w:tcW w:w="1096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1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.0183075</w:t>
            </w:r>
          </w:p>
        </w:tc>
        <w:tc>
          <w:tcPr>
            <w:tcW w:w="810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1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-3.52</w:t>
            </w:r>
          </w:p>
        </w:tc>
        <w:tc>
          <w:tcPr>
            <w:tcW w:w="809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1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0.000</w:t>
            </w:r>
          </w:p>
        </w:tc>
        <w:tc>
          <w:tcPr>
            <w:tcW w:w="1286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1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-.1003776</w:t>
            </w:r>
          </w:p>
        </w:tc>
        <w:tc>
          <w:tcPr>
            <w:tcW w:w="900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before="213"/>
              <w:ind w:right="-29"/>
              <w:rPr>
                <w:sz w:val="23"/>
              </w:rPr>
            </w:pPr>
            <w:r>
              <w:rPr>
                <w:w w:val="65"/>
                <w:sz w:val="23"/>
              </w:rPr>
              <w:t>-.0286136</w:t>
            </w:r>
          </w:p>
        </w:tc>
      </w:tr>
      <w:tr>
        <w:trPr>
          <w:trHeight w:val="343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noeducation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-.0736325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.0941796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-0.78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0.434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-.2582212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.1109562</w:t>
            </w:r>
          </w:p>
        </w:tc>
      </w:tr>
      <w:tr>
        <w:trPr>
          <w:trHeight w:val="344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primaryeducation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.0017618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.1363741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0.01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0.990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-.2655266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.2690502</w:t>
            </w:r>
          </w:p>
        </w:tc>
      </w:tr>
      <w:tr>
        <w:trPr>
          <w:trHeight w:val="344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secondaryeducation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.0049832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.0540581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0.09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0.927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-.1009689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.1109352</w:t>
            </w:r>
          </w:p>
        </w:tc>
      </w:tr>
      <w:tr>
        <w:trPr>
          <w:trHeight w:val="343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highereducation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.9398048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.0827504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11.36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303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.7776169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1.101993</w:t>
            </w:r>
          </w:p>
        </w:tc>
      </w:tr>
      <w:tr>
        <w:trPr>
          <w:trHeight w:val="343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male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-.0423334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.0570056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-0.74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0.458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-.1540622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.0693955</w:t>
            </w:r>
          </w:p>
        </w:tc>
      </w:tr>
      <w:tr>
        <w:trPr>
          <w:trHeight w:val="344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female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.0876786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.0863266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1.02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0.310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-.0815184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.2568756</w:t>
            </w:r>
          </w:p>
        </w:tc>
      </w:tr>
      <w:tr>
        <w:trPr>
          <w:trHeight w:val="343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married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.0043882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.0384088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0.11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0.909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-.0708916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.079668</w:t>
            </w:r>
          </w:p>
        </w:tc>
      </w:tr>
      <w:tr>
        <w:trPr>
          <w:trHeight w:val="343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nevermarried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-.0761868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.1220007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-0.62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0.532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-.3153038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.1629302</w:t>
            </w:r>
          </w:p>
        </w:tc>
      </w:tr>
      <w:tr>
        <w:trPr>
          <w:trHeight w:val="344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singleparents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-.072903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.0557136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-1.31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0.191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-.1820995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.0362936</w:t>
            </w:r>
          </w:p>
        </w:tc>
      </w:tr>
      <w:tr>
        <w:trPr>
          <w:trHeight w:val="343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widowed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-.1786877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.0649045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-2.75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0.006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-.3058982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65"/>
                <w:sz w:val="23"/>
              </w:rPr>
              <w:t>-.0514773</w:t>
            </w:r>
          </w:p>
        </w:tc>
      </w:tr>
      <w:tr>
        <w:trPr>
          <w:trHeight w:val="343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yes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-.0157682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.0582893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-0.27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0.787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-.1300132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.0984768</w:t>
            </w:r>
          </w:p>
        </w:tc>
      </w:tr>
      <w:tr>
        <w:trPr>
          <w:trHeight w:val="344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no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-.126423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.1263236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-1.00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0.317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-.3740126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.1211666</w:t>
            </w:r>
          </w:p>
        </w:tc>
      </w:tr>
      <w:tr>
        <w:trPr>
          <w:trHeight w:val="344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wagesandsalariesincomes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-.3604191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.0857101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-4.21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-.5284078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65"/>
                <w:sz w:val="23"/>
              </w:rPr>
              <w:t>-.1924305</w:t>
            </w:r>
          </w:p>
        </w:tc>
      </w:tr>
      <w:tr>
        <w:trPr>
          <w:trHeight w:val="344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0"/>
                <w:sz w:val="23"/>
              </w:rPr>
              <w:t>businessenterprisesandtrades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-.6499355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.3062807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-2.12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0.034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-1.250235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65"/>
                <w:sz w:val="23"/>
              </w:rPr>
              <w:t>-.0496364</w:t>
            </w:r>
          </w:p>
        </w:tc>
      </w:tr>
      <w:tr>
        <w:trPr>
          <w:trHeight w:val="344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cropandlivestockincomes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.6069024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.0440595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13.77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303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.5205474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.6932574</w:t>
            </w:r>
          </w:p>
        </w:tc>
      </w:tr>
      <w:tr>
        <w:trPr>
          <w:trHeight w:val="343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remittances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.1380351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252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.143866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0.96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0.337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-.1439372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.4200073</w:t>
            </w:r>
          </w:p>
        </w:tc>
      </w:tr>
      <w:tr>
        <w:trPr>
          <w:trHeight w:val="344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pensions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-.016151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34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.02141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-0.75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0.451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-.0581139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.0258118</w:t>
            </w:r>
          </w:p>
        </w:tc>
      </w:tr>
      <w:tr>
        <w:trPr>
          <w:trHeight w:val="344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0"/>
                <w:sz w:val="23"/>
              </w:rPr>
              <w:t>monetarytransferandassistance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.296829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.0437527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6.78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303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.2110753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.3825827</w:t>
            </w:r>
          </w:p>
        </w:tc>
      </w:tr>
      <w:tr>
        <w:trPr>
          <w:trHeight w:val="344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65"/>
                <w:sz w:val="23"/>
              </w:rPr>
              <w:t>dividendfrominterestandinvestmen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-3.057167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252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.068032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0"/>
                <w:sz w:val="23"/>
              </w:rPr>
              <w:t>-44.94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0.000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-3.190507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65"/>
                <w:sz w:val="23"/>
              </w:rPr>
              <w:t>-2.923826</w:t>
            </w:r>
          </w:p>
        </w:tc>
      </w:tr>
      <w:tr>
        <w:trPr>
          <w:trHeight w:val="344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incomefromproperties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-.0216944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.0097973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-2.21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0.027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-.0408968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65"/>
                <w:sz w:val="23"/>
              </w:rPr>
              <w:t>-.0024921</w:t>
            </w:r>
          </w:p>
        </w:tc>
      </w:tr>
      <w:tr>
        <w:trPr>
          <w:trHeight w:val="344" w:hRule="atLeast"/>
        </w:trPr>
        <w:tc>
          <w:tcPr>
            <w:tcW w:w="3188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ginicoefficient</w:t>
            </w:r>
          </w:p>
        </w:tc>
        <w:tc>
          <w:tcPr>
            <w:tcW w:w="1237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-.071248</w:t>
            </w:r>
          </w:p>
        </w:tc>
        <w:tc>
          <w:tcPr>
            <w:tcW w:w="109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.0687511</w:t>
            </w:r>
          </w:p>
        </w:tc>
        <w:tc>
          <w:tcPr>
            <w:tcW w:w="810" w:type="dxa"/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-1.04</w:t>
            </w:r>
          </w:p>
        </w:tc>
        <w:tc>
          <w:tcPr>
            <w:tcW w:w="809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0.300</w:t>
            </w:r>
          </w:p>
        </w:tc>
        <w:tc>
          <w:tcPr>
            <w:tcW w:w="1286" w:type="dxa"/>
          </w:tcPr>
          <w:p>
            <w:pPr>
              <w:pStyle w:val="TableParagraph"/>
              <w:spacing w:before="43"/>
              <w:ind w:left="20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-.2059976</w:t>
            </w:r>
          </w:p>
        </w:tc>
        <w:tc>
          <w:tcPr>
            <w:tcW w:w="900" w:type="dxa"/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.0635016</w:t>
            </w:r>
          </w:p>
        </w:tc>
      </w:tr>
      <w:tr>
        <w:trPr>
          <w:trHeight w:val="488" w:hRule="atLeast"/>
        </w:trPr>
        <w:tc>
          <w:tcPr>
            <w:tcW w:w="3188" w:type="dxa"/>
            <w:tcBorders>
              <w:bottom w:val="dashSmallGap" w:sz="12" w:space="0" w:color="000000"/>
              <w:right w:val="dashed" w:sz="6" w:space="0" w:color="000000"/>
            </w:tcBorders>
          </w:tcPr>
          <w:p>
            <w:pPr>
              <w:pStyle w:val="TableParagraph"/>
              <w:spacing w:before="43"/>
              <w:ind w:right="128"/>
              <w:rPr>
                <w:sz w:val="23"/>
              </w:rPr>
            </w:pPr>
            <w:r>
              <w:rPr>
                <w:w w:val="75"/>
                <w:sz w:val="23"/>
              </w:rPr>
              <w:t>_cons</w:t>
            </w:r>
          </w:p>
        </w:tc>
        <w:tc>
          <w:tcPr>
            <w:tcW w:w="1237" w:type="dxa"/>
            <w:tcBorders>
              <w:left w:val="dashed" w:sz="6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43"/>
              <w:ind w:right="132"/>
              <w:rPr>
                <w:sz w:val="23"/>
              </w:rPr>
            </w:pPr>
            <w:r>
              <w:rPr>
                <w:w w:val="75"/>
                <w:sz w:val="23"/>
              </w:rPr>
              <w:t>1.428141</w:t>
            </w:r>
          </w:p>
        </w:tc>
        <w:tc>
          <w:tcPr>
            <w:tcW w:w="1096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3"/>
              <w:ind w:left="157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.3887846</w:t>
            </w:r>
          </w:p>
        </w:tc>
        <w:tc>
          <w:tcPr>
            <w:tcW w:w="810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3"/>
              <w:ind w:right="131"/>
              <w:rPr>
                <w:sz w:val="23"/>
              </w:rPr>
            </w:pPr>
            <w:r>
              <w:rPr>
                <w:w w:val="75"/>
                <w:sz w:val="23"/>
              </w:rPr>
              <w:t>3.67</w:t>
            </w:r>
          </w:p>
        </w:tc>
        <w:tc>
          <w:tcPr>
            <w:tcW w:w="809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3"/>
              <w:ind w:left="158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0.000</w:t>
            </w:r>
          </w:p>
        </w:tc>
        <w:tc>
          <w:tcPr>
            <w:tcW w:w="1286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3"/>
              <w:ind w:left="303"/>
              <w:jc w:val="left"/>
              <w:rPr>
                <w:sz w:val="23"/>
              </w:rPr>
            </w:pPr>
            <w:r>
              <w:rPr>
                <w:w w:val="75"/>
                <w:sz w:val="23"/>
              </w:rPr>
              <w:t>.6661369</w:t>
            </w:r>
          </w:p>
        </w:tc>
        <w:tc>
          <w:tcPr>
            <w:tcW w:w="900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43"/>
              <w:ind w:right="-29"/>
              <w:rPr>
                <w:sz w:val="23"/>
              </w:rPr>
            </w:pPr>
            <w:r>
              <w:rPr>
                <w:w w:val="75"/>
                <w:sz w:val="23"/>
              </w:rPr>
              <w:t>2.190144</w:t>
            </w:r>
          </w:p>
        </w:tc>
      </w:tr>
    </w:tbl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6"/>
        <w:rPr>
          <w:rFonts w:ascii="Courier New"/>
          <w:sz w:val="23"/>
        </w:rPr>
      </w:pPr>
    </w:p>
    <w:p>
      <w:pPr>
        <w:spacing w:before="0"/>
        <w:ind w:left="160" w:right="0" w:firstLine="0"/>
        <w:jc w:val="left"/>
        <w:rPr>
          <w:rFonts w:ascii="Courier New"/>
          <w:sz w:val="23"/>
        </w:rPr>
      </w:pPr>
      <w:r>
        <w:rPr>
          <w:rFonts w:ascii="Courier New"/>
          <w:w w:val="65"/>
          <w:sz w:val="23"/>
        </w:rPr>
        <w:t>.</w:t>
      </w:r>
    </w:p>
    <w:p>
      <w:pPr>
        <w:spacing w:after="0"/>
        <w:jc w:val="left"/>
        <w:rPr>
          <w:rFonts w:ascii="Courier New"/>
          <w:sz w:val="23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5" w:right="518"/>
        <w:jc w:val="center"/>
      </w:pPr>
      <w:r>
        <w:rPr/>
        <w:t>TABLE</w:t>
      </w:r>
      <w:r>
        <w:rPr>
          <w:spacing w:val="-2"/>
        </w:rPr>
        <w:t> </w:t>
      </w:r>
      <w:r>
        <w:rPr/>
        <w:t>L12:</w:t>
      </w:r>
      <w:r>
        <w:rPr>
          <w:spacing w:val="-1"/>
        </w:rPr>
        <w:t> </w:t>
      </w:r>
      <w:r>
        <w:rPr/>
        <w:t>FIXED</w:t>
      </w:r>
      <w:r>
        <w:rPr>
          <w:spacing w:val="-3"/>
        </w:rPr>
        <w:t> </w:t>
      </w:r>
      <w:r>
        <w:rPr/>
        <w:t>EFFECT</w:t>
      </w:r>
      <w:r>
        <w:rPr>
          <w:spacing w:val="-2"/>
        </w:rPr>
        <w:t> </w:t>
      </w:r>
      <w:r>
        <w:rPr/>
        <w:t>ESTIMATION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WAVE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8"/>
        <w:gridCol w:w="2462"/>
        <w:gridCol w:w="2322"/>
        <w:gridCol w:w="418"/>
        <w:gridCol w:w="790"/>
      </w:tblGrid>
      <w:tr>
        <w:trPr>
          <w:trHeight w:val="251" w:hRule="atLeast"/>
        </w:trPr>
        <w:tc>
          <w:tcPr>
            <w:tcW w:w="3810" w:type="dxa"/>
            <w:gridSpan w:val="2"/>
          </w:tcPr>
          <w:p>
            <w:pPr>
              <w:pStyle w:val="TableParagraph"/>
              <w:spacing w:before="3"/>
              <w:ind w:left="50"/>
              <w:jc w:val="left"/>
              <w:rPr>
                <w:sz w:val="19"/>
              </w:rPr>
            </w:pPr>
            <w:r>
              <w:rPr>
                <w:w w:val="75"/>
                <w:sz w:val="19"/>
              </w:rPr>
              <w:t>Fixed-effects</w:t>
            </w:r>
            <w:r>
              <w:rPr>
                <w:spacing w:val="57"/>
                <w:sz w:val="19"/>
              </w:rPr>
              <w:t> </w:t>
            </w:r>
            <w:r>
              <w:rPr>
                <w:w w:val="75"/>
                <w:sz w:val="19"/>
              </w:rPr>
              <w:t>(within)</w:t>
            </w:r>
            <w:r>
              <w:rPr>
                <w:spacing w:val="58"/>
                <w:sz w:val="19"/>
              </w:rPr>
              <w:t> </w:t>
            </w:r>
            <w:r>
              <w:rPr>
                <w:w w:val="75"/>
                <w:sz w:val="19"/>
              </w:rPr>
              <w:t>regression</w:t>
            </w:r>
          </w:p>
        </w:tc>
        <w:tc>
          <w:tcPr>
            <w:tcW w:w="2322" w:type="dxa"/>
          </w:tcPr>
          <w:p>
            <w:pPr>
              <w:pStyle w:val="TableParagraph"/>
              <w:spacing w:before="3"/>
              <w:ind w:left="698"/>
              <w:jc w:val="left"/>
              <w:rPr>
                <w:sz w:val="19"/>
              </w:rPr>
            </w:pPr>
            <w:r>
              <w:rPr>
                <w:w w:val="75"/>
                <w:sz w:val="19"/>
              </w:rPr>
              <w:t>Number</w:t>
            </w:r>
            <w:r>
              <w:rPr>
                <w:spacing w:val="34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of</w:t>
            </w:r>
            <w:r>
              <w:rPr>
                <w:spacing w:val="35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obs</w:t>
            </w:r>
          </w:p>
        </w:tc>
        <w:tc>
          <w:tcPr>
            <w:tcW w:w="418" w:type="dxa"/>
          </w:tcPr>
          <w:p>
            <w:pPr>
              <w:pStyle w:val="TableParagraph"/>
              <w:spacing w:before="3"/>
              <w:ind w:left="140"/>
              <w:jc w:val="left"/>
              <w:rPr>
                <w:sz w:val="19"/>
              </w:rPr>
            </w:pPr>
            <w:r>
              <w:rPr>
                <w:w w:val="76"/>
                <w:sz w:val="19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before="3"/>
              <w:ind w:right="49"/>
              <w:rPr>
                <w:sz w:val="19"/>
              </w:rPr>
            </w:pPr>
            <w:r>
              <w:rPr>
                <w:w w:val="85"/>
                <w:sz w:val="19"/>
              </w:rPr>
              <w:t>26774</w:t>
            </w:r>
          </w:p>
        </w:tc>
      </w:tr>
      <w:tr>
        <w:trPr>
          <w:trHeight w:val="251" w:hRule="atLeast"/>
        </w:trPr>
        <w:tc>
          <w:tcPr>
            <w:tcW w:w="3810" w:type="dxa"/>
            <w:gridSpan w:val="2"/>
          </w:tcPr>
          <w:p>
            <w:pPr>
              <w:pStyle w:val="TableParagraph"/>
              <w:spacing w:line="197" w:lineRule="exact" w:before="35"/>
              <w:ind w:left="50"/>
              <w:jc w:val="left"/>
              <w:rPr>
                <w:sz w:val="19"/>
              </w:rPr>
            </w:pPr>
            <w:r>
              <w:rPr>
                <w:w w:val="75"/>
                <w:sz w:val="19"/>
              </w:rPr>
              <w:t>Group</w:t>
            </w:r>
            <w:r>
              <w:rPr>
                <w:spacing w:val="55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variable:</w:t>
            </w:r>
            <w:r>
              <w:rPr>
                <w:spacing w:val="55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state</w:t>
            </w:r>
          </w:p>
        </w:tc>
        <w:tc>
          <w:tcPr>
            <w:tcW w:w="2322" w:type="dxa"/>
          </w:tcPr>
          <w:p>
            <w:pPr>
              <w:pStyle w:val="TableParagraph"/>
              <w:spacing w:line="197" w:lineRule="exact" w:before="35"/>
              <w:ind w:left="698"/>
              <w:jc w:val="left"/>
              <w:rPr>
                <w:sz w:val="19"/>
              </w:rPr>
            </w:pPr>
            <w:r>
              <w:rPr>
                <w:w w:val="75"/>
                <w:sz w:val="19"/>
              </w:rPr>
              <w:t>Number</w:t>
            </w:r>
            <w:r>
              <w:rPr>
                <w:spacing w:val="42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of</w:t>
            </w:r>
            <w:r>
              <w:rPr>
                <w:spacing w:val="43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groups</w:t>
            </w:r>
          </w:p>
        </w:tc>
        <w:tc>
          <w:tcPr>
            <w:tcW w:w="418" w:type="dxa"/>
          </w:tcPr>
          <w:p>
            <w:pPr>
              <w:pStyle w:val="TableParagraph"/>
              <w:spacing w:line="197" w:lineRule="exact" w:before="35"/>
              <w:ind w:left="140"/>
              <w:jc w:val="left"/>
              <w:rPr>
                <w:sz w:val="19"/>
              </w:rPr>
            </w:pPr>
            <w:r>
              <w:rPr>
                <w:w w:val="76"/>
                <w:sz w:val="19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line="197" w:lineRule="exact" w:before="35"/>
              <w:ind w:right="49"/>
              <w:rPr>
                <w:sz w:val="19"/>
              </w:rPr>
            </w:pPr>
            <w:r>
              <w:rPr>
                <w:w w:val="85"/>
                <w:sz w:val="19"/>
              </w:rPr>
              <w:t>37</w:t>
            </w:r>
          </w:p>
        </w:tc>
      </w:tr>
      <w:tr>
        <w:trPr>
          <w:trHeight w:val="598" w:hRule="atLeast"/>
        </w:trPr>
        <w:tc>
          <w:tcPr>
            <w:tcW w:w="3810" w:type="dxa"/>
            <w:gridSpan w:val="2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50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R-sq:</w:t>
            </w:r>
            <w:r>
              <w:rPr>
                <w:spacing w:val="76"/>
                <w:sz w:val="19"/>
              </w:rPr>
              <w:t> </w:t>
            </w:r>
            <w:r>
              <w:rPr>
                <w:w w:val="80"/>
                <w:sz w:val="19"/>
              </w:rPr>
              <w:t>within</w:t>
            </w:r>
            <w:r>
              <w:rPr>
                <w:spacing w:val="77"/>
                <w:sz w:val="19"/>
              </w:rPr>
              <w:t> </w:t>
            </w:r>
            <w:r>
              <w:rPr>
                <w:w w:val="80"/>
                <w:sz w:val="19"/>
              </w:rPr>
              <w:t>=</w:t>
            </w:r>
            <w:r>
              <w:rPr>
                <w:spacing w:val="7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0.0567</w:t>
            </w:r>
          </w:p>
        </w:tc>
        <w:tc>
          <w:tcPr>
            <w:tcW w:w="2740" w:type="dxa"/>
            <w:gridSpan w:val="2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698"/>
              <w:jc w:val="left"/>
              <w:rPr>
                <w:sz w:val="19"/>
              </w:rPr>
            </w:pPr>
            <w:r>
              <w:rPr>
                <w:w w:val="75"/>
                <w:sz w:val="19"/>
              </w:rPr>
              <w:t>Obs</w:t>
            </w:r>
            <w:r>
              <w:rPr>
                <w:spacing w:val="30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per</w:t>
            </w:r>
            <w:r>
              <w:rPr>
                <w:spacing w:val="30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group:</w:t>
            </w:r>
            <w:r>
              <w:rPr>
                <w:spacing w:val="31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min</w:t>
            </w:r>
            <w:r>
              <w:rPr>
                <w:spacing w:val="30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right="49"/>
              <w:rPr>
                <w:sz w:val="19"/>
              </w:rPr>
            </w:pPr>
            <w:r>
              <w:rPr>
                <w:w w:val="76"/>
                <w:sz w:val="19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3810" w:type="dxa"/>
            <w:gridSpan w:val="2"/>
          </w:tcPr>
          <w:p>
            <w:pPr>
              <w:pStyle w:val="TableParagraph"/>
              <w:spacing w:before="35"/>
              <w:ind w:left="700"/>
              <w:jc w:val="left"/>
              <w:rPr>
                <w:sz w:val="19"/>
              </w:rPr>
            </w:pPr>
            <w:r>
              <w:rPr>
                <w:w w:val="75"/>
                <w:sz w:val="19"/>
              </w:rPr>
              <w:t>between</w:t>
            </w:r>
            <w:r>
              <w:rPr>
                <w:spacing w:val="42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=</w:t>
            </w:r>
            <w:r>
              <w:rPr>
                <w:spacing w:val="43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0.9312</w:t>
            </w:r>
          </w:p>
        </w:tc>
        <w:tc>
          <w:tcPr>
            <w:tcW w:w="2740" w:type="dxa"/>
            <w:gridSpan w:val="2"/>
          </w:tcPr>
          <w:p>
            <w:pPr>
              <w:pStyle w:val="TableParagraph"/>
              <w:spacing w:before="35"/>
              <w:ind w:right="187"/>
              <w:rPr>
                <w:sz w:val="19"/>
              </w:rPr>
            </w:pPr>
            <w:r>
              <w:rPr>
                <w:w w:val="80"/>
                <w:sz w:val="19"/>
              </w:rPr>
              <w:t>avg</w:t>
            </w:r>
            <w:r>
              <w:rPr>
                <w:spacing w:val="3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before="35"/>
              <w:ind w:right="49"/>
              <w:rPr>
                <w:sz w:val="19"/>
              </w:rPr>
            </w:pPr>
            <w:r>
              <w:rPr>
                <w:w w:val="85"/>
                <w:sz w:val="19"/>
              </w:rPr>
              <w:t>723.6</w:t>
            </w:r>
          </w:p>
        </w:tc>
      </w:tr>
      <w:tr>
        <w:trPr>
          <w:trHeight w:val="251" w:hRule="atLeast"/>
        </w:trPr>
        <w:tc>
          <w:tcPr>
            <w:tcW w:w="3810" w:type="dxa"/>
            <w:gridSpan w:val="2"/>
          </w:tcPr>
          <w:p>
            <w:pPr>
              <w:pStyle w:val="TableParagraph"/>
              <w:spacing w:line="197" w:lineRule="exact" w:before="35"/>
              <w:ind w:left="700"/>
              <w:jc w:val="left"/>
              <w:rPr>
                <w:sz w:val="19"/>
              </w:rPr>
            </w:pPr>
            <w:r>
              <w:rPr>
                <w:w w:val="75"/>
                <w:sz w:val="19"/>
              </w:rPr>
              <w:t>overall</w:t>
            </w:r>
            <w:r>
              <w:rPr>
                <w:spacing w:val="42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=</w:t>
            </w:r>
            <w:r>
              <w:rPr>
                <w:spacing w:val="43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0.2404</w:t>
            </w:r>
          </w:p>
        </w:tc>
        <w:tc>
          <w:tcPr>
            <w:tcW w:w="2740" w:type="dxa"/>
            <w:gridSpan w:val="2"/>
          </w:tcPr>
          <w:p>
            <w:pPr>
              <w:pStyle w:val="TableParagraph"/>
              <w:spacing w:line="197" w:lineRule="exact" w:before="35"/>
              <w:ind w:right="187"/>
              <w:rPr>
                <w:sz w:val="19"/>
              </w:rPr>
            </w:pPr>
            <w:r>
              <w:rPr>
                <w:w w:val="80"/>
                <w:sz w:val="19"/>
              </w:rPr>
              <w:t>max</w:t>
            </w:r>
            <w:r>
              <w:rPr>
                <w:spacing w:val="3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line="197" w:lineRule="exact" w:before="35"/>
              <w:ind w:right="49"/>
              <w:rPr>
                <w:sz w:val="19"/>
              </w:rPr>
            </w:pPr>
            <w:r>
              <w:rPr>
                <w:w w:val="85"/>
                <w:sz w:val="19"/>
              </w:rPr>
              <w:t>1367</w:t>
            </w:r>
          </w:p>
        </w:tc>
      </w:tr>
      <w:tr>
        <w:trPr>
          <w:trHeight w:val="598" w:hRule="atLeast"/>
        </w:trPr>
        <w:tc>
          <w:tcPr>
            <w:tcW w:w="134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6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22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698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F(22,26715)</w:t>
            </w:r>
          </w:p>
        </w:tc>
        <w:tc>
          <w:tcPr>
            <w:tcW w:w="418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140"/>
              <w:jc w:val="left"/>
              <w:rPr>
                <w:sz w:val="19"/>
              </w:rPr>
            </w:pPr>
            <w:r>
              <w:rPr>
                <w:w w:val="76"/>
                <w:sz w:val="19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right="49"/>
              <w:rPr>
                <w:sz w:val="19"/>
              </w:rPr>
            </w:pPr>
            <w:r>
              <w:rPr>
                <w:w w:val="85"/>
                <w:sz w:val="19"/>
              </w:rPr>
              <w:t>72.95</w:t>
            </w:r>
          </w:p>
        </w:tc>
      </w:tr>
      <w:tr>
        <w:trPr>
          <w:trHeight w:val="251" w:hRule="atLeast"/>
        </w:trPr>
        <w:tc>
          <w:tcPr>
            <w:tcW w:w="1348" w:type="dxa"/>
          </w:tcPr>
          <w:p>
            <w:pPr>
              <w:pStyle w:val="TableParagraph"/>
              <w:spacing w:line="197" w:lineRule="exact" w:before="35"/>
              <w:ind w:left="50"/>
              <w:jc w:val="left"/>
              <w:rPr>
                <w:sz w:val="19"/>
              </w:rPr>
            </w:pPr>
            <w:r>
              <w:rPr>
                <w:w w:val="75"/>
                <w:sz w:val="19"/>
              </w:rPr>
              <w:t>corr(u_i,</w:t>
            </w:r>
            <w:r>
              <w:rPr>
                <w:spacing w:val="55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Xb)</w:t>
            </w:r>
          </w:p>
        </w:tc>
        <w:tc>
          <w:tcPr>
            <w:tcW w:w="2462" w:type="dxa"/>
          </w:tcPr>
          <w:p>
            <w:pPr>
              <w:pStyle w:val="TableParagraph"/>
              <w:spacing w:line="197" w:lineRule="exact" w:before="35"/>
              <w:ind w:left="95"/>
              <w:jc w:val="left"/>
              <w:rPr>
                <w:sz w:val="19"/>
              </w:rPr>
            </w:pPr>
            <w:r>
              <w:rPr>
                <w:w w:val="75"/>
                <w:sz w:val="19"/>
              </w:rPr>
              <w:t>=</w:t>
            </w:r>
            <w:r>
              <w:rPr>
                <w:spacing w:val="35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0.6048</w:t>
            </w:r>
          </w:p>
        </w:tc>
        <w:tc>
          <w:tcPr>
            <w:tcW w:w="2322" w:type="dxa"/>
          </w:tcPr>
          <w:p>
            <w:pPr>
              <w:pStyle w:val="TableParagraph"/>
              <w:spacing w:line="197" w:lineRule="exact" w:before="35"/>
              <w:ind w:left="698"/>
              <w:jc w:val="left"/>
              <w:rPr>
                <w:sz w:val="19"/>
              </w:rPr>
            </w:pPr>
            <w:r>
              <w:rPr>
                <w:w w:val="80"/>
                <w:sz w:val="19"/>
              </w:rPr>
              <w:t>Prob</w:t>
            </w:r>
            <w:r>
              <w:rPr>
                <w:spacing w:val="3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&gt;</w:t>
            </w:r>
            <w:r>
              <w:rPr>
                <w:spacing w:val="4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F</w:t>
            </w:r>
          </w:p>
        </w:tc>
        <w:tc>
          <w:tcPr>
            <w:tcW w:w="418" w:type="dxa"/>
          </w:tcPr>
          <w:p>
            <w:pPr>
              <w:pStyle w:val="TableParagraph"/>
              <w:spacing w:line="197" w:lineRule="exact" w:before="35"/>
              <w:ind w:left="140"/>
              <w:jc w:val="left"/>
              <w:rPr>
                <w:sz w:val="19"/>
              </w:rPr>
            </w:pPr>
            <w:r>
              <w:rPr>
                <w:w w:val="76"/>
                <w:sz w:val="19"/>
              </w:rPr>
              <w:t>=</w:t>
            </w:r>
          </w:p>
        </w:tc>
        <w:tc>
          <w:tcPr>
            <w:tcW w:w="790" w:type="dxa"/>
          </w:tcPr>
          <w:p>
            <w:pPr>
              <w:pStyle w:val="TableParagraph"/>
              <w:spacing w:line="197" w:lineRule="exact" w:before="35"/>
              <w:ind w:right="49"/>
              <w:rPr>
                <w:sz w:val="19"/>
              </w:rPr>
            </w:pPr>
            <w:r>
              <w:rPr>
                <w:w w:val="85"/>
                <w:sz w:val="19"/>
              </w:rPr>
              <w:t>0.0000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5"/>
        <w:gridCol w:w="1205"/>
        <w:gridCol w:w="2508"/>
        <w:gridCol w:w="279"/>
        <w:gridCol w:w="1115"/>
        <w:gridCol w:w="879"/>
      </w:tblGrid>
      <w:tr>
        <w:trPr>
          <w:trHeight w:val="545" w:hRule="atLeast"/>
        </w:trPr>
        <w:tc>
          <w:tcPr>
            <w:tcW w:w="3105" w:type="dxa"/>
            <w:tcBorders>
              <w:top w:val="dashSmallGap" w:sz="8" w:space="0" w:color="000000"/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7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medicalcareconsultation</w:t>
            </w:r>
          </w:p>
        </w:tc>
        <w:tc>
          <w:tcPr>
            <w:tcW w:w="1205" w:type="dxa"/>
            <w:tcBorders>
              <w:top w:val="dashSmallGap" w:sz="8" w:space="0" w:color="000000"/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7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Coef.</w:t>
            </w:r>
          </w:p>
        </w:tc>
        <w:tc>
          <w:tcPr>
            <w:tcW w:w="2508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tabs>
                <w:tab w:pos="1393" w:val="left" w:leader="none"/>
                <w:tab w:pos="1857" w:val="left" w:leader="none"/>
              </w:tabs>
              <w:spacing w:before="177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Std.</w:t>
            </w:r>
            <w:r>
              <w:rPr>
                <w:spacing w:val="6"/>
                <w:w w:val="80"/>
                <w:sz w:val="19"/>
              </w:rPr>
              <w:t> </w:t>
            </w:r>
            <w:r>
              <w:rPr>
                <w:w w:val="80"/>
                <w:sz w:val="19"/>
              </w:rPr>
              <w:t>Err.</w:t>
              <w:tab/>
            </w:r>
            <w:r>
              <w:rPr>
                <w:w w:val="85"/>
                <w:sz w:val="19"/>
              </w:rPr>
              <w:t>t</w:t>
              <w:tab/>
              <w:t>P&gt;|t|</w:t>
            </w:r>
          </w:p>
        </w:tc>
        <w:tc>
          <w:tcPr>
            <w:tcW w:w="279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7"/>
              <w:ind w:left="150"/>
              <w:jc w:val="left"/>
              <w:rPr>
                <w:sz w:val="19"/>
              </w:rPr>
            </w:pPr>
            <w:r>
              <w:rPr>
                <w:w w:val="75"/>
                <w:sz w:val="19"/>
              </w:rPr>
              <w:t>[95%</w:t>
            </w:r>
            <w:r>
              <w:rPr>
                <w:spacing w:val="47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Conf.</w:t>
            </w:r>
          </w:p>
        </w:tc>
        <w:tc>
          <w:tcPr>
            <w:tcW w:w="879" w:type="dxa"/>
            <w:tcBorders>
              <w:top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177"/>
              <w:ind w:right="-15"/>
              <w:rPr>
                <w:sz w:val="19"/>
              </w:rPr>
            </w:pPr>
            <w:r>
              <w:rPr>
                <w:w w:val="80"/>
                <w:sz w:val="19"/>
              </w:rPr>
              <w:t>Interval]</w:t>
            </w:r>
          </w:p>
        </w:tc>
      </w:tr>
      <w:tr>
        <w:trPr>
          <w:trHeight w:val="425" w:hRule="atLeast"/>
        </w:trPr>
        <w:tc>
          <w:tcPr>
            <w:tcW w:w="3105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7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familysize</w:t>
            </w:r>
          </w:p>
        </w:tc>
        <w:tc>
          <w:tcPr>
            <w:tcW w:w="1205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77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-.0039809</w:t>
            </w:r>
          </w:p>
        </w:tc>
        <w:tc>
          <w:tcPr>
            <w:tcW w:w="2508" w:type="dxa"/>
            <w:tcBorders>
              <w:top w:val="dashSmallGap" w:sz="8" w:space="0" w:color="000000"/>
            </w:tcBorders>
          </w:tcPr>
          <w:p>
            <w:pPr>
              <w:pStyle w:val="TableParagraph"/>
              <w:tabs>
                <w:tab w:pos="1114" w:val="left" w:leader="none"/>
              </w:tabs>
              <w:spacing w:before="177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.0012142</w:t>
              <w:tab/>
            </w:r>
            <w:r>
              <w:rPr>
                <w:w w:val="85"/>
                <w:sz w:val="19"/>
              </w:rPr>
              <w:t>-3.28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0.001</w:t>
            </w:r>
          </w:p>
        </w:tc>
        <w:tc>
          <w:tcPr>
            <w:tcW w:w="279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7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-.0063608</w:t>
            </w:r>
          </w:p>
        </w:tc>
        <w:tc>
          <w:tcPr>
            <w:tcW w:w="879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77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-.001601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noeducation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-.0040908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.0079784</w:t>
              <w:tab/>
            </w:r>
            <w:r>
              <w:rPr>
                <w:w w:val="85"/>
                <w:sz w:val="19"/>
              </w:rPr>
              <w:t>-0.51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0.608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-.0197289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.0115473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primaryeducation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.0073742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.0117311</w:t>
              <w:tab/>
            </w:r>
            <w:r>
              <w:rPr>
                <w:w w:val="85"/>
                <w:sz w:val="19"/>
              </w:rPr>
              <w:t>0.63</w:t>
            </w:r>
            <w:r>
              <w:rPr>
                <w:spacing w:val="127"/>
                <w:sz w:val="19"/>
              </w:rPr>
              <w:t> </w:t>
            </w:r>
            <w:r>
              <w:rPr>
                <w:w w:val="85"/>
                <w:sz w:val="19"/>
              </w:rPr>
              <w:t>0.530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-.0156194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.0303678</w:t>
            </w:r>
          </w:p>
        </w:tc>
      </w:tr>
      <w:tr>
        <w:trPr>
          <w:trHeight w:val="282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secondaryeducation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-.0017378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.0045918</w:t>
              <w:tab/>
            </w:r>
            <w:r>
              <w:rPr>
                <w:w w:val="85"/>
                <w:sz w:val="19"/>
              </w:rPr>
              <w:t>-0.38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0.705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-.0107379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.0072624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highereducation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.0665533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.0120689</w:t>
              <w:tab/>
            </w:r>
            <w:r>
              <w:rPr>
                <w:w w:val="85"/>
                <w:sz w:val="19"/>
              </w:rPr>
              <w:t>5.51</w:t>
            </w:r>
            <w:r>
              <w:rPr>
                <w:spacing w:val="127"/>
                <w:sz w:val="19"/>
              </w:rPr>
              <w:t> </w:t>
            </w:r>
            <w:r>
              <w:rPr>
                <w:w w:val="85"/>
                <w:sz w:val="19"/>
              </w:rPr>
              <w:t>0.000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150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.0428977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.0902089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male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-.0035629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.0047243</w:t>
              <w:tab/>
            </w:r>
            <w:r>
              <w:rPr>
                <w:w w:val="85"/>
                <w:sz w:val="19"/>
              </w:rPr>
              <w:t>-0.75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0.451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-.0128229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.0056971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female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-.0005725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.0073869</w:t>
              <w:tab/>
            </w:r>
            <w:r>
              <w:rPr>
                <w:w w:val="85"/>
                <w:sz w:val="19"/>
              </w:rPr>
              <w:t>-0.08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0.938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-.0150512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.0139061</w:t>
            </w:r>
          </w:p>
        </w:tc>
      </w:tr>
      <w:tr>
        <w:trPr>
          <w:trHeight w:val="282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married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.0037793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.0033511</w:t>
              <w:tab/>
            </w:r>
            <w:r>
              <w:rPr>
                <w:w w:val="85"/>
                <w:sz w:val="19"/>
              </w:rPr>
              <w:t>1.13</w:t>
            </w:r>
            <w:r>
              <w:rPr>
                <w:spacing w:val="127"/>
                <w:sz w:val="19"/>
              </w:rPr>
              <w:t> </w:t>
            </w:r>
            <w:r>
              <w:rPr>
                <w:w w:val="85"/>
                <w:sz w:val="19"/>
              </w:rPr>
              <w:t>0.259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150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-.002789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.0103476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nevermarried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-.0044665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.0104882</w:t>
              <w:tab/>
            </w:r>
            <w:r>
              <w:rPr>
                <w:w w:val="85"/>
                <w:sz w:val="19"/>
              </w:rPr>
              <w:t>-0.43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0.670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-.0250238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.0160909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singleparents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-.0058365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021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.004685</w:t>
              <w:tab/>
              <w:t>-1.25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0.213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-.0150193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.0033464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widowed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-.0052378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.0054632</w:t>
              <w:tab/>
            </w:r>
            <w:r>
              <w:rPr>
                <w:w w:val="85"/>
                <w:sz w:val="19"/>
              </w:rPr>
              <w:t>-0.96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0.338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-.0159461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.0054704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yes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.0007821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.0049062</w:t>
              <w:tab/>
            </w:r>
            <w:r>
              <w:rPr>
                <w:w w:val="85"/>
                <w:sz w:val="19"/>
              </w:rPr>
              <w:t>0.16</w:t>
            </w:r>
            <w:r>
              <w:rPr>
                <w:spacing w:val="127"/>
                <w:sz w:val="19"/>
              </w:rPr>
              <w:t> </w:t>
            </w:r>
            <w:r>
              <w:rPr>
                <w:w w:val="85"/>
                <w:sz w:val="19"/>
              </w:rPr>
              <w:t>0.873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-.0088344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.0103986</w:t>
            </w:r>
          </w:p>
        </w:tc>
      </w:tr>
      <w:tr>
        <w:trPr>
          <w:trHeight w:val="282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no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-.0111264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.0102573</w:t>
              <w:tab/>
            </w:r>
            <w:r>
              <w:rPr>
                <w:w w:val="85"/>
                <w:sz w:val="19"/>
              </w:rPr>
              <w:t>-1.08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0.278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-.0312312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.0089784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wagesandsalariesincomes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.0160697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.0099117</w:t>
              <w:tab/>
            </w:r>
            <w:r>
              <w:rPr>
                <w:w w:val="85"/>
                <w:sz w:val="19"/>
              </w:rPr>
              <w:t>1.62</w:t>
            </w:r>
            <w:r>
              <w:rPr>
                <w:spacing w:val="127"/>
                <w:sz w:val="19"/>
              </w:rPr>
              <w:t> </w:t>
            </w:r>
            <w:r>
              <w:rPr>
                <w:w w:val="85"/>
                <w:sz w:val="19"/>
              </w:rPr>
              <w:t>0.105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-.0033577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.0354971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businessenterprisesandtrades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-.0329265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.0219193</w:t>
              <w:tab/>
            </w:r>
            <w:r>
              <w:rPr>
                <w:w w:val="85"/>
                <w:sz w:val="19"/>
              </w:rPr>
              <w:t>-1.50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0.133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-.0758895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.0100364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cropandlivestockincomes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.0450919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.0039885</w:t>
              <w:tab/>
            </w:r>
            <w:r>
              <w:rPr>
                <w:w w:val="85"/>
                <w:sz w:val="19"/>
              </w:rPr>
              <w:t>11.31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0.000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150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.0372742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.0529095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remittances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.0059317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.0127903</w:t>
              <w:tab/>
            </w:r>
            <w:r>
              <w:rPr>
                <w:w w:val="85"/>
                <w:sz w:val="19"/>
              </w:rPr>
              <w:t>0.46</w:t>
            </w:r>
            <w:r>
              <w:rPr>
                <w:spacing w:val="127"/>
                <w:sz w:val="19"/>
              </w:rPr>
              <w:t> </w:t>
            </w:r>
            <w:r>
              <w:rPr>
                <w:w w:val="85"/>
                <w:sz w:val="19"/>
              </w:rPr>
              <w:t>0.643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150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-.019138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.0310014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pensions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.0018179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.0018862</w:t>
              <w:tab/>
            </w:r>
            <w:r>
              <w:rPr>
                <w:w w:val="85"/>
                <w:sz w:val="19"/>
              </w:rPr>
              <w:t>0.96</w:t>
            </w:r>
            <w:r>
              <w:rPr>
                <w:spacing w:val="127"/>
                <w:sz w:val="19"/>
              </w:rPr>
              <w:t> </w:t>
            </w:r>
            <w:r>
              <w:rPr>
                <w:w w:val="85"/>
                <w:sz w:val="19"/>
              </w:rPr>
              <w:t>0.335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-.0018791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.0055149</w:t>
            </w:r>
          </w:p>
        </w:tc>
      </w:tr>
      <w:tr>
        <w:trPr>
          <w:trHeight w:val="282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0"/>
                <w:sz w:val="19"/>
              </w:rPr>
              <w:t>monetarytransferandassistance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.0220878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207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.0041667</w:t>
              <w:tab/>
            </w:r>
            <w:r>
              <w:rPr>
                <w:w w:val="85"/>
                <w:sz w:val="19"/>
              </w:rPr>
              <w:t>5.30</w:t>
            </w:r>
            <w:r>
              <w:rPr>
                <w:spacing w:val="127"/>
                <w:sz w:val="19"/>
              </w:rPr>
              <w:t> </w:t>
            </w:r>
            <w:r>
              <w:rPr>
                <w:w w:val="85"/>
                <w:sz w:val="19"/>
              </w:rPr>
              <w:t>0.000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150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.0139208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.0302549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75"/>
                <w:sz w:val="19"/>
              </w:rPr>
              <w:t>dividendfrominterestandinvestmen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-.3735009</w:t>
            </w:r>
          </w:p>
        </w:tc>
        <w:tc>
          <w:tcPr>
            <w:tcW w:w="2508" w:type="dxa"/>
          </w:tcPr>
          <w:p>
            <w:pPr>
              <w:pStyle w:val="TableParagraph"/>
              <w:spacing w:before="35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.010874</w:t>
            </w:r>
            <w:r>
              <w:rPr>
                <w:spacing w:val="125"/>
                <w:sz w:val="19"/>
              </w:rPr>
              <w:t> </w:t>
            </w:r>
            <w:r>
              <w:rPr>
                <w:w w:val="85"/>
                <w:sz w:val="19"/>
              </w:rPr>
              <w:t>-34.35</w:t>
            </w:r>
            <w:r>
              <w:rPr>
                <w:spacing w:val="126"/>
                <w:sz w:val="19"/>
              </w:rPr>
              <w:t> </w:t>
            </w:r>
            <w:r>
              <w:rPr>
                <w:w w:val="85"/>
                <w:sz w:val="19"/>
              </w:rPr>
              <w:t>0.000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-.3948145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0"/>
                <w:sz w:val="19"/>
              </w:rPr>
              <w:t>-.3521873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incomefromproperties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-.0006501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021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5"/>
                <w:sz w:val="19"/>
              </w:rPr>
              <w:t>.000795</w:t>
              <w:tab/>
              <w:t>-0.82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0.414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-.0022083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.0009081</w:t>
            </w: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ginicoefficient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-.0141988</w:t>
            </w:r>
          </w:p>
        </w:tc>
        <w:tc>
          <w:tcPr>
            <w:tcW w:w="2508" w:type="dxa"/>
          </w:tcPr>
          <w:p>
            <w:pPr>
              <w:pStyle w:val="TableParagraph"/>
              <w:tabs>
                <w:tab w:pos="1114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.0058872</w:t>
              <w:tab/>
            </w:r>
            <w:r>
              <w:rPr>
                <w:w w:val="85"/>
                <w:sz w:val="19"/>
              </w:rPr>
              <w:t>-2.41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0.016</w:t>
            </w: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-.0257381</w:t>
            </w:r>
          </w:p>
        </w:tc>
        <w:tc>
          <w:tcPr>
            <w:tcW w:w="879" w:type="dxa"/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0"/>
                <w:sz w:val="19"/>
              </w:rPr>
              <w:t>-.0026595</w:t>
            </w:r>
          </w:p>
        </w:tc>
      </w:tr>
      <w:tr>
        <w:trPr>
          <w:trHeight w:val="404" w:hRule="atLeast"/>
        </w:trPr>
        <w:tc>
          <w:tcPr>
            <w:tcW w:w="3105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_cons</w:t>
            </w:r>
          </w:p>
        </w:tc>
        <w:tc>
          <w:tcPr>
            <w:tcW w:w="1205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.5224951</w:t>
            </w:r>
          </w:p>
        </w:tc>
        <w:tc>
          <w:tcPr>
            <w:tcW w:w="2508" w:type="dxa"/>
            <w:tcBorders>
              <w:bottom w:val="dashSmallGap" w:sz="8" w:space="0" w:color="000000"/>
            </w:tcBorders>
          </w:tcPr>
          <w:p>
            <w:pPr>
              <w:pStyle w:val="TableParagraph"/>
              <w:tabs>
                <w:tab w:pos="1114" w:val="left" w:leader="none"/>
              </w:tabs>
              <w:spacing w:before="35"/>
              <w:ind w:right="39"/>
              <w:rPr>
                <w:sz w:val="19"/>
              </w:rPr>
            </w:pPr>
            <w:r>
              <w:rPr>
                <w:w w:val="80"/>
                <w:sz w:val="19"/>
              </w:rPr>
              <w:t>.0311539</w:t>
              <w:tab/>
            </w:r>
            <w:r>
              <w:rPr>
                <w:w w:val="85"/>
                <w:sz w:val="19"/>
              </w:rPr>
              <w:t>16.77</w:t>
            </w:r>
            <w:r>
              <w:rPr>
                <w:spacing w:val="123"/>
                <w:sz w:val="19"/>
              </w:rPr>
              <w:t> </w:t>
            </w:r>
            <w:r>
              <w:rPr>
                <w:w w:val="85"/>
                <w:sz w:val="19"/>
              </w:rPr>
              <w:t>0.000</w:t>
            </w:r>
          </w:p>
        </w:tc>
        <w:tc>
          <w:tcPr>
            <w:tcW w:w="279" w:type="dxa"/>
            <w:tcBorders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5"/>
              <w:ind w:left="150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.4614317</w:t>
            </w:r>
          </w:p>
        </w:tc>
        <w:tc>
          <w:tcPr>
            <w:tcW w:w="879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5"/>
              <w:ind w:right="-15"/>
              <w:rPr>
                <w:sz w:val="19"/>
              </w:rPr>
            </w:pPr>
            <w:r>
              <w:rPr>
                <w:w w:val="85"/>
                <w:sz w:val="19"/>
              </w:rPr>
              <w:t>.5835584</w:t>
            </w:r>
          </w:p>
        </w:tc>
      </w:tr>
      <w:tr>
        <w:trPr>
          <w:trHeight w:val="424" w:hRule="atLeast"/>
        </w:trPr>
        <w:tc>
          <w:tcPr>
            <w:tcW w:w="3105" w:type="dxa"/>
            <w:tcBorders>
              <w:top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177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sigma_u</w:t>
            </w:r>
          </w:p>
        </w:tc>
        <w:tc>
          <w:tcPr>
            <w:tcW w:w="1205" w:type="dxa"/>
            <w:tcBorders>
              <w:top w:val="dashSmallGap" w:sz="8" w:space="0" w:color="000000"/>
              <w:left w:val="dashed" w:sz="6" w:space="0" w:color="000000"/>
            </w:tcBorders>
          </w:tcPr>
          <w:p>
            <w:pPr>
              <w:pStyle w:val="TableParagraph"/>
              <w:spacing w:before="177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.12747102</w:t>
            </w:r>
          </w:p>
        </w:tc>
        <w:tc>
          <w:tcPr>
            <w:tcW w:w="2508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9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  <w:tcBorders>
              <w:top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3" w:hRule="atLeast"/>
        </w:trPr>
        <w:tc>
          <w:tcPr>
            <w:tcW w:w="3105" w:type="dxa"/>
            <w:tcBorders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sigma_e</w:t>
            </w:r>
          </w:p>
        </w:tc>
        <w:tc>
          <w:tcPr>
            <w:tcW w:w="1205" w:type="dxa"/>
            <w:tcBorders>
              <w:left w:val="dashed" w:sz="6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.28394198</w:t>
            </w:r>
          </w:p>
        </w:tc>
        <w:tc>
          <w:tcPr>
            <w:tcW w:w="250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404" w:hRule="atLeast"/>
        </w:trPr>
        <w:tc>
          <w:tcPr>
            <w:tcW w:w="3105" w:type="dxa"/>
            <w:tcBorders>
              <w:bottom w:val="dashSmallGap" w:sz="8" w:space="0" w:color="000000"/>
              <w:right w:val="dashed" w:sz="6" w:space="0" w:color="000000"/>
            </w:tcBorders>
          </w:tcPr>
          <w:p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w w:val="85"/>
                <w:sz w:val="19"/>
              </w:rPr>
              <w:t>rho</w:t>
            </w:r>
          </w:p>
        </w:tc>
        <w:tc>
          <w:tcPr>
            <w:tcW w:w="1205" w:type="dxa"/>
            <w:tcBorders>
              <w:left w:val="dashed" w:sz="6" w:space="0" w:color="000000"/>
              <w:bottom w:val="dashSmallGap" w:sz="8" w:space="0" w:color="000000"/>
            </w:tcBorders>
          </w:tcPr>
          <w:p>
            <w:pPr>
              <w:pStyle w:val="TableParagraph"/>
              <w:spacing w:before="35"/>
              <w:ind w:right="131"/>
              <w:rPr>
                <w:sz w:val="19"/>
              </w:rPr>
            </w:pPr>
            <w:r>
              <w:rPr>
                <w:w w:val="85"/>
                <w:sz w:val="19"/>
              </w:rPr>
              <w:t>.16773554</w:t>
            </w:r>
          </w:p>
        </w:tc>
        <w:tc>
          <w:tcPr>
            <w:tcW w:w="2508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5"/>
              <w:ind w:right="39"/>
              <w:rPr>
                <w:sz w:val="19"/>
              </w:rPr>
            </w:pPr>
            <w:r>
              <w:rPr>
                <w:w w:val="75"/>
                <w:sz w:val="19"/>
              </w:rPr>
              <w:t>(fraction</w:t>
            </w:r>
            <w:r>
              <w:rPr>
                <w:spacing w:val="47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of</w:t>
            </w:r>
            <w:r>
              <w:rPr>
                <w:spacing w:val="48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variance</w:t>
            </w:r>
            <w:r>
              <w:rPr>
                <w:spacing w:val="48"/>
                <w:w w:val="75"/>
                <w:sz w:val="19"/>
              </w:rPr>
              <w:t> </w:t>
            </w:r>
            <w:r>
              <w:rPr>
                <w:w w:val="75"/>
                <w:sz w:val="19"/>
              </w:rPr>
              <w:t>due</w:t>
            </w:r>
          </w:p>
        </w:tc>
        <w:tc>
          <w:tcPr>
            <w:tcW w:w="279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to</w:t>
            </w:r>
          </w:p>
        </w:tc>
        <w:tc>
          <w:tcPr>
            <w:tcW w:w="1115" w:type="dxa"/>
            <w:tcBorders>
              <w:bottom w:val="dashSmallGap" w:sz="8" w:space="0" w:color="000000"/>
            </w:tcBorders>
          </w:tcPr>
          <w:p>
            <w:pPr>
              <w:pStyle w:val="TableParagraph"/>
              <w:spacing w:before="35"/>
              <w:ind w:left="57"/>
              <w:jc w:val="left"/>
              <w:rPr>
                <w:sz w:val="19"/>
              </w:rPr>
            </w:pPr>
            <w:r>
              <w:rPr>
                <w:w w:val="85"/>
                <w:sz w:val="19"/>
              </w:rPr>
              <w:t>u_i)</w:t>
            </w:r>
          </w:p>
        </w:tc>
        <w:tc>
          <w:tcPr>
            <w:tcW w:w="879" w:type="dxa"/>
            <w:tcBorders>
              <w:bottom w:val="dashSmallGap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2667" w:val="left" w:leader="none"/>
          <w:tab w:pos="4339" w:val="left" w:leader="none"/>
          <w:tab w:pos="5825" w:val="left" w:leader="none"/>
        </w:tabs>
        <w:spacing w:before="178"/>
        <w:ind w:left="159" w:right="0" w:firstLine="0"/>
        <w:jc w:val="left"/>
        <w:rPr>
          <w:rFonts w:ascii="Courier New"/>
          <w:sz w:val="19"/>
        </w:rPr>
      </w:pPr>
      <w:r>
        <w:rPr>
          <w:rFonts w:ascii="Courier New"/>
          <w:w w:val="80"/>
          <w:sz w:val="19"/>
        </w:rPr>
        <w:t>F</w:t>
      </w:r>
      <w:r>
        <w:rPr>
          <w:rFonts w:ascii="Courier New"/>
          <w:spacing w:val="5"/>
          <w:w w:val="80"/>
          <w:sz w:val="19"/>
        </w:rPr>
        <w:t> </w:t>
      </w:r>
      <w:r>
        <w:rPr>
          <w:rFonts w:ascii="Courier New"/>
          <w:w w:val="80"/>
          <w:sz w:val="19"/>
        </w:rPr>
        <w:t>test</w:t>
      </w:r>
      <w:r>
        <w:rPr>
          <w:rFonts w:ascii="Courier New"/>
          <w:spacing w:val="6"/>
          <w:w w:val="80"/>
          <w:sz w:val="19"/>
        </w:rPr>
        <w:t> </w:t>
      </w:r>
      <w:r>
        <w:rPr>
          <w:rFonts w:ascii="Courier New"/>
          <w:w w:val="80"/>
          <w:sz w:val="19"/>
        </w:rPr>
        <w:t>that</w:t>
      </w:r>
      <w:r>
        <w:rPr>
          <w:rFonts w:ascii="Courier New"/>
          <w:spacing w:val="6"/>
          <w:w w:val="80"/>
          <w:sz w:val="19"/>
        </w:rPr>
        <w:t> </w:t>
      </w:r>
      <w:r>
        <w:rPr>
          <w:rFonts w:ascii="Courier New"/>
          <w:w w:val="80"/>
          <w:sz w:val="19"/>
        </w:rPr>
        <w:t>all</w:t>
      </w:r>
      <w:r>
        <w:rPr>
          <w:rFonts w:ascii="Courier New"/>
          <w:spacing w:val="5"/>
          <w:w w:val="80"/>
          <w:sz w:val="19"/>
        </w:rPr>
        <w:t> </w:t>
      </w:r>
      <w:r>
        <w:rPr>
          <w:rFonts w:ascii="Courier New"/>
          <w:w w:val="80"/>
          <w:sz w:val="19"/>
        </w:rPr>
        <w:t>u_i=0:</w:t>
        <w:tab/>
      </w:r>
      <w:r>
        <w:rPr>
          <w:rFonts w:ascii="Courier New"/>
          <w:w w:val="75"/>
          <w:sz w:val="19"/>
        </w:rPr>
        <w:t>F(36,</w:t>
      </w:r>
      <w:r>
        <w:rPr>
          <w:rFonts w:ascii="Courier New"/>
          <w:spacing w:val="34"/>
          <w:w w:val="75"/>
          <w:sz w:val="19"/>
        </w:rPr>
        <w:t> </w:t>
      </w:r>
      <w:r>
        <w:rPr>
          <w:rFonts w:ascii="Courier New"/>
          <w:w w:val="75"/>
          <w:sz w:val="19"/>
        </w:rPr>
        <w:t>26715)</w:t>
      </w:r>
      <w:r>
        <w:rPr>
          <w:rFonts w:ascii="Courier New"/>
          <w:spacing w:val="34"/>
          <w:w w:val="75"/>
          <w:sz w:val="19"/>
        </w:rPr>
        <w:t> </w:t>
      </w:r>
      <w:r>
        <w:rPr>
          <w:rFonts w:ascii="Courier New"/>
          <w:w w:val="75"/>
          <w:sz w:val="19"/>
        </w:rPr>
        <w:t>=</w:t>
        <w:tab/>
      </w:r>
      <w:r>
        <w:rPr>
          <w:rFonts w:ascii="Courier New"/>
          <w:w w:val="85"/>
          <w:sz w:val="19"/>
        </w:rPr>
        <w:t>41.93</w:t>
        <w:tab/>
      </w:r>
      <w:r>
        <w:rPr>
          <w:rFonts w:ascii="Courier New"/>
          <w:w w:val="80"/>
          <w:sz w:val="19"/>
        </w:rPr>
        <w:t>Prob</w:t>
      </w:r>
      <w:r>
        <w:rPr>
          <w:rFonts w:ascii="Courier New"/>
          <w:spacing w:val="4"/>
          <w:w w:val="80"/>
          <w:sz w:val="19"/>
        </w:rPr>
        <w:t> </w:t>
      </w:r>
      <w:r>
        <w:rPr>
          <w:rFonts w:ascii="Courier New"/>
          <w:w w:val="80"/>
          <w:sz w:val="19"/>
        </w:rPr>
        <w:t>&gt;</w:t>
      </w:r>
      <w:r>
        <w:rPr>
          <w:rFonts w:ascii="Courier New"/>
          <w:spacing w:val="5"/>
          <w:w w:val="80"/>
          <w:sz w:val="19"/>
        </w:rPr>
        <w:t> </w:t>
      </w:r>
      <w:r>
        <w:rPr>
          <w:rFonts w:ascii="Courier New"/>
          <w:w w:val="80"/>
          <w:sz w:val="19"/>
        </w:rPr>
        <w:t>F</w:t>
      </w:r>
      <w:r>
        <w:rPr>
          <w:rFonts w:ascii="Courier New"/>
          <w:spacing w:val="4"/>
          <w:w w:val="80"/>
          <w:sz w:val="19"/>
        </w:rPr>
        <w:t> </w:t>
      </w:r>
      <w:r>
        <w:rPr>
          <w:rFonts w:ascii="Courier New"/>
          <w:w w:val="80"/>
          <w:sz w:val="19"/>
        </w:rPr>
        <w:t>=</w:t>
      </w:r>
      <w:r>
        <w:rPr>
          <w:rFonts w:ascii="Courier New"/>
          <w:spacing w:val="5"/>
          <w:w w:val="80"/>
          <w:sz w:val="19"/>
        </w:rPr>
        <w:t> </w:t>
      </w:r>
      <w:r>
        <w:rPr>
          <w:rFonts w:ascii="Courier New"/>
          <w:w w:val="80"/>
          <w:sz w:val="19"/>
        </w:rPr>
        <w:t>0.0000</w:t>
      </w:r>
    </w:p>
    <w:p>
      <w:pPr>
        <w:spacing w:after="0"/>
        <w:jc w:val="left"/>
        <w:rPr>
          <w:rFonts w:ascii="Courier New"/>
          <w:sz w:val="19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7"/>
        <w:jc w:val="center"/>
      </w:pPr>
      <w:r>
        <w:rPr/>
        <w:pict>
          <v:shape style="position:absolute;margin-left:71.567574pt;margin-top:19.325966pt;width:382pt;height:384.55pt;mso-position-horizontal-relative:page;mso-position-vertical-relative:paragraph;z-index:15802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0"/>
                    <w:gridCol w:w="194"/>
                    <w:gridCol w:w="1647"/>
                    <w:gridCol w:w="1255"/>
                    <w:gridCol w:w="532"/>
                    <w:gridCol w:w="387"/>
                    <w:gridCol w:w="629"/>
                    <w:gridCol w:w="387"/>
                    <w:gridCol w:w="145"/>
                    <w:gridCol w:w="1014"/>
                  </w:tblGrid>
                  <w:tr>
                    <w:trPr>
                      <w:trHeight w:val="237" w:hRule="atLeast"/>
                    </w:trPr>
                    <w:tc>
                      <w:tcPr>
                        <w:tcW w:w="3291" w:type="dxa"/>
                        <w:gridSpan w:val="3"/>
                      </w:tcPr>
                      <w:p>
                        <w:pPr>
                          <w:pStyle w:val="TableParagraph"/>
                          <w:spacing w:before="3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Random-effects</w:t>
                        </w:r>
                        <w:r>
                          <w:rPr>
                            <w:spacing w:val="4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GLS</w:t>
                        </w:r>
                        <w:r>
                          <w:rPr>
                            <w:spacing w:val="5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regression</w:t>
                        </w:r>
                      </w:p>
                    </w:tc>
                    <w:tc>
                      <w:tcPr>
                        <w:tcW w:w="3190" w:type="dxa"/>
                        <w:gridSpan w:val="5"/>
                      </w:tcPr>
                      <w:p>
                        <w:pPr>
                          <w:pStyle w:val="TableParagraph"/>
                          <w:spacing w:before="3"/>
                          <w:ind w:left="14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Number</w:t>
                        </w:r>
                        <w:r>
                          <w:rPr>
                            <w:spacing w:val="2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spacing w:val="2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obs</w:t>
                        </w:r>
                      </w:p>
                    </w:tc>
                    <w:tc>
                      <w:tcPr>
                        <w:tcW w:w="145" w:type="dxa"/>
                      </w:tcPr>
                      <w:p>
                        <w:pPr>
                          <w:pStyle w:val="TableParagraph"/>
                          <w:spacing w:before="3"/>
                          <w:ind w:right="2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=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3"/>
                          <w:ind w:right="4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26774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3291" w:type="dxa"/>
                        <w:gridSpan w:val="3"/>
                      </w:tcPr>
                      <w:p>
                        <w:pPr>
                          <w:pStyle w:val="TableParagraph"/>
                          <w:spacing w:line="185" w:lineRule="exact" w:before="32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Group</w:t>
                        </w:r>
                        <w:r>
                          <w:rPr>
                            <w:spacing w:val="3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variable:</w:t>
                        </w:r>
                        <w:r>
                          <w:rPr>
                            <w:spacing w:val="3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state</w:t>
                        </w:r>
                      </w:p>
                    </w:tc>
                    <w:tc>
                      <w:tcPr>
                        <w:tcW w:w="3190" w:type="dxa"/>
                        <w:gridSpan w:val="5"/>
                      </w:tcPr>
                      <w:p>
                        <w:pPr>
                          <w:pStyle w:val="TableParagraph"/>
                          <w:spacing w:line="185" w:lineRule="exact" w:before="32"/>
                          <w:ind w:left="14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Number</w:t>
                        </w:r>
                        <w:r>
                          <w:rPr>
                            <w:spacing w:val="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spacing w:val="2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groups</w:t>
                        </w:r>
                      </w:p>
                    </w:tc>
                    <w:tc>
                      <w:tcPr>
                        <w:tcW w:w="145" w:type="dxa"/>
                      </w:tcPr>
                      <w:p>
                        <w:pPr>
                          <w:pStyle w:val="TableParagraph"/>
                          <w:spacing w:line="185" w:lineRule="exact" w:before="32"/>
                          <w:ind w:right="2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=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85" w:lineRule="exact" w:before="32"/>
                          <w:ind w:right="4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37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R-sq:</w:t>
                        </w:r>
                        <w:r>
                          <w:rPr>
                            <w:spacing w:val="8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within</w:t>
                        </w:r>
                      </w:p>
                    </w:tc>
                    <w:tc>
                      <w:tcPr>
                        <w:tcW w:w="194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=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0.0564</w:t>
                        </w:r>
                      </w:p>
                    </w:tc>
                    <w:tc>
                      <w:tcPr>
                        <w:tcW w:w="1787" w:type="dxa"/>
                        <w:gridSpan w:val="2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9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Obs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per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group: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9"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min</w:t>
                        </w:r>
                      </w:p>
                    </w:tc>
                    <w:tc>
                      <w:tcPr>
                        <w:tcW w:w="145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=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32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between</w:t>
                        </w:r>
                      </w:p>
                    </w:tc>
                    <w:tc>
                      <w:tcPr>
                        <w:tcW w:w="194" w:type="dxa"/>
                      </w:tcPr>
                      <w:p>
                        <w:pPr>
                          <w:pStyle w:val="TableParagraph"/>
                          <w:spacing w:before="32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=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spacing w:before="32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0.9630</w:t>
                        </w:r>
                      </w:p>
                    </w:tc>
                    <w:tc>
                      <w:tcPr>
                        <w:tcW w:w="1787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32"/>
                          <w:ind w:left="19"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avg</w:t>
                        </w:r>
                      </w:p>
                    </w:tc>
                    <w:tc>
                      <w:tcPr>
                        <w:tcW w:w="145" w:type="dxa"/>
                      </w:tcPr>
                      <w:p>
                        <w:pPr>
                          <w:pStyle w:val="TableParagraph"/>
                          <w:spacing w:before="32"/>
                          <w:ind w:right="2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=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32"/>
                          <w:ind w:right="4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723.6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85" w:lineRule="exact" w:before="32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overall</w:t>
                        </w:r>
                      </w:p>
                    </w:tc>
                    <w:tc>
                      <w:tcPr>
                        <w:tcW w:w="194" w:type="dxa"/>
                      </w:tcPr>
                      <w:p>
                        <w:pPr>
                          <w:pStyle w:val="TableParagraph"/>
                          <w:spacing w:line="185" w:lineRule="exact" w:before="32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=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spacing w:line="185" w:lineRule="exact" w:before="32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0.2492</w:t>
                        </w:r>
                      </w:p>
                    </w:tc>
                    <w:tc>
                      <w:tcPr>
                        <w:tcW w:w="1787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line="185" w:lineRule="exact" w:before="32"/>
                          <w:ind w:left="19"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max</w:t>
                        </w:r>
                      </w:p>
                    </w:tc>
                    <w:tc>
                      <w:tcPr>
                        <w:tcW w:w="145" w:type="dxa"/>
                      </w:tcPr>
                      <w:p>
                        <w:pPr>
                          <w:pStyle w:val="TableParagraph"/>
                          <w:spacing w:line="185" w:lineRule="exact" w:before="32"/>
                          <w:ind w:right="2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=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85" w:lineRule="exact" w:before="32"/>
                          <w:ind w:right="4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1367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87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Wald</w:t>
                        </w: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chi2(22)</w:t>
                        </w:r>
                      </w:p>
                    </w:tc>
                    <w:tc>
                      <w:tcPr>
                        <w:tcW w:w="532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=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2305.87</w:t>
                        </w:r>
                      </w:p>
                    </w:tc>
                  </w:tr>
                  <w:tr>
                    <w:trPr>
                      <w:trHeight w:val="658" w:hRule="atLeast"/>
                    </w:trPr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32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corr(u_i,</w:t>
                        </w:r>
                        <w:r>
                          <w:rPr>
                            <w:spacing w:val="3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X)</w:t>
                        </w:r>
                      </w:p>
                    </w:tc>
                    <w:tc>
                      <w:tcPr>
                        <w:tcW w:w="194" w:type="dxa"/>
                      </w:tcPr>
                      <w:p>
                        <w:pPr>
                          <w:pStyle w:val="TableParagraph"/>
                          <w:spacing w:before="32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=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spacing w:before="32"/>
                          <w:ind w:left="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0</w:t>
                        </w:r>
                        <w:r>
                          <w:rPr>
                            <w:spacing w:val="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(assumed)</w:t>
                        </w:r>
                      </w:p>
                    </w:tc>
                    <w:tc>
                      <w:tcPr>
                        <w:tcW w:w="1787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Prob</w:t>
                        </w: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&gt;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chi2</w:t>
                        </w:r>
                      </w:p>
                    </w:tc>
                    <w:tc>
                      <w:tcPr>
                        <w:tcW w:w="532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right="2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=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32"/>
                          <w:ind w:right="4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0.0000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6"/>
                          <w:ind w:left="9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medicalcareconsultation</w:t>
                        </w:r>
                      </w:p>
                    </w:tc>
                    <w:tc>
                      <w:tcPr>
                        <w:tcW w:w="4349" w:type="dxa"/>
                        <w:gridSpan w:val="7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394" w:val="left" w:leader="none"/>
                            <w:tab w:pos="2845" w:val="left" w:leader="none"/>
                            <w:tab w:pos="3329" w:val="left" w:leader="none"/>
                          </w:tabs>
                          <w:spacing w:before="176"/>
                          <w:ind w:left="6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Coef.</w:t>
                          <w:tab/>
                        </w:r>
                        <w:r>
                          <w:rPr>
                            <w:w w:val="85"/>
                            <w:sz w:val="18"/>
                          </w:rPr>
                          <w:t>Std.</w:t>
                        </w:r>
                        <w:r>
                          <w:rPr>
                            <w:spacing w:val="2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Err.</w:t>
                          <w:tab/>
                        </w:r>
                        <w:r>
                          <w:rPr>
                            <w:w w:val="95"/>
                            <w:sz w:val="18"/>
                          </w:rPr>
                          <w:t>z</w:t>
                          <w:tab/>
                          <w:t>P&gt;|z|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6"/>
                          <w:ind w:left="2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familysize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6"/>
                          <w:ind w:right="14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-.0039045</w:t>
                        </w:r>
                      </w:p>
                    </w:tc>
                    <w:tc>
                      <w:tcPr>
                        <w:tcW w:w="919" w:type="dxa"/>
                        <w:gridSpan w:val="2"/>
                      </w:tcPr>
                      <w:p>
                        <w:pPr>
                          <w:pStyle w:val="TableParagraph"/>
                          <w:spacing w:before="176"/>
                          <w:ind w:left="1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.0012186</w:t>
                        </w: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spacing w:before="176"/>
                          <w:ind w:left="3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-3.20</w:t>
                        </w:r>
                      </w:p>
                    </w:tc>
                    <w:tc>
                      <w:tcPr>
                        <w:tcW w:w="1159" w:type="dxa"/>
                        <w:gridSpan w:val="2"/>
                      </w:tcPr>
                      <w:p>
                        <w:pPr>
                          <w:pStyle w:val="TableParagraph"/>
                          <w:spacing w:before="176"/>
                          <w:ind w:left="14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0.001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208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noeducation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-.0029591</w:t>
                        </w:r>
                      </w:p>
                    </w:tc>
                    <w:tc>
                      <w:tcPr>
                        <w:tcW w:w="919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1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.0079977</w:t>
                        </w: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3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1159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14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0.71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59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primaryeducation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.0056452</w:t>
                        </w:r>
                      </w:p>
                    </w:tc>
                    <w:tc>
                      <w:tcPr>
                        <w:tcW w:w="919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1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.0117751</w:t>
                        </w: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1159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14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40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secondaryeducation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-.0019915</w:t>
                        </w:r>
                      </w:p>
                    </w:tc>
                    <w:tc>
                      <w:tcPr>
                        <w:tcW w:w="919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1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.0045997</w:t>
                        </w: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3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1159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69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highereducation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.0654412</w:t>
                        </w:r>
                      </w:p>
                    </w:tc>
                    <w:tc>
                      <w:tcPr>
                        <w:tcW w:w="919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1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.0103242</w:t>
                        </w: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6.3</w:t>
                        </w:r>
                      </w:p>
                    </w:tc>
                    <w:tc>
                      <w:tcPr>
                        <w:tcW w:w="1159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male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-.0036299</w:t>
                        </w:r>
                      </w:p>
                    </w:tc>
                    <w:tc>
                      <w:tcPr>
                        <w:tcW w:w="919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1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.0047405</w:t>
                        </w: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right="1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59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female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.000217</w:t>
                        </w:r>
                      </w:p>
                    </w:tc>
                    <w:tc>
                      <w:tcPr>
                        <w:tcW w:w="919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1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.0074076</w:t>
                        </w: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9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married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.0038657</w:t>
                        </w:r>
                      </w:p>
                    </w:tc>
                    <w:tc>
                      <w:tcPr>
                        <w:tcW w:w="919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1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.0033521</w:t>
                        </w: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9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98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nevermarried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-.0058085</w:t>
                        </w:r>
                      </w:p>
                    </w:tc>
                    <w:tc>
                      <w:tcPr>
                        <w:tcW w:w="919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1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.0105</w:t>
                        </w: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9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88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singleparents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-.0057747</w:t>
                        </w:r>
                      </w:p>
                    </w:tc>
                    <w:tc>
                      <w:tcPr>
                        <w:tcW w:w="919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1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9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widowed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-.009353</w:t>
                        </w:r>
                      </w:p>
                    </w:tc>
                    <w:tc>
                      <w:tcPr>
                        <w:tcW w:w="919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9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yes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4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-.0000779</w:t>
                        </w:r>
                      </w:p>
                    </w:tc>
                    <w:tc>
                      <w:tcPr>
                        <w:tcW w:w="919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9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039" w:hRule="atLeast"/>
                    </w:trPr>
                    <w:tc>
                      <w:tcPr>
                        <w:tcW w:w="3291" w:type="dxa"/>
                        <w:gridSpan w:val="3"/>
                        <w:tcBorders>
                          <w:righ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auto" w:before="32"/>
                          <w:ind w:left="437" w:right="141" w:firstLine="2514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no</w:t>
                        </w:r>
                        <w:r>
                          <w:rPr>
                            <w:spacing w:val="-8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wagesandsalariesincomes</w:t>
                        </w:r>
                        <w:r>
                          <w:rPr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businessenterprisesandtrades</w:t>
                        </w:r>
                      </w:p>
                      <w:p>
                        <w:pPr>
                          <w:pStyle w:val="TableParagraph"/>
                          <w:spacing w:line="185" w:lineRule="exact" w:before="1"/>
                          <w:ind w:right="14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cropandlivestockincomes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dashed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94" w:right="39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-.0104</w:t>
                        </w:r>
                      </w:p>
                      <w:p>
                        <w:pPr>
                          <w:pStyle w:val="TableParagraph"/>
                          <w:spacing w:before="64"/>
                          <w:ind w:right="29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63"/>
                          <w:ind w:right="6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4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19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16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59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L13:</w:t>
      </w:r>
      <w:r>
        <w:rPr>
          <w:spacing w:val="-2"/>
        </w:rPr>
        <w:t> </w:t>
      </w:r>
      <w:r>
        <w:rPr/>
        <w:t>RANDOM</w:t>
      </w:r>
      <w:r>
        <w:rPr>
          <w:spacing w:val="-1"/>
        </w:rPr>
        <w:t> </w:t>
      </w:r>
      <w:r>
        <w:rPr/>
        <w:t>EFFECT FOR</w:t>
      </w:r>
      <w:r>
        <w:rPr>
          <w:spacing w:val="-2"/>
        </w:rPr>
        <w:t> </w:t>
      </w:r>
      <w:r>
        <w:rPr/>
        <w:t>WAVE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74.404678pt;margin-top:13.357254pt;width:400.05pt;height:.85pt;mso-position-horizontal-relative:page;mso-position-vertical-relative:paragraph;z-index:-15656960;mso-wrap-distance-left:0;mso-wrap-distance-right:0" coordorigin="1488,267" coordsize="8001,17">
            <v:line style="position:absolute" from="1488,276" to="4763,276" stroked="true" strokeweight=".841591pt" strokecolor="#000000">
              <v:stroke dashstyle="shortdash"/>
            </v:line>
            <v:rect style="position:absolute;left:4776;top:267;width:83;height:17" filled="true" fillcolor="#000000" stroked="false">
              <v:fill type="solid"/>
            </v:rect>
            <v:line style="position:absolute" from="4874,276" to="9406,276" stroked="true" strokeweight=".841591pt" strokecolor="#000000">
              <v:stroke dashstyle="shortdash"/>
            </v:line>
            <v:shape style="position:absolute;left:9419;top:267;width:70;height:17" coordorigin="9420,267" coordsize="70,17" path="m9489,267l9420,267,9420,284,9472,284,9489,26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before="138"/>
        <w:ind w:left="0" w:right="2023" w:firstLine="0"/>
        <w:jc w:val="right"/>
        <w:rPr>
          <w:rFonts w:ascii="Courier New"/>
          <w:sz w:val="18"/>
        </w:rPr>
      </w:pPr>
      <w:r>
        <w:rPr>
          <w:rFonts w:ascii="Courier New"/>
          <w:w w:val="95"/>
          <w:sz w:val="18"/>
        </w:rPr>
        <w:t>[9</w:t>
      </w:r>
    </w:p>
    <w:p>
      <w:pPr>
        <w:pStyle w:val="BodyText"/>
        <w:spacing w:before="4"/>
        <w:rPr>
          <w:rFonts w:ascii="Courier New"/>
          <w:sz w:val="9"/>
        </w:rPr>
      </w:pPr>
      <w:r>
        <w:rPr/>
        <w:pict>
          <v:group style="position:absolute;margin-left:74.404678pt;margin-top:7.316236pt;width:373.7pt;height:.85pt;mso-position-horizontal-relative:page;mso-position-vertical-relative:paragraph;z-index:-15656448;mso-wrap-distance-left:0;mso-wrap-distance-right:0" coordorigin="1488,146" coordsize="7474,17">
            <v:line style="position:absolute" from="1488,155" to="4763,155" stroked="true" strokeweight=".841591pt" strokecolor="#000000">
              <v:stroke dashstyle="shortdash"/>
            </v:line>
            <v:rect style="position:absolute;left:4776;top:146;width:83;height:17" filled="true" fillcolor="#000000" stroked="false">
              <v:fill type="solid"/>
            </v:rect>
            <v:line style="position:absolute" from="4874,155" to="8922,155" stroked="true" strokeweight=".841591pt" strokecolor="#000000">
              <v:stroke dashstyle="shortdash"/>
            </v:line>
            <v:shape style="position:absolute;left:8936;top:146;width:26;height:17" coordorigin="8936,146" coordsize="26,17" path="m8962,146l8936,146,8936,163,8945,163,8962,146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20"/>
        </w:rPr>
      </w:pPr>
    </w:p>
    <w:p>
      <w:pPr>
        <w:spacing w:line="314" w:lineRule="auto" w:before="103"/>
        <w:ind w:left="2482" w:right="6317" w:hanging="291"/>
        <w:jc w:val="left"/>
        <w:rPr>
          <w:rFonts w:ascii="Courier New"/>
          <w:sz w:val="18"/>
        </w:rPr>
      </w:pPr>
      <w:r>
        <w:rPr>
          <w:rFonts w:ascii="Courier New"/>
          <w:w w:val="85"/>
          <w:sz w:val="18"/>
        </w:rPr>
        <w:t>remittance</w:t>
      </w:r>
      <w:r>
        <w:rPr>
          <w:rFonts w:ascii="Courier New"/>
          <w:spacing w:val="-89"/>
          <w:w w:val="85"/>
          <w:sz w:val="18"/>
        </w:rPr>
        <w:t> </w:t>
      </w:r>
      <w:r>
        <w:rPr>
          <w:rFonts w:ascii="Courier New"/>
          <w:w w:val="95"/>
          <w:sz w:val="18"/>
        </w:rPr>
        <w:t>pensi</w:t>
      </w:r>
    </w:p>
    <w:p>
      <w:pPr>
        <w:spacing w:line="314" w:lineRule="auto" w:before="0"/>
        <w:ind w:left="161" w:right="5478" w:firstLine="290"/>
        <w:jc w:val="left"/>
        <w:rPr>
          <w:rFonts w:ascii="Courier New"/>
          <w:sz w:val="18"/>
        </w:rPr>
      </w:pPr>
      <w:r>
        <w:rPr>
          <w:rFonts w:ascii="Courier New"/>
          <w:w w:val="85"/>
          <w:sz w:val="18"/>
        </w:rPr>
        <w:t>monetarytransferandassi</w:t>
      </w:r>
      <w:r>
        <w:rPr>
          <w:rFonts w:ascii="Courier New"/>
          <w:spacing w:val="1"/>
          <w:w w:val="85"/>
          <w:sz w:val="18"/>
        </w:rPr>
        <w:t> </w:t>
      </w:r>
      <w:r>
        <w:rPr>
          <w:rFonts w:ascii="Courier New"/>
          <w:w w:val="90"/>
          <w:sz w:val="18"/>
        </w:rPr>
        <w:t>dividendfrominterestand</w:t>
      </w:r>
    </w:p>
    <w:p>
      <w:pPr>
        <w:spacing w:line="204" w:lineRule="exact" w:before="0"/>
        <w:ind w:left="1322" w:right="0" w:firstLine="0"/>
        <w:jc w:val="left"/>
        <w:rPr>
          <w:rFonts w:ascii="Courier New"/>
          <w:sz w:val="18"/>
        </w:rPr>
      </w:pPr>
      <w:r>
        <w:rPr>
          <w:rFonts w:ascii="Courier New"/>
          <w:w w:val="95"/>
          <w:sz w:val="18"/>
        </w:rPr>
        <w:t>incomefr</w:t>
      </w:r>
    </w:p>
    <w:p>
      <w:pPr>
        <w:spacing w:before="64"/>
        <w:ind w:left="1806" w:right="0" w:firstLine="0"/>
        <w:jc w:val="left"/>
        <w:rPr>
          <w:rFonts w:ascii="Courier New"/>
          <w:sz w:val="18"/>
        </w:rPr>
      </w:pPr>
      <w:r>
        <w:rPr>
          <w:rFonts w:ascii="Courier New"/>
          <w:w w:val="84"/>
          <w:sz w:val="18"/>
        </w:rPr>
        <w:t>g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1"/>
        <w:rPr>
          <w:rFonts w:ascii="Courier New"/>
          <w:sz w:val="12"/>
        </w:rPr>
      </w:pPr>
      <w:r>
        <w:rPr/>
        <w:pict>
          <v:group style="position:absolute;margin-left:74.404678pt;margin-top:9.33797pt;width:57.4pt;height:.85pt;mso-position-horizontal-relative:page;mso-position-vertical-relative:paragraph;z-index:-15655936;mso-wrap-distance-left:0;mso-wrap-distance-right:0" coordorigin="1488,187" coordsize="1148,17">
            <v:rect style="position:absolute;left:1488;top:186;width:84;height:17" filled="true" fillcolor="#000000" stroked="false">
              <v:fill type="solid"/>
            </v:rect>
            <v:line style="position:absolute" from="1585,195" to="2539,195" stroked="true" strokeweight=".841591pt" strokecolor="#000000">
              <v:stroke dashstyle="shortdash"/>
            </v:line>
            <v:shape style="position:absolute;left:2552;top:186;width:84;height:17" coordorigin="2552,187" coordsize="84,17" path="m2635,187l2552,187,2552,204,2619,204,2635,18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26"/>
        </w:rPr>
      </w:pPr>
      <w:r>
        <w:rPr/>
        <w:pict>
          <v:shape style="position:absolute;margin-left:74.404686pt;margin-top:17.127638pt;width:4.2pt;height:.85pt;mso-position-horizontal-relative:page;mso-position-vertical-relative:paragraph;z-index:-15655424;mso-wrap-distance-left:0;mso-wrap-distance-right:0" coordorigin="1488,343" coordsize="84,17" path="m1571,343l1488,343,1488,359,1565,359,1571,353,1571,34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Courier New"/>
          <w:sz w:val="26"/>
        </w:rPr>
        <w:sectPr>
          <w:pgSz w:w="12240" w:h="15840"/>
          <w:pgMar w:header="0" w:footer="935" w:top="1360" w:bottom="1200" w:left="1320" w:right="1000"/>
        </w:sectPr>
      </w:pPr>
    </w:p>
    <w:p>
      <w:pPr>
        <w:pStyle w:val="BodyText"/>
        <w:spacing w:before="72"/>
        <w:ind w:left="197" w:right="517"/>
        <w:jc w:val="center"/>
      </w:pPr>
      <w:r>
        <w:rPr/>
        <w:t>TABLE</w:t>
      </w:r>
      <w:r>
        <w:rPr>
          <w:spacing w:val="-1"/>
        </w:rPr>
        <w:t> </w:t>
      </w:r>
      <w:r>
        <w:rPr/>
        <w:t>L14:</w:t>
      </w:r>
      <w:r>
        <w:rPr>
          <w:spacing w:val="-2"/>
        </w:rPr>
        <w:t> </w:t>
      </w:r>
      <w:r>
        <w:rPr/>
        <w:t>HOMOGENEITY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WAVE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spacing w:before="8"/>
        <w:rPr>
          <w:sz w:val="13"/>
        </w:rPr>
      </w:pPr>
    </w:p>
    <w:p>
      <w:pPr>
        <w:spacing w:before="103"/>
        <w:ind w:left="170" w:right="0" w:firstLine="0"/>
        <w:jc w:val="left"/>
        <w:rPr>
          <w:rFonts w:ascii="Courier New"/>
          <w:sz w:val="15"/>
        </w:rPr>
      </w:pPr>
      <w:r>
        <w:rPr>
          <w:rFonts w:ascii="Courier New"/>
          <w:w w:val="125"/>
          <w:sz w:val="15"/>
        </w:rPr>
        <w:t>Breusch</w:t>
      </w:r>
      <w:r>
        <w:rPr>
          <w:rFonts w:ascii="Courier New"/>
          <w:spacing w:val="32"/>
          <w:w w:val="125"/>
          <w:sz w:val="15"/>
        </w:rPr>
        <w:t> </w:t>
      </w:r>
      <w:r>
        <w:rPr>
          <w:rFonts w:ascii="Courier New"/>
          <w:w w:val="125"/>
          <w:sz w:val="15"/>
        </w:rPr>
        <w:t>and</w:t>
      </w:r>
      <w:r>
        <w:rPr>
          <w:rFonts w:ascii="Courier New"/>
          <w:spacing w:val="32"/>
          <w:w w:val="125"/>
          <w:sz w:val="15"/>
        </w:rPr>
        <w:t> </w:t>
      </w:r>
      <w:r>
        <w:rPr>
          <w:rFonts w:ascii="Courier New"/>
          <w:w w:val="125"/>
          <w:sz w:val="15"/>
        </w:rPr>
        <w:t>Pagan</w:t>
      </w:r>
      <w:r>
        <w:rPr>
          <w:rFonts w:ascii="Courier New"/>
          <w:spacing w:val="31"/>
          <w:w w:val="125"/>
          <w:sz w:val="15"/>
        </w:rPr>
        <w:t> </w:t>
      </w:r>
      <w:r>
        <w:rPr>
          <w:rFonts w:ascii="Courier New"/>
          <w:w w:val="125"/>
          <w:sz w:val="15"/>
        </w:rPr>
        <w:t>Lagrangian</w:t>
      </w:r>
      <w:r>
        <w:rPr>
          <w:rFonts w:ascii="Courier New"/>
          <w:spacing w:val="32"/>
          <w:w w:val="125"/>
          <w:sz w:val="15"/>
        </w:rPr>
        <w:t> </w:t>
      </w:r>
      <w:r>
        <w:rPr>
          <w:rFonts w:ascii="Courier New"/>
          <w:w w:val="125"/>
          <w:sz w:val="15"/>
        </w:rPr>
        <w:t>multiplier</w:t>
      </w:r>
      <w:r>
        <w:rPr>
          <w:rFonts w:ascii="Courier New"/>
          <w:spacing w:val="32"/>
          <w:w w:val="125"/>
          <w:sz w:val="15"/>
        </w:rPr>
        <w:t> </w:t>
      </w:r>
      <w:r>
        <w:rPr>
          <w:rFonts w:ascii="Courier New"/>
          <w:w w:val="125"/>
          <w:sz w:val="15"/>
        </w:rPr>
        <w:t>test</w:t>
      </w:r>
      <w:r>
        <w:rPr>
          <w:rFonts w:ascii="Courier New"/>
          <w:spacing w:val="32"/>
          <w:w w:val="125"/>
          <w:sz w:val="15"/>
        </w:rPr>
        <w:t> </w:t>
      </w:r>
      <w:r>
        <w:rPr>
          <w:rFonts w:ascii="Courier New"/>
          <w:w w:val="125"/>
          <w:sz w:val="15"/>
        </w:rPr>
        <w:t>for</w:t>
      </w:r>
      <w:r>
        <w:rPr>
          <w:rFonts w:ascii="Courier New"/>
          <w:spacing w:val="32"/>
          <w:w w:val="125"/>
          <w:sz w:val="15"/>
        </w:rPr>
        <w:t> </w:t>
      </w:r>
      <w:r>
        <w:rPr>
          <w:rFonts w:ascii="Courier New"/>
          <w:w w:val="125"/>
          <w:sz w:val="15"/>
        </w:rPr>
        <w:t>random</w:t>
      </w:r>
      <w:r>
        <w:rPr>
          <w:rFonts w:ascii="Courier New"/>
          <w:spacing w:val="32"/>
          <w:w w:val="125"/>
          <w:sz w:val="15"/>
        </w:rPr>
        <w:t> </w:t>
      </w:r>
      <w:r>
        <w:rPr>
          <w:rFonts w:ascii="Courier New"/>
          <w:w w:val="125"/>
          <w:sz w:val="15"/>
        </w:rPr>
        <w:t>effects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103"/>
        <w:ind w:left="1106" w:right="0" w:firstLine="0"/>
        <w:jc w:val="left"/>
        <w:rPr>
          <w:rFonts w:ascii="Courier New"/>
          <w:sz w:val="15"/>
        </w:rPr>
      </w:pPr>
      <w:r>
        <w:rPr>
          <w:rFonts w:ascii="Courier New"/>
          <w:w w:val="125"/>
          <w:sz w:val="15"/>
        </w:rPr>
        <w:t>medicalcareconsultation[state,t]</w:t>
      </w:r>
      <w:r>
        <w:rPr>
          <w:rFonts w:ascii="Courier New"/>
          <w:spacing w:val="39"/>
          <w:w w:val="125"/>
          <w:sz w:val="15"/>
        </w:rPr>
        <w:t> </w:t>
      </w:r>
      <w:r>
        <w:rPr>
          <w:rFonts w:ascii="Courier New"/>
          <w:w w:val="125"/>
          <w:sz w:val="15"/>
        </w:rPr>
        <w:t>=</w:t>
      </w:r>
      <w:r>
        <w:rPr>
          <w:rFonts w:ascii="Courier New"/>
          <w:spacing w:val="39"/>
          <w:w w:val="125"/>
          <w:sz w:val="15"/>
        </w:rPr>
        <w:t> </w:t>
      </w:r>
      <w:r>
        <w:rPr>
          <w:rFonts w:ascii="Courier New"/>
          <w:w w:val="125"/>
          <w:sz w:val="15"/>
        </w:rPr>
        <w:t>Xb</w:t>
      </w:r>
      <w:r>
        <w:rPr>
          <w:rFonts w:ascii="Courier New"/>
          <w:spacing w:val="39"/>
          <w:w w:val="125"/>
          <w:sz w:val="15"/>
        </w:rPr>
        <w:t> </w:t>
      </w:r>
      <w:r>
        <w:rPr>
          <w:rFonts w:ascii="Courier New"/>
          <w:w w:val="125"/>
          <w:sz w:val="15"/>
        </w:rPr>
        <w:t>+</w:t>
      </w:r>
      <w:r>
        <w:rPr>
          <w:rFonts w:ascii="Courier New"/>
          <w:spacing w:val="39"/>
          <w:w w:val="125"/>
          <w:sz w:val="15"/>
        </w:rPr>
        <w:t> </w:t>
      </w:r>
      <w:r>
        <w:rPr>
          <w:rFonts w:ascii="Courier New"/>
          <w:w w:val="125"/>
          <w:sz w:val="15"/>
        </w:rPr>
        <w:t>u[state]</w:t>
      </w:r>
      <w:r>
        <w:rPr>
          <w:rFonts w:ascii="Courier New"/>
          <w:spacing w:val="40"/>
          <w:w w:val="125"/>
          <w:sz w:val="15"/>
        </w:rPr>
        <w:t> </w:t>
      </w:r>
      <w:r>
        <w:rPr>
          <w:rFonts w:ascii="Courier New"/>
          <w:w w:val="125"/>
          <w:sz w:val="15"/>
        </w:rPr>
        <w:t>+</w:t>
      </w:r>
      <w:r>
        <w:rPr>
          <w:rFonts w:ascii="Courier New"/>
          <w:spacing w:val="39"/>
          <w:w w:val="125"/>
          <w:sz w:val="15"/>
        </w:rPr>
        <w:t> </w:t>
      </w:r>
      <w:r>
        <w:rPr>
          <w:rFonts w:ascii="Courier New"/>
          <w:w w:val="125"/>
          <w:sz w:val="15"/>
        </w:rPr>
        <w:t>e[state,t]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before="103"/>
        <w:ind w:left="197" w:right="5802" w:firstLine="0"/>
        <w:jc w:val="center"/>
        <w:rPr>
          <w:rFonts w:ascii="Courier New"/>
          <w:sz w:val="15"/>
        </w:rPr>
      </w:pPr>
      <w:r>
        <w:rPr>
          <w:rFonts w:ascii="Courier New"/>
          <w:w w:val="125"/>
          <w:sz w:val="15"/>
        </w:rPr>
        <w:t>Estimated</w:t>
      </w:r>
      <w:r>
        <w:rPr>
          <w:rFonts w:ascii="Courier New"/>
          <w:spacing w:val="51"/>
          <w:w w:val="125"/>
          <w:sz w:val="15"/>
        </w:rPr>
        <w:t> </w:t>
      </w:r>
      <w:r>
        <w:rPr>
          <w:rFonts w:ascii="Courier New"/>
          <w:w w:val="125"/>
          <w:sz w:val="15"/>
        </w:rPr>
        <w:t>results:</w:t>
      </w:r>
    </w:p>
    <w:p>
      <w:pPr>
        <w:tabs>
          <w:tab w:pos="1648" w:val="left" w:leader="none"/>
        </w:tabs>
        <w:spacing w:before="54"/>
        <w:ind w:left="712" w:right="0" w:firstLine="0"/>
        <w:jc w:val="center"/>
        <w:rPr>
          <w:rFonts w:ascii="Courier New"/>
          <w:sz w:val="15"/>
        </w:rPr>
      </w:pPr>
      <w:r>
        <w:rPr/>
        <w:pict>
          <v:group style="position:absolute;margin-left:168.525696pt;margin-top:1.610993pt;width:192.05pt;height:55.2pt;mso-position-horizontal-relative:page;mso-position-vertical-relative:paragraph;z-index:-43034112" coordorigin="3371,32" coordsize="3841,1104">
            <v:shape style="position:absolute;left:4465;top:479;width:17;height:657" coordorigin="4466,479" coordsize="17,657" path="m4482,926l4466,926,4466,1136,4482,1136,4482,926xm4482,702l4466,702,4466,912,4482,912,4482,702xm4482,479l4466,479,4466,688,4482,688,4482,479xe" filled="true" fillcolor="#000000" stroked="false">
              <v:path arrowok="t"/>
              <v:fill type="solid"/>
            </v:shape>
            <v:line style="position:absolute" from="3371,353" to="4524,353" stroked="true" strokeweight=".701308pt" strokecolor="#000000">
              <v:stroke dashstyle="shortdash"/>
            </v:line>
            <v:shape style="position:absolute;left:4465;top:255;width:176;height:210" coordorigin="4466,255" coordsize="176,210" path="m4482,255l4466,255,4466,465,4482,465,4482,255xm4641,346l4541,346,4541,360,4641,360,4641,346xe" filled="true" fillcolor="#000000" stroked="false">
              <v:path arrowok="t"/>
              <v:fill type="solid"/>
            </v:shape>
            <v:line style="position:absolute" from="4658,353" to="7099,353" stroked="true" strokeweight=".701308pt" strokecolor="#000000">
              <v:stroke dashstyle="shortdash"/>
            </v:line>
            <v:shape style="position:absolute;left:4465;top:32;width:2746;height:328" coordorigin="4466,32" coordsize="2746,328" path="m4482,32l4466,32,4466,241,4482,241,4482,32xm7211,346l7116,346,7116,360,7169,360,7211,3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ourier New"/>
          <w:w w:val="125"/>
          <w:sz w:val="15"/>
        </w:rPr>
        <w:t>Var</w:t>
        <w:tab/>
        <w:t>sd</w:t>
      </w:r>
      <w:r>
        <w:rPr>
          <w:rFonts w:ascii="Courier New"/>
          <w:spacing w:val="23"/>
          <w:w w:val="125"/>
          <w:sz w:val="15"/>
        </w:rPr>
        <w:t> </w:t>
      </w:r>
      <w:r>
        <w:rPr>
          <w:rFonts w:ascii="Courier New"/>
          <w:w w:val="125"/>
          <w:sz w:val="15"/>
        </w:rPr>
        <w:t>=</w:t>
      </w:r>
      <w:r>
        <w:rPr>
          <w:rFonts w:ascii="Courier New"/>
          <w:spacing w:val="24"/>
          <w:w w:val="125"/>
          <w:sz w:val="15"/>
        </w:rPr>
        <w:t> </w:t>
      </w:r>
      <w:r>
        <w:rPr>
          <w:rFonts w:ascii="Courier New"/>
          <w:w w:val="125"/>
          <w:sz w:val="15"/>
        </w:rPr>
        <w:t>sqrt(Var)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pgSz w:w="12240" w:h="15840"/>
          <w:pgMar w:header="0" w:footer="935" w:top="1360" w:bottom="1200" w:left="1320" w:right="1000"/>
        </w:sectPr>
      </w:pPr>
    </w:p>
    <w:p>
      <w:pPr>
        <w:spacing w:before="103"/>
        <w:ind w:left="0" w:right="0" w:firstLine="0"/>
        <w:jc w:val="right"/>
        <w:rPr>
          <w:rFonts w:ascii="Courier New"/>
          <w:sz w:val="15"/>
        </w:rPr>
      </w:pPr>
      <w:r>
        <w:rPr>
          <w:rFonts w:ascii="Courier New"/>
          <w:w w:val="125"/>
          <w:sz w:val="15"/>
        </w:rPr>
        <w:t>medical~n</w:t>
      </w:r>
    </w:p>
    <w:p>
      <w:pPr>
        <w:spacing w:line="314" w:lineRule="auto" w:before="54"/>
        <w:ind w:left="2776" w:right="0" w:firstLine="0"/>
        <w:jc w:val="right"/>
        <w:rPr>
          <w:rFonts w:ascii="Courier New"/>
          <w:sz w:val="15"/>
        </w:rPr>
      </w:pPr>
      <w:r>
        <w:rPr>
          <w:rFonts w:ascii="Courier New"/>
          <w:w w:val="120"/>
          <w:sz w:val="15"/>
        </w:rPr>
        <w:t>e</w:t>
      </w:r>
      <w:r>
        <w:rPr>
          <w:rFonts w:ascii="Courier New"/>
          <w:spacing w:val="-106"/>
          <w:w w:val="120"/>
          <w:sz w:val="15"/>
        </w:rPr>
        <w:t> </w:t>
      </w:r>
      <w:r>
        <w:rPr>
          <w:rFonts w:ascii="Courier New"/>
          <w:w w:val="120"/>
          <w:sz w:val="15"/>
        </w:rPr>
        <w:t> u</w:t>
      </w:r>
    </w:p>
    <w:p>
      <w:pPr>
        <w:spacing w:before="103"/>
        <w:ind w:left="0" w:right="5424" w:firstLine="0"/>
        <w:jc w:val="right"/>
        <w:rPr>
          <w:rFonts w:ascii="Courier New"/>
          <w:sz w:val="15"/>
        </w:rPr>
      </w:pPr>
      <w:r>
        <w:rPr/>
        <w:br w:type="column"/>
      </w:r>
      <w:r>
        <w:rPr>
          <w:rFonts w:ascii="Courier New"/>
          <w:w w:val="125"/>
          <w:sz w:val="15"/>
        </w:rPr>
        <w:t>.1136394</w:t>
      </w:r>
    </w:p>
    <w:p>
      <w:pPr>
        <w:spacing w:before="54"/>
        <w:ind w:left="0" w:right="5424" w:firstLine="0"/>
        <w:jc w:val="right"/>
        <w:rPr>
          <w:rFonts w:ascii="Courier New"/>
          <w:sz w:val="15"/>
        </w:rPr>
      </w:pPr>
      <w:r>
        <w:rPr>
          <w:rFonts w:ascii="Courier New"/>
          <w:w w:val="125"/>
          <w:sz w:val="15"/>
        </w:rPr>
        <w:t>.080623</w:t>
      </w:r>
    </w:p>
    <w:p>
      <w:pPr>
        <w:spacing w:before="53"/>
        <w:ind w:left="551" w:right="0" w:firstLine="0"/>
        <w:jc w:val="left"/>
        <w:rPr>
          <w:rFonts w:ascii="Courier New"/>
          <w:sz w:val="15"/>
        </w:rPr>
      </w:pPr>
      <w:r>
        <w:rPr>
          <w:rFonts w:ascii="Courier New"/>
          <w:w w:val="125"/>
          <w:sz w:val="15"/>
        </w:rPr>
        <w:t>.00</w:t>
      </w:r>
    </w:p>
    <w:p>
      <w:pPr>
        <w:spacing w:after="0"/>
        <w:jc w:val="left"/>
        <w:rPr>
          <w:rFonts w:ascii="Courier New"/>
          <w:sz w:val="15"/>
        </w:rPr>
        <w:sectPr>
          <w:type w:val="continuous"/>
          <w:pgSz w:w="12240" w:h="15840"/>
          <w:pgMar w:top="1380" w:bottom="280" w:left="1320" w:right="1000"/>
          <w:cols w:num="2" w:equalWidth="0">
            <w:col w:w="2973" w:space="40"/>
            <w:col w:w="6907"/>
          </w:cols>
        </w:sectPr>
      </w:pPr>
    </w:p>
    <w:p>
      <w:pPr>
        <w:pStyle w:val="BodyText"/>
        <w:spacing w:before="9"/>
        <w:rPr>
          <w:rFonts w:ascii="Courier New"/>
          <w:sz w:val="10"/>
        </w:rPr>
      </w:pPr>
    </w:p>
    <w:p>
      <w:pPr>
        <w:tabs>
          <w:tab w:pos="2042" w:val="left" w:leader="none"/>
        </w:tabs>
        <w:spacing w:before="103"/>
        <w:ind w:left="1106" w:right="0" w:firstLine="0"/>
        <w:jc w:val="left"/>
        <w:rPr>
          <w:rFonts w:ascii="Courier New"/>
          <w:sz w:val="15"/>
        </w:rPr>
      </w:pPr>
      <w:r>
        <w:rPr>
          <w:rFonts w:ascii="Courier New"/>
          <w:w w:val="125"/>
          <w:sz w:val="15"/>
        </w:rPr>
        <w:t>Test:</w:t>
        <w:tab/>
        <w:t>Var(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28"/>
        <w:ind w:left="197" w:right="515"/>
        <w:jc w:val="center"/>
      </w:pPr>
      <w:r>
        <w:rPr/>
        <w:t>TABLE</w:t>
      </w:r>
      <w:r>
        <w:rPr>
          <w:spacing w:val="-1"/>
        </w:rPr>
        <w:t> </w:t>
      </w:r>
      <w:r>
        <w:rPr/>
        <w:t>L15:</w:t>
      </w:r>
      <w:r>
        <w:rPr>
          <w:spacing w:val="-1"/>
        </w:rPr>
        <w:t> </w:t>
      </w:r>
      <w:r>
        <w:rPr/>
        <w:t>HAUSMAN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WAVE III</w:t>
      </w:r>
    </w:p>
    <w:p>
      <w:pPr>
        <w:pStyle w:val="BodyText"/>
        <w:spacing w:before="3"/>
        <w:rPr>
          <w:sz w:val="14"/>
        </w:rPr>
      </w:pPr>
    </w:p>
    <w:p>
      <w:pPr>
        <w:spacing w:before="99" w:after="31"/>
        <w:ind w:left="2528" w:right="0" w:firstLine="0"/>
        <w:jc w:val="left"/>
        <w:rPr>
          <w:rFonts w:ascii="Courier New"/>
          <w:sz w:val="16"/>
        </w:rPr>
      </w:pPr>
      <w:r>
        <w:rPr/>
        <w:pict>
          <v:shape style="position:absolute;margin-left:165.966125pt;margin-top:9.079384pt;width:20.75pt;height:.1pt;mso-position-horizontal-relative:page;mso-position-vertical-relative:paragraph;z-index:15803392" coordorigin="3319,182" coordsize="415,0" path="m3319,182l3411,182m3427,182l3518,182m3534,182l3626,182m3641,182l3734,182e" filled="false" stroked="true" strokeweight=".749807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62.599518pt;margin-top:9.079384pt;width:20.75pt;height:.1pt;mso-position-horizontal-relative:page;mso-position-vertical-relative:paragraph;z-index:15803904" coordorigin="5252,182" coordsize="415,0" path="m5252,182l5344,182m5359,182l5452,182m5467,182l5559,182m5574,182l5666,182e" filled="false" stroked="true" strokeweight=".749807pt" strokecolor="#000000">
            <v:path arrowok="t"/>
            <v:stroke dashstyle="solid"/>
            <w10:wrap type="none"/>
          </v:shape>
        </w:pict>
      </w:r>
      <w:r>
        <w:rPr>
          <w:rFonts w:ascii="Courier New"/>
          <w:w w:val="105"/>
          <w:sz w:val="16"/>
        </w:rPr>
        <w:t>Coefficients</w:t>
      </w:r>
    </w:p>
    <w:tbl>
      <w:tblPr>
        <w:tblW w:w="0" w:type="auto"/>
        <w:jc w:val="left"/>
        <w:tblInd w:w="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2"/>
        <w:gridCol w:w="1554"/>
        <w:gridCol w:w="1504"/>
        <w:gridCol w:w="1558"/>
        <w:gridCol w:w="2305"/>
      </w:tblGrid>
      <w:tr>
        <w:trPr>
          <w:trHeight w:val="554" w:hRule="atLeast"/>
        </w:trPr>
        <w:tc>
          <w:tcPr>
            <w:tcW w:w="1442" w:type="dxa"/>
            <w:tcBorders>
              <w:bottom w:val="dashSmallGap" w:sz="6" w:space="0" w:color="000000"/>
              <w:right w:val="dashed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58" w:type="dxa"/>
            <w:gridSpan w:val="2"/>
            <w:tcBorders>
              <w:left w:val="dashed" w:sz="8" w:space="0" w:color="000000"/>
              <w:bottom w:val="dashSmallGap" w:sz="6" w:space="0" w:color="000000"/>
            </w:tcBorders>
          </w:tcPr>
          <w:p>
            <w:pPr>
              <w:pStyle w:val="TableParagraph"/>
              <w:tabs>
                <w:tab w:pos="1396" w:val="left" w:leader="none"/>
              </w:tabs>
              <w:spacing w:before="18"/>
              <w:ind w:right="638"/>
              <w:rPr>
                <w:sz w:val="16"/>
              </w:rPr>
            </w:pPr>
            <w:r>
              <w:rPr>
                <w:w w:val="105"/>
                <w:sz w:val="16"/>
              </w:rPr>
              <w:t>(b)</w:t>
              <w:tab/>
              <w:t>(B)</w:t>
            </w:r>
          </w:p>
          <w:p>
            <w:pPr>
              <w:pStyle w:val="TableParagraph"/>
              <w:tabs>
                <w:tab w:pos="1396" w:val="left" w:leader="none"/>
              </w:tabs>
              <w:spacing w:before="49"/>
              <w:ind w:right="638"/>
              <w:rPr>
                <w:sz w:val="16"/>
              </w:rPr>
            </w:pPr>
            <w:r>
              <w:rPr>
                <w:w w:val="105"/>
                <w:sz w:val="16"/>
              </w:rPr>
              <w:t>re</w:t>
              <w:tab/>
              <w:t>fe</w:t>
            </w:r>
          </w:p>
        </w:tc>
        <w:tc>
          <w:tcPr>
            <w:tcW w:w="1558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18"/>
              <w:ind w:left="65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(b-B)</w:t>
            </w:r>
          </w:p>
          <w:p>
            <w:pPr>
              <w:pStyle w:val="TableParagraph"/>
              <w:spacing w:before="49"/>
              <w:ind w:left="33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Difference</w:t>
            </w:r>
          </w:p>
        </w:tc>
        <w:tc>
          <w:tcPr>
            <w:tcW w:w="2305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line="304" w:lineRule="auto" w:before="18"/>
              <w:ind w:left="922" w:hanging="75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sqrt(diag(V_b-V_B))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S.E.</w:t>
            </w:r>
          </w:p>
        </w:tc>
      </w:tr>
      <w:tr>
        <w:trPr>
          <w:trHeight w:val="346" w:hRule="atLeast"/>
        </w:trPr>
        <w:tc>
          <w:tcPr>
            <w:tcW w:w="1442" w:type="dxa"/>
            <w:tcBorders>
              <w:top w:val="dashSmallGap" w:sz="6" w:space="0" w:color="000000"/>
              <w:right w:val="dashed" w:sz="8" w:space="0" w:color="000000"/>
            </w:tcBorders>
          </w:tcPr>
          <w:p>
            <w:pPr>
              <w:pStyle w:val="TableParagraph"/>
              <w:spacing w:before="140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familysize</w:t>
            </w:r>
          </w:p>
        </w:tc>
        <w:tc>
          <w:tcPr>
            <w:tcW w:w="1554" w:type="dxa"/>
            <w:tcBorders>
              <w:top w:val="dashSmallGap" w:sz="6" w:space="0" w:color="000000"/>
              <w:left w:val="dashed" w:sz="8" w:space="0" w:color="000000"/>
            </w:tcBorders>
          </w:tcPr>
          <w:p>
            <w:pPr>
              <w:pStyle w:val="TableParagraph"/>
              <w:spacing w:before="140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-.0039045</w:t>
            </w:r>
          </w:p>
        </w:tc>
        <w:tc>
          <w:tcPr>
            <w:tcW w:w="1504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40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-.0039809</w:t>
            </w:r>
          </w:p>
        </w:tc>
        <w:tc>
          <w:tcPr>
            <w:tcW w:w="1558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40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.0000764</w:t>
            </w:r>
          </w:p>
        </w:tc>
        <w:tc>
          <w:tcPr>
            <w:tcW w:w="2305" w:type="dxa"/>
            <w:tcBorders>
              <w:top w:val="dashSmallGap" w:sz="6" w:space="0" w:color="000000"/>
            </w:tcBorders>
          </w:tcPr>
          <w:p>
            <w:pPr>
              <w:pStyle w:val="TableParagraph"/>
              <w:spacing w:before="140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.0001035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noeducation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-.0029591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-.0040908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.0011317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.0005546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primaryedu~n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.0056452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.0073742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-.001729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.001017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secondarye~n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-.0019915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-.0017378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-.0002537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.0002701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highereduc~n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.0654412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.0665533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-.0011121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male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-.0036299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-.0035629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-.000067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.0003909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female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.000217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-.0005725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.0007896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.0005538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married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.0038657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.0037793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.0000864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.0000824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nevermarried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-.0058085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-.0044665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-.001342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.0009215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singlepare~s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-.0057747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-.0058365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.0000618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.000319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widowed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-.009353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-.0052378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-.0041152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yes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-.0000779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.0007821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-.0008599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.0004121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-.0104798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-.0111264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.0006466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.0009293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wagesandsa~s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-.00247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.0160697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-.0185397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businessen~s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-.0344667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-.0329265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-.0015402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.0020311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cropandliv~s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.0487534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.0450919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.0036615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.0002329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remittances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.0056802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.0059317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-.0002515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.0010983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pensions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.000711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.0018179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-.0011069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monetarytr~e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.0254445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.0220878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.0033567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dividendfr~n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-.4270767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-.3735009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-.0535758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</w:t>
            </w:r>
          </w:p>
        </w:tc>
      </w:tr>
      <w:tr>
        <w:trPr>
          <w:trHeight w:val="230" w:hRule="atLeast"/>
        </w:trPr>
        <w:tc>
          <w:tcPr>
            <w:tcW w:w="1442" w:type="dxa"/>
            <w:tcBorders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incomefrom~e</w:t>
            </w:r>
          </w:p>
        </w:tc>
        <w:tc>
          <w:tcPr>
            <w:tcW w:w="1554" w:type="dxa"/>
            <w:tcBorders>
              <w:left w:val="dashed" w:sz="8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-.0126023</w:t>
            </w:r>
          </w:p>
        </w:tc>
        <w:tc>
          <w:tcPr>
            <w:tcW w:w="1504" w:type="dxa"/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-.0141988</w:t>
            </w:r>
          </w:p>
        </w:tc>
        <w:tc>
          <w:tcPr>
            <w:tcW w:w="1558" w:type="dxa"/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.0015966</w:t>
            </w:r>
          </w:p>
        </w:tc>
        <w:tc>
          <w:tcPr>
            <w:tcW w:w="2305" w:type="dxa"/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.0004703</w:t>
            </w:r>
          </w:p>
        </w:tc>
      </w:tr>
      <w:tr>
        <w:trPr>
          <w:trHeight w:val="329" w:hRule="atLeast"/>
        </w:trPr>
        <w:tc>
          <w:tcPr>
            <w:tcW w:w="1442" w:type="dxa"/>
            <w:tcBorders>
              <w:bottom w:val="dashSmallGap" w:sz="6" w:space="0" w:color="000000"/>
              <w:right w:val="dashed" w:sz="8" w:space="0" w:color="000000"/>
            </w:tcBorders>
          </w:tcPr>
          <w:p>
            <w:pPr>
              <w:pStyle w:val="TableParagraph"/>
              <w:spacing w:before="24"/>
              <w:ind w:right="147"/>
              <w:rPr>
                <w:sz w:val="16"/>
              </w:rPr>
            </w:pPr>
            <w:r>
              <w:rPr>
                <w:w w:val="105"/>
                <w:sz w:val="16"/>
              </w:rPr>
              <w:t>ginicoeffi~t</w:t>
            </w:r>
          </w:p>
        </w:tc>
        <w:tc>
          <w:tcPr>
            <w:tcW w:w="1554" w:type="dxa"/>
            <w:tcBorders>
              <w:left w:val="dashed" w:sz="8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right="208"/>
              <w:rPr>
                <w:sz w:val="16"/>
              </w:rPr>
            </w:pPr>
            <w:r>
              <w:rPr>
                <w:w w:val="105"/>
                <w:sz w:val="16"/>
              </w:rPr>
              <w:t>-.0009183</w:t>
            </w:r>
          </w:p>
        </w:tc>
        <w:tc>
          <w:tcPr>
            <w:tcW w:w="1504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right="317"/>
              <w:rPr>
                <w:sz w:val="16"/>
              </w:rPr>
            </w:pPr>
            <w:r>
              <w:rPr>
                <w:w w:val="105"/>
                <w:sz w:val="16"/>
              </w:rPr>
              <w:t>-.0006501</w:t>
            </w:r>
          </w:p>
        </w:tc>
        <w:tc>
          <w:tcPr>
            <w:tcW w:w="1558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right="155"/>
              <w:rPr>
                <w:sz w:val="16"/>
              </w:rPr>
            </w:pPr>
            <w:r>
              <w:rPr>
                <w:w w:val="105"/>
                <w:sz w:val="16"/>
              </w:rPr>
              <w:t>-.0002682</w:t>
            </w:r>
          </w:p>
        </w:tc>
        <w:tc>
          <w:tcPr>
            <w:tcW w:w="2305" w:type="dxa"/>
            <w:tcBorders>
              <w:bottom w:val="dashSmallGap" w:sz="6" w:space="0" w:color="000000"/>
            </w:tcBorders>
          </w:tcPr>
          <w:p>
            <w:pPr>
              <w:pStyle w:val="TableParagraph"/>
              <w:spacing w:before="24"/>
              <w:ind w:right="742"/>
              <w:rPr>
                <w:sz w:val="16"/>
              </w:rPr>
            </w:pPr>
            <w:r>
              <w:rPr>
                <w:w w:val="105"/>
                <w:sz w:val="16"/>
              </w:rPr>
              <w:t>.0000625</w:t>
            </w:r>
          </w:p>
        </w:tc>
      </w:tr>
    </w:tbl>
    <w:p>
      <w:pPr>
        <w:spacing w:line="304" w:lineRule="auto" w:before="140"/>
        <w:ind w:left="1454" w:right="1377" w:firstLine="1610"/>
        <w:jc w:val="left"/>
        <w:rPr>
          <w:rFonts w:ascii="Courier New"/>
          <w:sz w:val="16"/>
        </w:rPr>
      </w:pPr>
      <w:r>
        <w:rPr>
          <w:rFonts w:ascii="Courier New"/>
          <w:w w:val="105"/>
          <w:sz w:val="16"/>
        </w:rPr>
        <w:t>b</w:t>
      </w:r>
      <w:r>
        <w:rPr>
          <w:rFonts w:ascii="Courier New"/>
          <w:spacing w:val="35"/>
          <w:w w:val="105"/>
          <w:sz w:val="16"/>
        </w:rPr>
        <w:t> </w:t>
      </w:r>
      <w:r>
        <w:rPr>
          <w:rFonts w:ascii="Courier New"/>
          <w:w w:val="105"/>
          <w:sz w:val="16"/>
        </w:rPr>
        <w:t>=</w:t>
      </w:r>
      <w:r>
        <w:rPr>
          <w:rFonts w:ascii="Courier New"/>
          <w:spacing w:val="35"/>
          <w:w w:val="105"/>
          <w:sz w:val="16"/>
        </w:rPr>
        <w:t> </w:t>
      </w:r>
      <w:r>
        <w:rPr>
          <w:rFonts w:ascii="Courier New"/>
          <w:w w:val="105"/>
          <w:sz w:val="16"/>
        </w:rPr>
        <w:t>consistent</w:t>
      </w:r>
      <w:r>
        <w:rPr>
          <w:rFonts w:ascii="Courier New"/>
          <w:spacing w:val="35"/>
          <w:w w:val="105"/>
          <w:sz w:val="16"/>
        </w:rPr>
        <w:t> </w:t>
      </w:r>
      <w:r>
        <w:rPr>
          <w:rFonts w:ascii="Courier New"/>
          <w:w w:val="105"/>
          <w:sz w:val="16"/>
        </w:rPr>
        <w:t>under</w:t>
      </w:r>
      <w:r>
        <w:rPr>
          <w:rFonts w:ascii="Courier New"/>
          <w:spacing w:val="35"/>
          <w:w w:val="105"/>
          <w:sz w:val="16"/>
        </w:rPr>
        <w:t> </w:t>
      </w:r>
      <w:r>
        <w:rPr>
          <w:rFonts w:ascii="Courier New"/>
          <w:w w:val="105"/>
          <w:sz w:val="16"/>
        </w:rPr>
        <w:t>Ho</w:t>
      </w:r>
      <w:r>
        <w:rPr>
          <w:rFonts w:ascii="Courier New"/>
          <w:spacing w:val="35"/>
          <w:w w:val="105"/>
          <w:sz w:val="16"/>
        </w:rPr>
        <w:t> </w:t>
      </w:r>
      <w:r>
        <w:rPr>
          <w:rFonts w:ascii="Courier New"/>
          <w:w w:val="105"/>
          <w:sz w:val="16"/>
        </w:rPr>
        <w:t>and</w:t>
      </w:r>
      <w:r>
        <w:rPr>
          <w:rFonts w:ascii="Courier New"/>
          <w:spacing w:val="35"/>
          <w:w w:val="105"/>
          <w:sz w:val="16"/>
        </w:rPr>
        <w:t> </w:t>
      </w:r>
      <w:r>
        <w:rPr>
          <w:rFonts w:ascii="Courier New"/>
          <w:w w:val="105"/>
          <w:sz w:val="16"/>
        </w:rPr>
        <w:t>Ha;</w:t>
      </w:r>
      <w:r>
        <w:rPr>
          <w:rFonts w:ascii="Courier New"/>
          <w:spacing w:val="35"/>
          <w:w w:val="105"/>
          <w:sz w:val="16"/>
        </w:rPr>
        <w:t> </w:t>
      </w:r>
      <w:r>
        <w:rPr>
          <w:rFonts w:ascii="Courier New"/>
          <w:w w:val="105"/>
          <w:sz w:val="16"/>
        </w:rPr>
        <w:t>obtained</w:t>
      </w:r>
      <w:r>
        <w:rPr>
          <w:rFonts w:ascii="Courier New"/>
          <w:spacing w:val="36"/>
          <w:w w:val="105"/>
          <w:sz w:val="16"/>
        </w:rPr>
        <w:t> </w:t>
      </w:r>
      <w:r>
        <w:rPr>
          <w:rFonts w:ascii="Courier New"/>
          <w:w w:val="105"/>
          <w:sz w:val="16"/>
        </w:rPr>
        <w:t>from</w:t>
      </w:r>
      <w:r>
        <w:rPr>
          <w:rFonts w:ascii="Courier New"/>
          <w:spacing w:val="36"/>
          <w:w w:val="105"/>
          <w:sz w:val="16"/>
        </w:rPr>
        <w:t> </w:t>
      </w:r>
      <w:r>
        <w:rPr>
          <w:rFonts w:ascii="Courier New"/>
          <w:w w:val="105"/>
          <w:sz w:val="16"/>
        </w:rPr>
        <w:t>xtreg</w:t>
      </w:r>
      <w:r>
        <w:rPr>
          <w:rFonts w:ascii="Courier New"/>
          <w:spacing w:val="-98"/>
          <w:w w:val="105"/>
          <w:sz w:val="16"/>
        </w:rPr>
        <w:t> </w:t>
      </w:r>
      <w:r>
        <w:rPr>
          <w:rFonts w:ascii="Courier New"/>
          <w:w w:val="105"/>
          <w:sz w:val="16"/>
        </w:rPr>
        <w:t>B</w:t>
      </w:r>
      <w:r>
        <w:rPr>
          <w:rFonts w:ascii="Courier New"/>
          <w:spacing w:val="41"/>
          <w:w w:val="105"/>
          <w:sz w:val="16"/>
        </w:rPr>
        <w:t> </w:t>
      </w:r>
      <w:r>
        <w:rPr>
          <w:rFonts w:ascii="Courier New"/>
          <w:w w:val="105"/>
          <w:sz w:val="16"/>
        </w:rPr>
        <w:t>=</w:t>
      </w:r>
      <w:r>
        <w:rPr>
          <w:rFonts w:ascii="Courier New"/>
          <w:spacing w:val="41"/>
          <w:w w:val="105"/>
          <w:sz w:val="16"/>
        </w:rPr>
        <w:t> </w:t>
      </w:r>
      <w:r>
        <w:rPr>
          <w:rFonts w:ascii="Courier New"/>
          <w:w w:val="105"/>
          <w:sz w:val="16"/>
        </w:rPr>
        <w:t>inconsistent</w:t>
      </w:r>
      <w:r>
        <w:rPr>
          <w:rFonts w:ascii="Courier New"/>
          <w:spacing w:val="41"/>
          <w:w w:val="105"/>
          <w:sz w:val="16"/>
        </w:rPr>
        <w:t> </w:t>
      </w:r>
      <w:r>
        <w:rPr>
          <w:rFonts w:ascii="Courier New"/>
          <w:w w:val="105"/>
          <w:sz w:val="16"/>
        </w:rPr>
        <w:t>under</w:t>
      </w:r>
      <w:r>
        <w:rPr>
          <w:rFonts w:ascii="Courier New"/>
          <w:spacing w:val="41"/>
          <w:w w:val="105"/>
          <w:sz w:val="16"/>
        </w:rPr>
        <w:t> </w:t>
      </w:r>
      <w:r>
        <w:rPr>
          <w:rFonts w:ascii="Courier New"/>
          <w:w w:val="105"/>
          <w:sz w:val="16"/>
        </w:rPr>
        <w:t>Ha,</w:t>
      </w:r>
      <w:r>
        <w:rPr>
          <w:rFonts w:ascii="Courier New"/>
          <w:spacing w:val="41"/>
          <w:w w:val="105"/>
          <w:sz w:val="16"/>
        </w:rPr>
        <w:t> </w:t>
      </w:r>
      <w:r>
        <w:rPr>
          <w:rFonts w:ascii="Courier New"/>
          <w:w w:val="105"/>
          <w:sz w:val="16"/>
        </w:rPr>
        <w:t>efficient</w:t>
      </w:r>
      <w:r>
        <w:rPr>
          <w:rFonts w:ascii="Courier New"/>
          <w:spacing w:val="41"/>
          <w:w w:val="105"/>
          <w:sz w:val="16"/>
        </w:rPr>
        <w:t> </w:t>
      </w:r>
      <w:r>
        <w:rPr>
          <w:rFonts w:ascii="Courier New"/>
          <w:w w:val="105"/>
          <w:sz w:val="16"/>
        </w:rPr>
        <w:t>under</w:t>
      </w:r>
      <w:r>
        <w:rPr>
          <w:rFonts w:ascii="Courier New"/>
          <w:spacing w:val="41"/>
          <w:w w:val="105"/>
          <w:sz w:val="16"/>
        </w:rPr>
        <w:t> </w:t>
      </w:r>
      <w:r>
        <w:rPr>
          <w:rFonts w:ascii="Courier New"/>
          <w:w w:val="105"/>
          <w:sz w:val="16"/>
        </w:rPr>
        <w:t>Ho;</w:t>
      </w:r>
      <w:r>
        <w:rPr>
          <w:rFonts w:ascii="Courier New"/>
          <w:spacing w:val="41"/>
          <w:w w:val="105"/>
          <w:sz w:val="16"/>
        </w:rPr>
        <w:t> </w:t>
      </w:r>
      <w:r>
        <w:rPr>
          <w:rFonts w:ascii="Courier New"/>
          <w:w w:val="105"/>
          <w:sz w:val="16"/>
        </w:rPr>
        <w:t>obtained</w:t>
      </w:r>
      <w:r>
        <w:rPr>
          <w:rFonts w:ascii="Courier New"/>
          <w:spacing w:val="42"/>
          <w:w w:val="105"/>
          <w:sz w:val="16"/>
        </w:rPr>
        <w:t> </w:t>
      </w:r>
      <w:r>
        <w:rPr>
          <w:rFonts w:ascii="Courier New"/>
          <w:w w:val="105"/>
          <w:sz w:val="16"/>
        </w:rPr>
        <w:t>from</w:t>
      </w:r>
      <w:r>
        <w:rPr>
          <w:rFonts w:ascii="Courier New"/>
          <w:spacing w:val="41"/>
          <w:w w:val="105"/>
          <w:sz w:val="16"/>
        </w:rPr>
        <w:t> </w:t>
      </w:r>
      <w:r>
        <w:rPr>
          <w:rFonts w:ascii="Courier New"/>
          <w:w w:val="105"/>
          <w:sz w:val="16"/>
        </w:rPr>
        <w:t>xtreg</w:t>
      </w:r>
    </w:p>
    <w:p>
      <w:pPr>
        <w:pStyle w:val="BodyText"/>
        <w:spacing w:before="8"/>
        <w:rPr>
          <w:rFonts w:ascii="Courier New"/>
          <w:sz w:val="11"/>
        </w:rPr>
      </w:pPr>
    </w:p>
    <w:p>
      <w:pPr>
        <w:spacing w:before="99"/>
        <w:ind w:left="595" w:right="0" w:firstLine="0"/>
        <w:jc w:val="left"/>
        <w:rPr>
          <w:rFonts w:ascii="Courier New"/>
          <w:sz w:val="16"/>
        </w:rPr>
      </w:pPr>
      <w:r>
        <w:rPr>
          <w:rFonts w:ascii="Courier New"/>
          <w:w w:val="105"/>
          <w:sz w:val="16"/>
        </w:rPr>
        <w:t>Test: </w:t>
      </w:r>
      <w:r>
        <w:rPr>
          <w:rFonts w:ascii="Courier New"/>
          <w:spacing w:val="75"/>
          <w:w w:val="105"/>
          <w:sz w:val="16"/>
        </w:rPr>
        <w:t> </w:t>
      </w:r>
      <w:r>
        <w:rPr>
          <w:rFonts w:ascii="Courier New"/>
          <w:w w:val="105"/>
          <w:sz w:val="16"/>
        </w:rPr>
        <w:t>Ho: </w:t>
      </w:r>
      <w:r>
        <w:rPr>
          <w:rFonts w:ascii="Courier New"/>
          <w:spacing w:val="76"/>
          <w:w w:val="105"/>
          <w:sz w:val="16"/>
        </w:rPr>
        <w:t> </w:t>
      </w:r>
      <w:r>
        <w:rPr>
          <w:rFonts w:ascii="Courier New"/>
          <w:w w:val="105"/>
          <w:sz w:val="16"/>
        </w:rPr>
        <w:t>difference</w:t>
      </w:r>
      <w:r>
        <w:rPr>
          <w:rFonts w:ascii="Courier New"/>
          <w:spacing w:val="41"/>
          <w:w w:val="105"/>
          <w:sz w:val="16"/>
        </w:rPr>
        <w:t> </w:t>
      </w:r>
      <w:r>
        <w:rPr>
          <w:rFonts w:ascii="Courier New"/>
          <w:w w:val="105"/>
          <w:sz w:val="16"/>
        </w:rPr>
        <w:t>in</w:t>
      </w:r>
      <w:r>
        <w:rPr>
          <w:rFonts w:ascii="Courier New"/>
          <w:spacing w:val="42"/>
          <w:w w:val="105"/>
          <w:sz w:val="16"/>
        </w:rPr>
        <w:t> </w:t>
      </w:r>
      <w:r>
        <w:rPr>
          <w:rFonts w:ascii="Courier New"/>
          <w:w w:val="105"/>
          <w:sz w:val="16"/>
        </w:rPr>
        <w:t>coefficients</w:t>
      </w:r>
      <w:r>
        <w:rPr>
          <w:rFonts w:ascii="Courier New"/>
          <w:spacing w:val="42"/>
          <w:w w:val="105"/>
          <w:sz w:val="16"/>
        </w:rPr>
        <w:t> </w:t>
      </w:r>
      <w:r>
        <w:rPr>
          <w:rFonts w:ascii="Courier New"/>
          <w:w w:val="105"/>
          <w:sz w:val="16"/>
        </w:rPr>
        <w:t>not</w:t>
      </w:r>
      <w:r>
        <w:rPr>
          <w:rFonts w:ascii="Courier New"/>
          <w:spacing w:val="41"/>
          <w:w w:val="105"/>
          <w:sz w:val="16"/>
        </w:rPr>
        <w:t> </w:t>
      </w:r>
      <w:r>
        <w:rPr>
          <w:rFonts w:ascii="Courier New"/>
          <w:w w:val="105"/>
          <w:sz w:val="16"/>
        </w:rPr>
        <w:t>systematic</w:t>
      </w:r>
    </w:p>
    <w:p>
      <w:pPr>
        <w:pStyle w:val="BodyText"/>
        <w:spacing w:before="11"/>
        <w:rPr>
          <w:rFonts w:ascii="Courier New"/>
          <w:sz w:val="15"/>
        </w:rPr>
      </w:pPr>
    </w:p>
    <w:p>
      <w:pPr>
        <w:spacing w:before="98"/>
        <w:ind w:left="1991" w:right="0" w:firstLine="0"/>
        <w:jc w:val="left"/>
        <w:rPr>
          <w:rFonts w:ascii="Courier New"/>
          <w:sz w:val="16"/>
        </w:rPr>
      </w:pPr>
      <w:r>
        <w:rPr>
          <w:rFonts w:ascii="Courier New"/>
          <w:w w:val="105"/>
          <w:sz w:val="16"/>
        </w:rPr>
        <w:t>chi2(22)</w:t>
      </w:r>
      <w:r>
        <w:rPr>
          <w:rFonts w:ascii="Courier New"/>
          <w:spacing w:val="98"/>
          <w:w w:val="105"/>
          <w:sz w:val="16"/>
        </w:rPr>
        <w:t> </w:t>
      </w:r>
      <w:r>
        <w:rPr>
          <w:rFonts w:ascii="Courier New"/>
          <w:w w:val="105"/>
          <w:sz w:val="16"/>
        </w:rPr>
        <w:t>=</w:t>
      </w:r>
      <w:r>
        <w:rPr>
          <w:rFonts w:ascii="Courier New"/>
          <w:spacing w:val="98"/>
          <w:w w:val="105"/>
          <w:sz w:val="16"/>
        </w:rPr>
        <w:t> </w:t>
      </w:r>
      <w:r>
        <w:rPr>
          <w:rFonts w:ascii="Courier New"/>
          <w:w w:val="105"/>
          <w:sz w:val="16"/>
        </w:rPr>
        <w:t>(b-B)'[(V_b-V_B)^(-1)](b-B)</w:t>
      </w:r>
    </w:p>
    <w:p>
      <w:pPr>
        <w:tabs>
          <w:tab w:pos="4461" w:val="left" w:leader="none"/>
        </w:tabs>
        <w:spacing w:before="50"/>
        <w:ind w:left="2958" w:right="0" w:firstLine="0"/>
        <w:jc w:val="left"/>
        <w:rPr>
          <w:rFonts w:ascii="Courier New"/>
          <w:sz w:val="16"/>
        </w:rPr>
      </w:pPr>
      <w:r>
        <w:rPr>
          <w:rFonts w:ascii="Courier New"/>
          <w:w w:val="105"/>
          <w:sz w:val="16"/>
        </w:rPr>
        <w:t>= </w:t>
      </w:r>
      <w:r>
        <w:rPr>
          <w:rFonts w:ascii="Courier New"/>
          <w:spacing w:val="47"/>
          <w:w w:val="105"/>
          <w:sz w:val="16"/>
        </w:rPr>
        <w:t> </w:t>
      </w:r>
      <w:r>
        <w:rPr>
          <w:rFonts w:ascii="Courier New"/>
          <w:w w:val="105"/>
          <w:sz w:val="16"/>
        </w:rPr>
        <w:t>-251.14</w:t>
        <w:tab/>
        <w:t>chi2&lt;0</w:t>
      </w:r>
      <w:r>
        <w:rPr>
          <w:rFonts w:ascii="Courier New"/>
          <w:spacing w:val="37"/>
          <w:w w:val="105"/>
          <w:sz w:val="16"/>
        </w:rPr>
        <w:t> </w:t>
      </w:r>
      <w:r>
        <w:rPr>
          <w:rFonts w:ascii="Courier New"/>
          <w:w w:val="105"/>
          <w:sz w:val="16"/>
        </w:rPr>
        <w:t>==&gt;</w:t>
      </w:r>
      <w:r>
        <w:rPr>
          <w:rFonts w:ascii="Courier New"/>
          <w:spacing w:val="37"/>
          <w:w w:val="105"/>
          <w:sz w:val="16"/>
        </w:rPr>
        <w:t> </w:t>
      </w:r>
      <w:r>
        <w:rPr>
          <w:rFonts w:ascii="Courier New"/>
          <w:w w:val="105"/>
          <w:sz w:val="16"/>
        </w:rPr>
        <w:t>model</w:t>
      </w:r>
      <w:r>
        <w:rPr>
          <w:rFonts w:ascii="Courier New"/>
          <w:spacing w:val="37"/>
          <w:w w:val="105"/>
          <w:sz w:val="16"/>
        </w:rPr>
        <w:t> </w:t>
      </w:r>
      <w:r>
        <w:rPr>
          <w:rFonts w:ascii="Courier New"/>
          <w:w w:val="105"/>
          <w:sz w:val="16"/>
        </w:rPr>
        <w:t>fitted</w:t>
      </w:r>
      <w:r>
        <w:rPr>
          <w:rFonts w:ascii="Courier New"/>
          <w:spacing w:val="38"/>
          <w:w w:val="105"/>
          <w:sz w:val="16"/>
        </w:rPr>
        <w:t> </w:t>
      </w:r>
      <w:r>
        <w:rPr>
          <w:rFonts w:ascii="Courier New"/>
          <w:w w:val="105"/>
          <w:sz w:val="16"/>
        </w:rPr>
        <w:t>on</w:t>
      </w:r>
      <w:r>
        <w:rPr>
          <w:rFonts w:ascii="Courier New"/>
          <w:spacing w:val="37"/>
          <w:w w:val="105"/>
          <w:sz w:val="16"/>
        </w:rPr>
        <w:t> </w:t>
      </w:r>
      <w:r>
        <w:rPr>
          <w:rFonts w:ascii="Courier New"/>
          <w:w w:val="105"/>
          <w:sz w:val="16"/>
        </w:rPr>
        <w:t>these</w:t>
      </w:r>
    </w:p>
    <w:p>
      <w:pPr>
        <w:spacing w:before="49"/>
        <w:ind w:left="4461" w:right="0" w:firstLine="0"/>
        <w:jc w:val="left"/>
        <w:rPr>
          <w:rFonts w:ascii="Courier New"/>
          <w:sz w:val="16"/>
        </w:rPr>
      </w:pPr>
      <w:r>
        <w:rPr>
          <w:rFonts w:ascii="Courier New"/>
          <w:w w:val="105"/>
          <w:sz w:val="16"/>
        </w:rPr>
        <w:t>data</w:t>
      </w:r>
      <w:r>
        <w:rPr>
          <w:rFonts w:ascii="Courier New"/>
          <w:spacing w:val="38"/>
          <w:w w:val="105"/>
          <w:sz w:val="16"/>
        </w:rPr>
        <w:t> </w:t>
      </w:r>
      <w:r>
        <w:rPr>
          <w:rFonts w:ascii="Courier New"/>
          <w:w w:val="105"/>
          <w:sz w:val="16"/>
        </w:rPr>
        <w:t>fails</w:t>
      </w:r>
      <w:r>
        <w:rPr>
          <w:rFonts w:ascii="Courier New"/>
          <w:spacing w:val="38"/>
          <w:w w:val="105"/>
          <w:sz w:val="16"/>
        </w:rPr>
        <w:t> </w:t>
      </w:r>
      <w:r>
        <w:rPr>
          <w:rFonts w:ascii="Courier New"/>
          <w:w w:val="105"/>
          <w:sz w:val="16"/>
        </w:rPr>
        <w:t>to</w:t>
      </w:r>
      <w:r>
        <w:rPr>
          <w:rFonts w:ascii="Courier New"/>
          <w:spacing w:val="39"/>
          <w:w w:val="105"/>
          <w:sz w:val="16"/>
        </w:rPr>
        <w:t> </w:t>
      </w:r>
      <w:r>
        <w:rPr>
          <w:rFonts w:ascii="Courier New"/>
          <w:w w:val="105"/>
          <w:sz w:val="16"/>
        </w:rPr>
        <w:t>meet</w:t>
      </w:r>
      <w:r>
        <w:rPr>
          <w:rFonts w:ascii="Courier New"/>
          <w:spacing w:val="38"/>
          <w:w w:val="105"/>
          <w:sz w:val="16"/>
        </w:rPr>
        <w:t> </w:t>
      </w:r>
      <w:r>
        <w:rPr>
          <w:rFonts w:ascii="Courier New"/>
          <w:w w:val="105"/>
          <w:sz w:val="16"/>
        </w:rPr>
        <w:t>the</w:t>
      </w:r>
      <w:r>
        <w:rPr>
          <w:rFonts w:ascii="Courier New"/>
          <w:spacing w:val="38"/>
          <w:w w:val="105"/>
          <w:sz w:val="16"/>
        </w:rPr>
        <w:t> </w:t>
      </w:r>
      <w:r>
        <w:rPr>
          <w:rFonts w:ascii="Courier New"/>
          <w:w w:val="105"/>
          <w:sz w:val="16"/>
        </w:rPr>
        <w:t>asymptotic</w:t>
      </w:r>
    </w:p>
    <w:p>
      <w:pPr>
        <w:spacing w:after="0"/>
        <w:jc w:val="left"/>
        <w:rPr>
          <w:rFonts w:ascii="Courier New"/>
          <w:sz w:val="16"/>
        </w:rPr>
        <w:sectPr>
          <w:type w:val="continuous"/>
          <w:pgSz w:w="12240" w:h="15840"/>
          <w:pgMar w:top="1380" w:bottom="280" w:left="1320" w:right="1000"/>
        </w:sectPr>
      </w:pPr>
    </w:p>
    <w:p>
      <w:pPr>
        <w:pStyle w:val="BodyText"/>
        <w:spacing w:before="7"/>
        <w:rPr>
          <w:rFonts w:ascii="Courier New"/>
          <w:sz w:val="17"/>
        </w:rPr>
      </w:pPr>
    </w:p>
    <w:p>
      <w:pPr>
        <w:spacing w:after="0"/>
        <w:rPr>
          <w:rFonts w:ascii="Courier New"/>
          <w:sz w:val="17"/>
        </w:rPr>
        <w:sectPr>
          <w:pgSz w:w="12240" w:h="15840"/>
          <w:pgMar w:header="0" w:footer="935" w:top="1500" w:bottom="1120" w:left="1320" w:right="1000"/>
        </w:sectPr>
      </w:pPr>
    </w:p>
    <w:p>
      <w:pPr>
        <w:pStyle w:val="BodyText"/>
        <w:spacing w:before="7"/>
        <w:rPr>
          <w:rFonts w:ascii="Courier New"/>
          <w:sz w:val="17"/>
        </w:rPr>
      </w:pPr>
    </w:p>
    <w:sectPr>
      <w:footerReference w:type="default" r:id="rId190"/>
      <w:pgSz w:w="12240" w:h="15840"/>
      <w:pgMar w:footer="0" w:header="0" w:top="1500" w:bottom="280" w:left="13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690002pt;margin-top:730.255981pt;width:18.650pt;height:13.05pt;mso-position-horizontal-relative:page;mso-position-vertical-relative:page;z-index:-431083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649994pt;margin-top:730.255981pt;width:22.75pt;height:13.05pt;mso-position-horizontal-relative:page;mso-position-vertical-relative:page;z-index:-431032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649994pt;margin-top:550.255981pt;width:22.75pt;height:13.05pt;mso-position-horizontal-relative:page;mso-position-vertical-relative:page;z-index:-431027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649994pt;margin-top:730.255981pt;width:22.8pt;height:13.05pt;mso-position-horizontal-relative:page;mso-position-vertical-relative:page;z-index:-431022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10004pt;margin-top:730.255981pt;width:17.3pt;height:13.05pt;mso-position-horizontal-relative:page;mso-position-vertical-relative:page;z-index:-431078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668.620056pt;width:144.020pt;height:.71997pt;mso-position-horizontal-relative:page;mso-position-vertical-relative:page;z-index:-43107328" filled="true" fillcolor="#000000" stroked="false">
          <v:fill type="solid"/>
          <w10:wrap type="none"/>
        </v:rect>
      </w:pict>
    </w:r>
    <w:r>
      <w:rPr/>
      <w:pict>
        <v:shape style="position:absolute;margin-left:297.410004pt;margin-top:730.255981pt;width:17.3pt;height:13.05pt;mso-position-horizontal-relative:page;mso-position-vertical-relative:page;z-index:-431068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10004pt;margin-top:730.255981pt;width:17.3pt;height:13.05pt;mso-position-horizontal-relative:page;mso-position-vertical-relative:page;z-index:-431063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431057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70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10004pt;margin-top:730.255981pt;width:17.3pt;height:13.05pt;mso-position-horizontal-relative:page;mso-position-vertical-relative:page;z-index:-431052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43104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89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49994pt;margin-top:730.255981pt;width:22.75pt;height:13.05pt;mso-position-horizontal-relative:page;mso-position-vertical-relative:page;z-index:-431042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49994pt;margin-top:550.255981pt;width:18.75pt;height:13.05pt;mso-position-horizontal-relative:page;mso-position-vertical-relative:page;z-index:-431037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101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0"/>
      <w:numFmt w:val="bullet"/>
      <w:lvlText w:val="-"/>
      <w:lvlJc w:val="left"/>
      <w:pPr>
        <w:ind w:left="223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7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4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51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9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6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3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61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38" w:hanging="116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58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00"/>
      <w:numFmt w:val="decimal"/>
      <w:lvlText w:val="%1."/>
      <w:lvlJc w:val="left"/>
      <w:pPr>
        <w:ind w:left="600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3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9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0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5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0" w:hanging="48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66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6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/>
        <w:b/>
        <w:bCs/>
        <w:i/>
        <w:i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2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10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8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8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0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29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/>
        <w:i/>
        <w:i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1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57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1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88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48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26"/>
      <w:ind w:left="1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88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18"/>
      <w:ind w:left="24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151" w:right="151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0"/>
      <w:ind w:left="880" w:hanging="721"/>
      <w:jc w:val="both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1"/>
      <w:ind w:left="158"/>
      <w:outlineLvl w:val="3"/>
    </w:pPr>
    <w:rPr>
      <w:rFonts w:ascii="Courier New" w:hAnsi="Courier New" w:eastAsia="Courier New" w:cs="Courier New"/>
      <w:sz w:val="25"/>
      <w:szCs w:val="25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60"/>
      <w:jc w:val="both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840" w:hanging="721"/>
      <w:jc w:val="both"/>
      <w:outlineLvl w:val="5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88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Courier New" w:hAnsi="Courier New" w:eastAsia="Courier New" w:cs="Courier New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jpeg"/><Relationship Id="rId143" Type="http://schemas.openxmlformats.org/officeDocument/2006/relationships/image" Target="media/image137.jpeg"/><Relationship Id="rId144" Type="http://schemas.openxmlformats.org/officeDocument/2006/relationships/footer" Target="footer3.xml"/><Relationship Id="rId145" Type="http://schemas.openxmlformats.org/officeDocument/2006/relationships/image" Target="media/image138.jpeg"/><Relationship Id="rId146" Type="http://schemas.openxmlformats.org/officeDocument/2006/relationships/hyperlink" Target="http://www.murrieta.k12.ca.us/" TargetMode="External"/><Relationship Id="rId147" Type="http://schemas.openxmlformats.org/officeDocument/2006/relationships/footer" Target="footer4.xml"/><Relationship Id="rId148" Type="http://schemas.openxmlformats.org/officeDocument/2006/relationships/image" Target="media/image139.png"/><Relationship Id="rId149" Type="http://schemas.openxmlformats.org/officeDocument/2006/relationships/footer" Target="footer5.xml"/><Relationship Id="rId150" Type="http://schemas.openxmlformats.org/officeDocument/2006/relationships/image" Target="media/image140.png"/><Relationship Id="rId151" Type="http://schemas.openxmlformats.org/officeDocument/2006/relationships/image" Target="media/image141.png"/><Relationship Id="rId152" Type="http://schemas.openxmlformats.org/officeDocument/2006/relationships/footer" Target="footer6.xml"/><Relationship Id="rId153" Type="http://schemas.openxmlformats.org/officeDocument/2006/relationships/footer" Target="footer7.xml"/><Relationship Id="rId154" Type="http://schemas.openxmlformats.org/officeDocument/2006/relationships/footer" Target="footer8.xml"/><Relationship Id="rId155" Type="http://schemas.openxmlformats.org/officeDocument/2006/relationships/image" Target="media/image142.png"/><Relationship Id="rId156" Type="http://schemas.openxmlformats.org/officeDocument/2006/relationships/image" Target="media/image143.png"/><Relationship Id="rId157" Type="http://schemas.openxmlformats.org/officeDocument/2006/relationships/image" Target="media/image144.png"/><Relationship Id="rId158" Type="http://schemas.openxmlformats.org/officeDocument/2006/relationships/image" Target="media/image145.png"/><Relationship Id="rId159" Type="http://schemas.openxmlformats.org/officeDocument/2006/relationships/image" Target="media/image146.png"/><Relationship Id="rId160" Type="http://schemas.openxmlformats.org/officeDocument/2006/relationships/image" Target="media/image147.png"/><Relationship Id="rId161" Type="http://schemas.openxmlformats.org/officeDocument/2006/relationships/image" Target="media/image148.png"/><Relationship Id="rId162" Type="http://schemas.openxmlformats.org/officeDocument/2006/relationships/image" Target="media/image149.png"/><Relationship Id="rId163" Type="http://schemas.openxmlformats.org/officeDocument/2006/relationships/footer" Target="footer9.xml"/><Relationship Id="rId164" Type="http://schemas.openxmlformats.org/officeDocument/2006/relationships/image" Target="media/image150.png"/><Relationship Id="rId165" Type="http://schemas.openxmlformats.org/officeDocument/2006/relationships/image" Target="media/image151.png"/><Relationship Id="rId166" Type="http://schemas.openxmlformats.org/officeDocument/2006/relationships/image" Target="media/image152.png"/><Relationship Id="rId167" Type="http://schemas.openxmlformats.org/officeDocument/2006/relationships/image" Target="media/image153.png"/><Relationship Id="rId168" Type="http://schemas.openxmlformats.org/officeDocument/2006/relationships/footer" Target="footer10.xml"/><Relationship Id="rId169" Type="http://schemas.openxmlformats.org/officeDocument/2006/relationships/hyperlink" Target="http://doi.10.1155/2018/8924835" TargetMode="External"/><Relationship Id="rId170" Type="http://schemas.openxmlformats.org/officeDocument/2006/relationships/hyperlink" Target="http://www.jrf.org.uk/" TargetMode="External"/><Relationship Id="rId171" Type="http://schemas.openxmlformats.org/officeDocument/2006/relationships/hyperlink" Target="https://www.ifw-kiel.de/konfer/100-jahre-" TargetMode="External"/><Relationship Id="rId172" Type="http://schemas.openxmlformats.org/officeDocument/2006/relationships/hyperlink" Target="http://hrcak.scre.hr/" TargetMode="External"/><Relationship Id="rId173" Type="http://schemas.openxmlformats.org/officeDocument/2006/relationships/hyperlink" Target="http://www.oxfam.org/" TargetMode="External"/><Relationship Id="rId174" Type="http://schemas.openxmlformats.org/officeDocument/2006/relationships/hyperlink" Target="http://dx.doi.org/10.5018/economics-ejournal.ja.2015-4" TargetMode="External"/><Relationship Id="rId175" Type="http://schemas.openxmlformats.org/officeDocument/2006/relationships/hyperlink" Target="http://www.ips-dc.org/" TargetMode="External"/><Relationship Id="rId176" Type="http://schemas.openxmlformats.org/officeDocument/2006/relationships/hyperlink" Target="https://doi.org/10.1177/0020731418814105" TargetMode="External"/><Relationship Id="rId177" Type="http://schemas.openxmlformats.org/officeDocument/2006/relationships/hyperlink" Target="https://doi.101371/journal.prone.0151358" TargetMode="External"/><Relationship Id="rId178" Type="http://schemas.openxmlformats.org/officeDocument/2006/relationships/hyperlink" Target="https://doi.org/10.1186/s12910-0188-0341-y" TargetMode="External"/><Relationship Id="rId179" Type="http://schemas.openxmlformats.org/officeDocument/2006/relationships/hyperlink" Target="https://doi.org/10.1371/journal.pone.0191438" TargetMode="External"/><Relationship Id="rId180" Type="http://schemas.openxmlformats.org/officeDocument/2006/relationships/hyperlink" Target="https://dataverse.harvard.edu/dataverse/fsolt" TargetMode="External"/><Relationship Id="rId181" Type="http://schemas.openxmlformats.org/officeDocument/2006/relationships/hyperlink" Target="mailto:jeffery.p.thompson@frb.gov" TargetMode="External"/><Relationship Id="rId182" Type="http://schemas.openxmlformats.org/officeDocument/2006/relationships/hyperlink" Target="http://doi.10.1007/s11205-013-0338-3" TargetMode="External"/><Relationship Id="rId183" Type="http://schemas.openxmlformats.org/officeDocument/2006/relationships/hyperlink" Target="http://hdr.undp.org/en/data" TargetMode="External"/><Relationship Id="rId184" Type="http://schemas.openxmlformats.org/officeDocument/2006/relationships/hyperlink" Target="http://www.weforum.org/" TargetMode="External"/><Relationship Id="rId185" Type="http://schemas.openxmlformats.org/officeDocument/2006/relationships/hyperlink" Target="http://www.wir2018.wid.world/" TargetMode="External"/><Relationship Id="rId186" Type="http://schemas.openxmlformats.org/officeDocument/2006/relationships/hyperlink" Target="http://www.geoba.se/" TargetMode="External"/><Relationship Id="rId187" Type="http://schemas.openxmlformats.org/officeDocument/2006/relationships/footer" Target="footer11.xml"/><Relationship Id="rId188" Type="http://schemas.openxmlformats.org/officeDocument/2006/relationships/footer" Target="footer12.xml"/><Relationship Id="rId189" Type="http://schemas.openxmlformats.org/officeDocument/2006/relationships/image" Target="media/image154.png"/><Relationship Id="rId190" Type="http://schemas.openxmlformats.org/officeDocument/2006/relationships/footer" Target="footer13.xml"/><Relationship Id="rId19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Popoola</dc:creator>
  <dcterms:created xsi:type="dcterms:W3CDTF">2023-11-07T18:59:04Z</dcterms:created>
  <dcterms:modified xsi:type="dcterms:W3CDTF">2023-11-07T18:59:04Z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2023-11-07T00:00:00Z</vt:filetime>
  </property>
</Properties>
</file>