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9"/>
        <w:ind w:left="1349" w:right="1438" w:hanging="3"/>
        <w:jc w:val="center"/>
      </w:pPr>
      <w:r>
        <w:rPr/>
        <w:t>EFFECT OF CAFFEINE ON PHARMACOKINETICS OF PARACETAMOL IN</w:t>
      </w:r>
      <w:r>
        <w:rPr>
          <w:spacing w:val="-57"/>
        </w:rPr>
        <w:t> </w:t>
      </w:r>
      <w:r>
        <w:rPr/>
        <w:t>HEALTHY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VOLUNTEERS: A</w:t>
      </w:r>
      <w:r>
        <w:rPr>
          <w:spacing w:val="-3"/>
        </w:rPr>
        <w:t> </w:t>
      </w:r>
      <w:r>
        <w:rPr/>
        <w:t>CASE STUDY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spacing w:before="0"/>
        <w:ind w:left="1988" w:right="207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Heading1"/>
        <w:ind w:right="2080"/>
        <w:jc w:val="center"/>
      </w:pPr>
      <w:r>
        <w:rPr/>
        <w:t>HARIRAH</w:t>
      </w:r>
      <w:r>
        <w:rPr>
          <w:spacing w:val="-2"/>
        </w:rPr>
        <w:t> </w:t>
      </w:r>
      <w:r>
        <w:rPr>
          <w:u w:val="thick"/>
        </w:rPr>
        <w:t>ABDULLAHI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line="415" w:lineRule="auto" w:before="90"/>
        <w:ind w:left="1987" w:right="2084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</w:t>
      </w:r>
    </w:p>
    <w:p>
      <w:pPr>
        <w:pStyle w:val="Heading1"/>
        <w:spacing w:line="412" w:lineRule="auto"/>
        <w:ind w:left="3272" w:right="3366"/>
        <w:jc w:val="center"/>
      </w:pPr>
      <w:r>
        <w:rPr/>
        <w:t>AHMADU BELLO UNIVERSITY, 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0"/>
        <w:ind w:left="1988" w:right="2077" w:firstLine="0"/>
        <w:jc w:val="center"/>
        <w:rPr>
          <w:b/>
          <w:sz w:val="24"/>
        </w:rPr>
      </w:pPr>
      <w:r>
        <w:rPr>
          <w:b/>
          <w:sz w:val="24"/>
        </w:rPr>
        <w:t>OCTOBER,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660" w:right="0"/>
        </w:sectPr>
      </w:pPr>
    </w:p>
    <w:p>
      <w:pPr>
        <w:pStyle w:val="Heading1"/>
        <w:spacing w:line="276" w:lineRule="auto" w:before="79"/>
        <w:ind w:left="1325" w:right="1453" w:firstLine="59"/>
        <w:jc w:val="center"/>
      </w:pPr>
      <w:r>
        <w:rPr/>
        <w:t>EFFECT OF CAFFEINE ON PHARMACOKINETICS OF PARACETAMOL IN</w:t>
      </w:r>
      <w:r>
        <w:rPr>
          <w:spacing w:val="-57"/>
        </w:rPr>
        <w:t> </w:t>
      </w:r>
      <w:r>
        <w:rPr/>
        <w:t>HEALTHY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VOLUNTEERS: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 OF</w:t>
      </w:r>
      <w:r>
        <w:rPr>
          <w:spacing w:val="-2"/>
        </w:rPr>
        <w:t> </w:t>
      </w:r>
      <w:r>
        <w:rPr/>
        <w:t>PANADOL EXTRA</w:t>
      </w:r>
      <w:r>
        <w:rPr>
          <w:vertAlign w:val="superscript"/>
        </w:rPr>
        <w:t>®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1988" w:right="207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74"/>
        <w:ind w:left="3272" w:right="3368"/>
        <w:jc w:val="center"/>
      </w:pPr>
      <w:r>
        <w:rPr/>
        <w:t>Harirah ABDULLAHI B.Pharm (ABU) 2008</w:t>
      </w:r>
      <w:r>
        <w:rPr>
          <w:spacing w:val="-57"/>
        </w:rPr>
        <w:t> </w:t>
      </w:r>
      <w:r>
        <w:rPr/>
        <w:t>MSc/Pharm-Sci/04088/09-10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2" w:lineRule="auto" w:before="210"/>
        <w:ind w:left="1313" w:right="1404" w:firstLine="0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AHMADU BELLO UNIVERSITY</w:t>
      </w:r>
    </w:p>
    <w:p>
      <w:pPr>
        <w:pStyle w:val="Heading1"/>
        <w:spacing w:line="242" w:lineRule="auto" w:before="196"/>
        <w:ind w:left="1313" w:right="1407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MASTER OF</w:t>
      </w:r>
      <w:r>
        <w:rPr>
          <w:spacing w:val="-3"/>
        </w:rPr>
        <w:t> </w:t>
      </w:r>
      <w:r>
        <w:rPr/>
        <w:t>SCIENCE IN 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6"/>
        </w:rPr>
      </w:pPr>
    </w:p>
    <w:p>
      <w:pPr>
        <w:spacing w:before="0"/>
        <w:ind w:left="1987" w:right="2084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</w:t>
      </w:r>
    </w:p>
    <w:p>
      <w:pPr>
        <w:pStyle w:val="Heading1"/>
        <w:ind w:left="3272" w:right="3366"/>
        <w:jc w:val="center"/>
      </w:pPr>
      <w:r>
        <w:rPr/>
        <w:t>AHMADU BELLO UNIVERSITY, 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1988" w:right="2077" w:firstLine="0"/>
        <w:jc w:val="center"/>
        <w:rPr>
          <w:b/>
          <w:sz w:val="24"/>
        </w:rPr>
      </w:pPr>
      <w:r>
        <w:rPr>
          <w:b/>
          <w:sz w:val="24"/>
        </w:rPr>
        <w:t>OCTOBER,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1007" w:header="0" w:top="1320" w:bottom="1200" w:left="660" w:right="0"/>
          <w:pgNumType w:start="2"/>
        </w:sectPr>
      </w:pPr>
    </w:p>
    <w:p>
      <w:pPr>
        <w:pStyle w:val="Heading1"/>
        <w:spacing w:before="77"/>
        <w:ind w:right="2080"/>
        <w:jc w:val="center"/>
      </w:pPr>
      <w:bookmarkStart w:name="_TOC_250041" w:id="1"/>
      <w:bookmarkEnd w:id="1"/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34"/>
        <w:ind w:left="1325" w:right="1418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entitled:</w:t>
      </w:r>
      <w:r>
        <w:rPr>
          <w:spacing w:val="1"/>
        </w:rPr>
        <w:t> </w:t>
      </w:r>
      <w:r>
        <w:rPr/>
        <w:t>„Effect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pharmacokinetics of paracetamol in healthy human volunteers: A case study of 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vertAlign w:val="baseline"/>
        </w:rPr>
        <w:t>‟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Pharmacology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Therapeutics. The information derived from the literature has been duly acknowledged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text and a list of references provided. No part of this thesis was 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 another degree</w:t>
      </w:r>
      <w:r>
        <w:rPr>
          <w:spacing w:val="-1"/>
          <w:vertAlign w:val="baseline"/>
        </w:rPr>
        <w:t> </w:t>
      </w:r>
      <w:r>
        <w:rPr>
          <w:vertAlign w:val="baseline"/>
        </w:rPr>
        <w:t>or diploma at this or any</w:t>
      </w:r>
      <w:r>
        <w:rPr>
          <w:spacing w:val="-5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477" w:val="left" w:leader="none"/>
          <w:tab w:pos="6332" w:val="left" w:leader="none"/>
          <w:tab w:pos="7746" w:val="left" w:leader="none"/>
          <w:tab w:pos="9601" w:val="left" w:leader="none"/>
        </w:tabs>
        <w:spacing w:before="178"/>
        <w:ind w:left="1385"/>
        <w:jc w:val="both"/>
      </w:pPr>
      <w:r>
        <w:rPr/>
        <w:t>Harirah ABDULLAHI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8526" w:val="left" w:leader="none"/>
        </w:tabs>
        <w:spacing w:before="199"/>
        <w:ind w:left="4925"/>
      </w:pPr>
      <w:r>
        <w:rPr/>
        <w:t>Signature</w:t>
        <w:tab/>
        <w:t>Date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0"/>
        <w:jc w:val="center"/>
      </w:pPr>
      <w:bookmarkStart w:name="_TOC_250040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34"/>
        <w:ind w:left="1325" w:right="1419"/>
        <w:jc w:val="both"/>
      </w:pPr>
      <w:r>
        <w:rPr/>
        <w:t>This dissertation entitled EFFECT OF CAFFEINE ON PHARMACOKINETICS OF</w:t>
      </w:r>
      <w:r>
        <w:rPr>
          <w:spacing w:val="1"/>
        </w:rPr>
        <w:t> </w:t>
      </w:r>
      <w:r>
        <w:rPr/>
        <w:t>PARACETAMOL</w:t>
      </w:r>
      <w:r>
        <w:rPr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HEALTHY</w:t>
      </w:r>
      <w:r>
        <w:rPr>
          <w:spacing w:val="48"/>
        </w:rPr>
        <w:t> </w:t>
      </w:r>
      <w:r>
        <w:rPr/>
        <w:t>HUMAN</w:t>
      </w:r>
      <w:r>
        <w:rPr>
          <w:spacing w:val="48"/>
        </w:rPr>
        <w:t> </w:t>
      </w:r>
      <w:r>
        <w:rPr/>
        <w:t>VOLUNTEERS: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CASE</w:t>
      </w:r>
      <w:r>
        <w:rPr>
          <w:spacing w:val="47"/>
        </w:rPr>
        <w:t> </w:t>
      </w:r>
      <w:r>
        <w:rPr/>
        <w:t>STUDY</w:t>
      </w:r>
      <w:r>
        <w:rPr>
          <w:spacing w:val="48"/>
        </w:rPr>
        <w:t> </w:t>
      </w:r>
      <w:r>
        <w:rPr/>
        <w:t>OF</w:t>
      </w:r>
    </w:p>
    <w:p>
      <w:pPr>
        <w:pStyle w:val="BodyText"/>
        <w:spacing w:line="276" w:lineRule="auto" w:before="1"/>
        <w:ind w:left="1325" w:right="1418"/>
        <w:jc w:val="both"/>
      </w:pPr>
      <w:r>
        <w:rPr/>
        <w:t>PANADOL EXTRA</w:t>
      </w:r>
      <w:r>
        <w:rPr>
          <w:b/>
          <w:vertAlign w:val="superscript"/>
        </w:rPr>
        <w:t>®</w:t>
      </w:r>
      <w:r>
        <w:rPr>
          <w:b/>
          <w:vertAlign w:val="baseline"/>
        </w:rPr>
        <w:t> </w:t>
      </w:r>
      <w:r>
        <w:rPr>
          <w:vertAlign w:val="baseline"/>
        </w:rPr>
        <w:t>by Harirah ABDULLAHI meets the regulations governing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award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Master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Pharmacology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Ahmadu</w:t>
      </w:r>
      <w:r>
        <w:rPr>
          <w:spacing w:val="1"/>
          <w:vertAlign w:val="baseline"/>
        </w:rPr>
        <w:t> </w:t>
      </w:r>
      <w:r>
        <w:rPr>
          <w:vertAlign w:val="baseline"/>
        </w:rPr>
        <w:t>Bello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University,</w:t>
      </w:r>
      <w:r>
        <w:rPr>
          <w:spacing w:val="1"/>
          <w:vertAlign w:val="baseline"/>
        </w:rPr>
        <w:t> </w:t>
      </w:r>
      <w:r>
        <w:rPr>
          <w:vertAlign w:val="baseline"/>
        </w:rPr>
        <w:t>and is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approved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its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contribution to knowledge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literary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tabs>
          <w:tab w:pos="4985" w:val="left" w:leader="none"/>
          <w:tab w:pos="6841" w:val="left" w:leader="none"/>
        </w:tabs>
        <w:spacing w:before="90"/>
        <w:ind w:left="1325"/>
      </w:pPr>
      <w:r>
        <w:rPr/>
        <w:t>Prof.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Abdu-Aguye</w:t>
        <w:tab/>
      </w:r>
      <w:r>
        <w:rPr>
          <w:u w:val="single"/>
        </w:rPr>
        <w:t> </w:t>
        <w:tab/>
      </w:r>
    </w:p>
    <w:p>
      <w:pPr>
        <w:pStyle w:val="BodyText"/>
        <w:ind w:left="1325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4925" w:val="left" w:leader="none"/>
          <w:tab w:pos="6900" w:val="left" w:leader="none"/>
        </w:tabs>
        <w:spacing w:before="232"/>
        <w:ind w:left="1325"/>
      </w:pPr>
      <w:r>
        <w:rPr/>
        <w:t>Dr.</w:t>
      </w:r>
      <w:r>
        <w:rPr>
          <w:spacing w:val="-1"/>
        </w:rPr>
        <w:t> </w:t>
      </w:r>
      <w:r>
        <w:rPr/>
        <w:t>(Mrs)</w:t>
      </w:r>
      <w:r>
        <w:rPr>
          <w:spacing w:val="-1"/>
        </w:rPr>
        <w:t> </w:t>
      </w:r>
      <w:r>
        <w:rPr/>
        <w:t>B.B.</w:t>
      </w:r>
      <w:r>
        <w:rPr>
          <w:spacing w:val="-1"/>
        </w:rPr>
        <w:t> </w:t>
      </w:r>
      <w:r>
        <w:rPr/>
        <w:t>Maiha</w:t>
        <w:tab/>
      </w:r>
      <w:r>
        <w:rPr>
          <w:u w:val="single"/>
        </w:rPr>
        <w:t> </w:t>
        <w:tab/>
      </w:r>
    </w:p>
    <w:p>
      <w:pPr>
        <w:pStyle w:val="BodyText"/>
        <w:ind w:left="1325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Heading1"/>
        <w:tabs>
          <w:tab w:pos="4925" w:val="left" w:leader="none"/>
          <w:tab w:pos="6901" w:val="left" w:leader="none"/>
        </w:tabs>
        <w:ind w:left="1325"/>
      </w:pPr>
      <w:r>
        <w:rPr/>
        <w:t>Dr.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M</w:t>
      </w:r>
      <w:r>
        <w:rPr>
          <w:spacing w:val="-3"/>
        </w:rPr>
        <w:t> </w:t>
      </w:r>
      <w:r>
        <w:rPr/>
        <w:t>Danjuma</w:t>
        <w:tab/>
      </w:r>
      <w:r>
        <w:rPr>
          <w:u w:val="single"/>
        </w:rPr>
        <w:t> </w:t>
        <w:tab/>
      </w:r>
    </w:p>
    <w:p>
      <w:pPr>
        <w:pStyle w:val="BodyText"/>
        <w:ind w:left="1325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Heading1"/>
        <w:tabs>
          <w:tab w:pos="4985" w:val="left" w:leader="none"/>
          <w:tab w:pos="6961" w:val="left" w:leader="none"/>
        </w:tabs>
        <w:ind w:left="1325"/>
      </w:pPr>
      <w:r>
        <w:rPr/>
        <w:t>Prof. K.</w:t>
      </w:r>
      <w:r>
        <w:rPr>
          <w:spacing w:val="-2"/>
        </w:rPr>
        <w:t> </w:t>
      </w:r>
      <w:r>
        <w:rPr/>
        <w:t>Bala</w:t>
        <w:tab/>
      </w:r>
      <w:r>
        <w:rPr>
          <w:u w:val="single"/>
        </w:rPr>
        <w:t> </w:t>
        <w:tab/>
      </w:r>
    </w:p>
    <w:p>
      <w:pPr>
        <w:pStyle w:val="BodyText"/>
        <w:ind w:left="1325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2753" w:val="left" w:leader="none"/>
        </w:tabs>
        <w:spacing w:before="90"/>
        <w:ind w:left="84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813" w:val="left" w:leader="none"/>
        </w:tabs>
        <w:spacing w:before="209"/>
        <w:ind w:left="144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tabs>
          <w:tab w:pos="2753" w:val="left" w:leader="none"/>
        </w:tabs>
        <w:ind w:left="84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tabs>
          <w:tab w:pos="2634" w:val="left" w:leader="none"/>
        </w:tabs>
        <w:ind w:left="84"/>
      </w:pP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1910" w:h="16840"/>
          <w:pgMar w:top="1320" w:bottom="280" w:left="660" w:right="0"/>
          <w:cols w:num="2" w:equalWidth="0">
            <w:col w:w="6962" w:space="40"/>
            <w:col w:w="4248"/>
          </w:cols>
        </w:sectPr>
      </w:pPr>
    </w:p>
    <w:p>
      <w:pPr>
        <w:pStyle w:val="Heading1"/>
        <w:spacing w:before="77"/>
        <w:ind w:right="2081"/>
        <w:jc w:val="center"/>
      </w:pPr>
      <w:bookmarkStart w:name="_TOC_250039" w:id="3"/>
      <w:bookmarkEnd w:id="3"/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34"/>
        <w:ind w:left="1325" w:right="1418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Allah,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Gracious,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Merciful.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praise</w:t>
      </w:r>
      <w:r>
        <w:rPr>
          <w:spacing w:val="1"/>
        </w:rPr>
        <w:t> </w:t>
      </w:r>
      <w:r>
        <w:rPr/>
        <w:t>goes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Almighty</w:t>
      </w:r>
      <w:r>
        <w:rPr>
          <w:spacing w:val="-4"/>
        </w:rPr>
        <w:t> </w:t>
      </w:r>
      <w:r>
        <w:rPr/>
        <w:t>ALLAH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sparing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life;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remain His able,</w:t>
      </w:r>
      <w:r>
        <w:rPr>
          <w:spacing w:val="-1"/>
        </w:rPr>
        <w:t> </w:t>
      </w:r>
      <w:r>
        <w:rPr/>
        <w:t>noble and humble</w:t>
      </w:r>
      <w:r>
        <w:rPr>
          <w:spacing w:val="-1"/>
        </w:rPr>
        <w:t> </w:t>
      </w:r>
      <w:r>
        <w:rPr/>
        <w:t>servant.</w:t>
      </w:r>
    </w:p>
    <w:p>
      <w:pPr>
        <w:pStyle w:val="BodyText"/>
        <w:spacing w:line="276" w:lineRule="auto" w:before="200"/>
        <w:ind w:left="1325" w:right="1414"/>
        <w:jc w:val="both"/>
      </w:pPr>
      <w:r>
        <w:rPr/>
        <w:t>I am particularly most grateful to the chairman of my supervisory committee, Prof I.</w:t>
      </w:r>
      <w:r>
        <w:rPr>
          <w:spacing w:val="1"/>
        </w:rPr>
        <w:t> </w:t>
      </w:r>
      <w:r>
        <w:rPr/>
        <w:t>Abdu-Aguye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(Mrs)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Maiha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collective roles played to make this work a success. I appreciate the patience, kindness,</w:t>
      </w:r>
      <w:r>
        <w:rPr>
          <w:spacing w:val="1"/>
        </w:rPr>
        <w:t> </w:t>
      </w:r>
      <w:r>
        <w:rPr/>
        <w:t>encouragement and personal sacrifices rendered to me during this work. May Allah</w:t>
      </w:r>
      <w:r>
        <w:rPr>
          <w:spacing w:val="1"/>
        </w:rPr>
        <w:t> </w:t>
      </w:r>
      <w:r>
        <w:rPr/>
        <w:t>guide and protect</w:t>
      </w:r>
      <w:r>
        <w:rPr>
          <w:spacing w:val="5"/>
        </w:rPr>
        <w:t> </w:t>
      </w:r>
      <w:r>
        <w:rPr/>
        <w:t>you</w:t>
      </w:r>
      <w:r>
        <w:rPr>
          <w:spacing w:val="2"/>
        </w:rPr>
        <w:t> </w:t>
      </w:r>
      <w:r>
        <w:rPr/>
        <w:t>always.</w:t>
      </w:r>
    </w:p>
    <w:p>
      <w:pPr>
        <w:pStyle w:val="BodyText"/>
        <w:spacing w:line="276" w:lineRule="auto" w:before="199"/>
        <w:ind w:left="1325" w:right="1418"/>
        <w:jc w:val="both"/>
      </w:pPr>
      <w:r>
        <w:rPr/>
        <w:t>I also wish to extend my sincere gratitude to Dr. Aminu Musa, Dr. Musa Gombe, Dr.</w:t>
      </w:r>
      <w:r>
        <w:rPr>
          <w:spacing w:val="1"/>
        </w:rPr>
        <w:t> </w:t>
      </w:r>
      <w:r>
        <w:rPr/>
        <w:t>Mahdi, Dr. Malami, Dr. Magaji and Dr. O. Olurishe for their individual contributions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efforts.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Salisu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Chemistry</w:t>
      </w:r>
      <w:r>
        <w:rPr>
          <w:spacing w:val="-4"/>
        </w:rPr>
        <w:t> </w:t>
      </w:r>
      <w:r>
        <w:rPr/>
        <w:t>Department for</w:t>
      </w:r>
      <w:r>
        <w:rPr>
          <w:spacing w:val="-1"/>
        </w:rPr>
        <w:t> </w:t>
      </w:r>
      <w:r>
        <w:rPr/>
        <w:t>helping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line="276" w:lineRule="auto" w:before="202"/>
        <w:ind w:left="1325" w:right="1412"/>
        <w:jc w:val="both"/>
      </w:pPr>
      <w:r>
        <w:rPr/>
        <w:t>I wish to extend my appreciation to my dear and loving Husband for granting me</w:t>
      </w:r>
      <w:r>
        <w:rPr>
          <w:spacing w:val="1"/>
        </w:rPr>
        <w:t> </w:t>
      </w:r>
      <w:r>
        <w:rPr/>
        <w:t>approval for this study and supporting me in morally, physically and financially. My</w:t>
      </w:r>
      <w:r>
        <w:rPr>
          <w:spacing w:val="1"/>
        </w:rPr>
        <w:t> </w:t>
      </w:r>
      <w:r>
        <w:rPr/>
        <w:t>sisters,</w:t>
      </w:r>
      <w:r>
        <w:rPr>
          <w:spacing w:val="1"/>
        </w:rPr>
        <w:t> </w:t>
      </w:r>
      <w:r>
        <w:rPr/>
        <w:t>you 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Best!!!</w:t>
      </w:r>
    </w:p>
    <w:p>
      <w:pPr>
        <w:pStyle w:val="BodyText"/>
        <w:spacing w:line="276" w:lineRule="auto" w:before="200"/>
        <w:ind w:left="1325" w:right="1413"/>
        <w:jc w:val="both"/>
      </w:pPr>
      <w:r>
        <w:rPr/>
        <w:t>My parents for their love, understanding and support, May Allah grant you Aljannatus-</w:t>
      </w:r>
      <w:r>
        <w:rPr>
          <w:spacing w:val="1"/>
        </w:rPr>
        <w:t> </w:t>
      </w:r>
      <w:r>
        <w:rPr/>
        <w:t>Firdaus.</w:t>
      </w:r>
    </w:p>
    <w:p>
      <w:pPr>
        <w:pStyle w:val="BodyText"/>
        <w:spacing w:line="276" w:lineRule="auto" w:before="201"/>
        <w:ind w:left="1325" w:right="1415"/>
        <w:jc w:val="both"/>
      </w:pPr>
      <w:r>
        <w:rPr/>
        <w:t>Dr</w:t>
      </w:r>
      <w:r>
        <w:rPr>
          <w:spacing w:val="1"/>
        </w:rPr>
        <w:t> </w:t>
      </w:r>
      <w:r>
        <w:rPr/>
        <w:t>Makarfi,</w:t>
      </w:r>
      <w:r>
        <w:rPr>
          <w:spacing w:val="1"/>
        </w:rPr>
        <w:t> </w:t>
      </w:r>
      <w:r>
        <w:rPr/>
        <w:t>Halima</w:t>
      </w:r>
      <w:r>
        <w:rPr>
          <w:spacing w:val="1"/>
        </w:rPr>
        <w:t> </w:t>
      </w:r>
      <w:r>
        <w:rPr/>
        <w:t>Ango,</w:t>
      </w:r>
      <w:r>
        <w:rPr>
          <w:spacing w:val="1"/>
        </w:rPr>
        <w:t> </w:t>
      </w:r>
      <w:r>
        <w:rPr/>
        <w:t>Hadiza</w:t>
      </w:r>
      <w:r>
        <w:rPr>
          <w:spacing w:val="1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Tawakaltu</w:t>
      </w:r>
      <w:r>
        <w:rPr>
          <w:spacing w:val="1"/>
        </w:rPr>
        <w:t> </w:t>
      </w:r>
      <w:r>
        <w:rPr/>
        <w:t>Bakare,</w:t>
      </w:r>
      <w:r>
        <w:rPr>
          <w:spacing w:val="1"/>
        </w:rPr>
        <w:t> </w:t>
      </w:r>
      <w:r>
        <w:rPr/>
        <w:t>Madina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Onikola,</w:t>
      </w:r>
      <w:r>
        <w:rPr>
          <w:spacing w:val="-1"/>
        </w:rPr>
        <w:t> </w:t>
      </w:r>
      <w:r>
        <w:rPr/>
        <w:t>thank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pStyle w:val="BodyText"/>
        <w:spacing w:before="198"/>
        <w:ind w:left="1325"/>
        <w:jc w:val="both"/>
      </w:pPr>
      <w:r>
        <w:rPr/>
        <w:t>Sincere</w:t>
      </w:r>
      <w:r>
        <w:rPr>
          <w:spacing w:val="-1"/>
        </w:rPr>
        <w:t> </w:t>
      </w:r>
      <w:r>
        <w:rPr/>
        <w:t>gratitude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goes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volunteers</w:t>
      </w:r>
      <w:r>
        <w:rPr>
          <w:spacing w:val="-1"/>
        </w:rPr>
        <w:t> </w:t>
      </w:r>
      <w:r>
        <w:rPr/>
        <w:t>who</w:t>
      </w:r>
      <w:r>
        <w:rPr>
          <w:spacing w:val="1"/>
        </w:rPr>
        <w:t> </w:t>
      </w:r>
      <w:r>
        <w:rPr/>
        <w:t>participated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spacing w:after="0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78"/>
        <w:jc w:val="center"/>
      </w:pPr>
      <w:bookmarkStart w:name="_TOC_250038" w:id="4"/>
      <w:bookmarkEnd w:id="4"/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34"/>
        <w:ind w:left="1325" w:right="1414"/>
        <w:jc w:val="both"/>
      </w:pPr>
      <w:r>
        <w:rPr/>
        <w:t>Acetaminophen or paracetamol is an analgesic and anti-pyretic agent widely used 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 headaches,</w:t>
      </w:r>
      <w:r>
        <w:rPr>
          <w:spacing w:val="1"/>
        </w:rPr>
        <w:t> </w:t>
      </w:r>
      <w:r>
        <w:rPr/>
        <w:t>minor pains</w:t>
      </w:r>
      <w:r>
        <w:rPr>
          <w:spacing w:val="1"/>
        </w:rPr>
        <w:t> </w:t>
      </w:r>
      <w:r>
        <w:rPr/>
        <w:t>and 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other medications like</w:t>
      </w:r>
      <w:r>
        <w:rPr>
          <w:spacing w:val="1"/>
        </w:rPr>
        <w:t> </w:t>
      </w:r>
      <w:r>
        <w:rPr/>
        <w:t>cold remedies and opoid analgesics. Individuals with headaches and minor pains tend to</w:t>
      </w:r>
      <w:r>
        <w:rPr>
          <w:spacing w:val="-57"/>
        </w:rPr>
        <w:t> </w:t>
      </w:r>
      <w:r>
        <w:rPr/>
        <w:t>use paracetamol with caffeine combinations than paracetamol alone in their treatment</w:t>
      </w:r>
      <w:r>
        <w:rPr>
          <w:spacing w:val="1"/>
        </w:rPr>
        <w:t> </w:t>
      </w:r>
      <w:r>
        <w:rPr/>
        <w:t>due to faster relief. However, the pharmacokinetic rationale for use is still unclear. 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 in Panadol Extra</w:t>
      </w:r>
      <w:r>
        <w:rPr>
          <w:vertAlign w:val="superscript"/>
        </w:rPr>
        <w:t>®</w:t>
      </w:r>
      <w:r>
        <w:rPr>
          <w:vertAlign w:val="baseline"/>
        </w:rPr>
        <w:t> tablets using healthy human volunteers. Three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batches of Panadol</w:t>
      </w:r>
      <w:r>
        <w:rPr>
          <w:vertAlign w:val="superscript"/>
        </w:rPr>
        <w:t>®</w:t>
      </w:r>
      <w:r>
        <w:rPr>
          <w:vertAlign w:val="baseline"/>
        </w:rPr>
        <w:t> and Panadol Extra</w:t>
      </w:r>
      <w:r>
        <w:rPr>
          <w:vertAlign w:val="superscript"/>
        </w:rPr>
        <w:t>®</w:t>
      </w:r>
      <w:r>
        <w:rPr>
          <w:vertAlign w:val="baseline"/>
        </w:rPr>
        <w:t> tablets sourced from retail outlets within Zaria</w:t>
      </w:r>
      <w:r>
        <w:rPr>
          <w:spacing w:val="1"/>
          <w:vertAlign w:val="baseline"/>
        </w:rPr>
        <w:t> </w:t>
      </w:r>
      <w:r>
        <w:rPr>
          <w:vertAlign w:val="baseline"/>
        </w:rPr>
        <w:t>were analysed qualitatively using </w:t>
      </w:r>
      <w:r>
        <w:rPr>
          <w:i/>
          <w:vertAlign w:val="baseline"/>
        </w:rPr>
        <w:t>in vitro </w:t>
      </w:r>
      <w:r>
        <w:rPr>
          <w:vertAlign w:val="baseline"/>
        </w:rPr>
        <w:t>analysis which include weight uniformity test,</w:t>
      </w:r>
      <w:r>
        <w:rPr>
          <w:spacing w:val="-57"/>
          <w:vertAlign w:val="baseline"/>
        </w:rPr>
        <w:t> </w:t>
      </w:r>
      <w:r>
        <w:rPr>
          <w:vertAlign w:val="baseline"/>
        </w:rPr>
        <w:t>friability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test,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assay,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test,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pharmacokinetic</w:t>
      </w:r>
      <w:r>
        <w:rPr>
          <w:spacing w:val="-1"/>
          <w:vertAlign w:val="baseline"/>
        </w:rPr>
        <w:t> </w:t>
      </w:r>
      <w:r>
        <w:rPr>
          <w:vertAlign w:val="baseline"/>
        </w:rPr>
        <w:t>studies.</w:t>
      </w:r>
    </w:p>
    <w:p>
      <w:pPr>
        <w:pStyle w:val="BodyText"/>
        <w:spacing w:line="276" w:lineRule="auto" w:before="200"/>
        <w:ind w:left="1325" w:right="1412"/>
        <w:jc w:val="both"/>
      </w:pPr>
      <w:r>
        <w:rPr/>
        <w:t>Standard paracetamol powder was used for pilot study and to validate the modification</w:t>
      </w:r>
      <w:r>
        <w:rPr>
          <w:spacing w:val="1"/>
        </w:rPr>
        <w:t> </w:t>
      </w:r>
      <w:r>
        <w:rPr/>
        <w:t>of Glynn and Kendal method using spiked aqueous samples with known concentrations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 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calibration curve</w:t>
      </w:r>
      <w:r>
        <w:rPr>
          <w:spacing w:val="1"/>
        </w:rPr>
        <w:t> </w:t>
      </w:r>
      <w:r>
        <w:rPr/>
        <w:t>was plotted.</w:t>
      </w:r>
    </w:p>
    <w:p>
      <w:pPr>
        <w:pStyle w:val="BodyText"/>
        <w:spacing w:line="276" w:lineRule="auto" w:before="200"/>
        <w:ind w:left="1325" w:right="1413"/>
        <w:jc w:val="both"/>
      </w:pPr>
      <w:r>
        <w:rPr/>
        <w:t>Twelve (12) healthy volunteers of both sexes within the age of 20-29 years took part in</w:t>
      </w:r>
      <w:r>
        <w:rPr>
          <w:spacing w:val="1"/>
        </w:rPr>
        <w:t> </w:t>
      </w:r>
      <w:r>
        <w:rPr/>
        <w:t>the study. It was a single blind, cross over study with wash out period of two weeks.</w:t>
      </w:r>
      <w:r>
        <w:rPr>
          <w:spacing w:val="1"/>
        </w:rPr>
        <w:t> </w:t>
      </w:r>
      <w:r>
        <w:rPr/>
        <w:t>Each volunteer was administered 1g tablets of both test samples containing paracetamol</w:t>
      </w:r>
      <w:r>
        <w:rPr>
          <w:spacing w:val="1"/>
        </w:rPr>
        <w:t> </w:t>
      </w:r>
      <w:r>
        <w:rPr/>
        <w:t>orally with 200ml of water after fasting overnight and saliva was sampled at different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 using the Glynn and Kendal method modified by Shihana by taking their</w:t>
      </w:r>
      <w:r>
        <w:rPr>
          <w:spacing w:val="1"/>
        </w:rPr>
        <w:t> </w:t>
      </w:r>
      <w:r>
        <w:rPr/>
        <w:t>absorbances with a UV spectrophotometer at 430nm. The results were compared using</w:t>
      </w:r>
      <w:r>
        <w:rPr>
          <w:spacing w:val="1"/>
        </w:rPr>
        <w:t> </w:t>
      </w:r>
      <w:r>
        <w:rPr/>
        <w:t>the independent</w:t>
      </w:r>
      <w:r>
        <w:rPr>
          <w:spacing w:val="1"/>
        </w:rPr>
        <w:t> </w:t>
      </w:r>
      <w:r>
        <w:rPr/>
        <w:t>student‟s t- test</w:t>
      </w:r>
      <w:r>
        <w:rPr>
          <w:spacing w:val="1"/>
        </w:rPr>
        <w:t> </w:t>
      </w:r>
      <w:r>
        <w:rPr/>
        <w:t>between the samples.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value less than 0.05 was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spacing w:line="276" w:lineRule="auto" w:before="202"/>
        <w:ind w:left="1325" w:right="1413"/>
        <w:jc w:val="both"/>
      </w:pPr>
      <w:r>
        <w:rPr/>
        <w:t>All the six batches of samples studied passed </w:t>
      </w:r>
      <w:r>
        <w:rPr>
          <w:i/>
        </w:rPr>
        <w:t>in vitro </w:t>
      </w:r>
      <w:r>
        <w:rPr/>
        <w:t>tests for paracetamol except for a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 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that failed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friability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test.</w:t>
      </w:r>
    </w:p>
    <w:p>
      <w:pPr>
        <w:pStyle w:val="BodyText"/>
        <w:spacing w:line="276" w:lineRule="auto" w:before="199"/>
        <w:ind w:left="1325" w:right="1410"/>
        <w:jc w:val="both"/>
      </w:pP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22.20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25.20</w:t>
      </w:r>
      <w:r>
        <w:rPr>
          <w:spacing w:val="1"/>
        </w:rPr>
        <w:t> </w:t>
      </w:r>
      <w:r>
        <w:rPr/>
        <w:t>µg/ml were seen with all samples of Panadol Extra</w:t>
      </w:r>
      <w:r>
        <w:rPr>
          <w:vertAlign w:val="superscript"/>
        </w:rPr>
        <w:t>®</w:t>
      </w:r>
      <w:r>
        <w:rPr>
          <w:vertAlign w:val="baseline"/>
        </w:rPr>
        <w:t> tablets which was 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(p ≤ 0.05) compared to Panadol</w:t>
      </w:r>
      <w:r>
        <w:rPr>
          <w:vertAlign w:val="superscript"/>
        </w:rPr>
        <w:t>®</w:t>
      </w:r>
      <w:r>
        <w:rPr>
          <w:vertAlign w:val="baseline"/>
        </w:rPr>
        <w:t> tablets which ranged from 20.60 – 22.50</w:t>
      </w:r>
      <w:r>
        <w:rPr>
          <w:spacing w:val="1"/>
          <w:vertAlign w:val="baseline"/>
        </w:rPr>
        <w:t> </w:t>
      </w:r>
      <w:r>
        <w:rPr>
          <w:vertAlign w:val="baseline"/>
        </w:rPr>
        <w:t>µg/ml.</w:t>
      </w:r>
      <w:r>
        <w:rPr>
          <w:spacing w:val="45"/>
          <w:vertAlign w:val="baseline"/>
        </w:rPr>
        <w:t> </w:t>
      </w:r>
      <w:r>
        <w:rPr>
          <w:vertAlign w:val="baseline"/>
        </w:rPr>
        <w:t>All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other</w:t>
      </w:r>
      <w:r>
        <w:rPr>
          <w:spacing w:val="44"/>
          <w:vertAlign w:val="baseline"/>
        </w:rPr>
        <w:t> </w:t>
      </w:r>
      <w:r>
        <w:rPr>
          <w:vertAlign w:val="baseline"/>
        </w:rPr>
        <w:t>values</w:t>
      </w:r>
      <w:r>
        <w:rPr>
          <w:spacing w:val="46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47"/>
          <w:vertAlign w:val="baseline"/>
        </w:rPr>
        <w:t> </w:t>
      </w:r>
      <w:r>
        <w:rPr>
          <w:vertAlign w:val="baseline"/>
        </w:rPr>
        <w:t>did</w:t>
      </w:r>
      <w:r>
        <w:rPr>
          <w:spacing w:val="44"/>
          <w:vertAlign w:val="baseline"/>
        </w:rPr>
        <w:t> </w:t>
      </w:r>
      <w:r>
        <w:rPr>
          <w:vertAlign w:val="baseline"/>
        </w:rPr>
        <w:t>not</w:t>
      </w:r>
      <w:r>
        <w:rPr>
          <w:spacing w:val="45"/>
          <w:vertAlign w:val="baseline"/>
        </w:rPr>
        <w:t> </w:t>
      </w:r>
      <w:r>
        <w:rPr>
          <w:vertAlign w:val="baseline"/>
        </w:rPr>
        <w:t>show</w:t>
      </w:r>
      <w:r>
        <w:rPr>
          <w:spacing w:val="46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4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4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vertAlign w:val="baseline"/>
        </w:rPr>
        <w:t> tablets are chemically equivalent for the paracetamol component and possess</w:t>
      </w:r>
      <w:r>
        <w:rPr>
          <w:spacing w:val="1"/>
          <w:vertAlign w:val="baseline"/>
        </w:rPr>
        <w:t> </w:t>
      </w:r>
      <w:r>
        <w:rPr>
          <w:vertAlign w:val="baseline"/>
        </w:rPr>
        <w:t>varying values of pharmacokinetic parameters. This was indicated by the 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saliva paracetamol levels for Panadol Extra</w:t>
      </w:r>
      <w:r>
        <w:rPr>
          <w:vertAlign w:val="superscript"/>
        </w:rPr>
        <w:t>®</w:t>
      </w:r>
      <w:r>
        <w:rPr>
          <w:vertAlign w:val="baseline"/>
        </w:rPr>
        <w:t> tablets as compared to Panadol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 and may</w:t>
      </w:r>
      <w:r>
        <w:rPr>
          <w:spacing w:val="-5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concluded that caffeine in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2"/>
          <w:vertAlign w:val="baseline"/>
        </w:rPr>
        <w:t> </w:t>
      </w:r>
      <w:r>
        <w:rPr>
          <w:vertAlign w:val="baseline"/>
        </w:rPr>
        <w:t>is responsible.</w:t>
      </w:r>
    </w:p>
    <w:p>
      <w:pPr>
        <w:spacing w:after="0" w:line="276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2"/>
        <w:jc w:val="center"/>
      </w:pPr>
      <w:bookmarkStart w:name="_TOC_250037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spacing w:after="0"/>
        <w:jc w:val="center"/>
        <w:sectPr>
          <w:pgSz w:w="11910" w:h="16840"/>
          <w:pgMar w:header="0" w:footer="1007" w:top="1320" w:bottom="1425" w:left="66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21" w:val="right" w:leader="dot"/>
            </w:tabs>
            <w:spacing w:before="532"/>
          </w:pPr>
          <w:hyperlink w:history="true" w:anchor="_TOC_250041">
            <w:r>
              <w:rPr/>
              <w:t>DECLARATION</w:t>
              <w:tab/>
              <w:t>iii</w:t>
            </w:r>
          </w:hyperlink>
        </w:p>
        <w:p>
          <w:pPr>
            <w:pStyle w:val="TOC1"/>
            <w:tabs>
              <w:tab w:pos="9823" w:val="right" w:leader="dot"/>
            </w:tabs>
          </w:pPr>
          <w:hyperlink w:history="true" w:anchor="_TOC_250040">
            <w:r>
              <w:rPr/>
              <w:t>CERTIFICATION</w:t>
              <w:tab/>
              <w:t>iv</w:t>
            </w:r>
          </w:hyperlink>
        </w:p>
        <w:p>
          <w:pPr>
            <w:pStyle w:val="TOC1"/>
            <w:tabs>
              <w:tab w:pos="9820" w:val="right" w:leader="dot"/>
            </w:tabs>
            <w:spacing w:before="200"/>
          </w:pPr>
          <w:hyperlink w:history="true" w:anchor="_TOC_250039">
            <w:r>
              <w:rPr/>
              <w:t>ACKNOWLEDGEMENT</w:t>
              <w:tab/>
              <w:t>v</w:t>
            </w:r>
          </w:hyperlink>
        </w:p>
        <w:p>
          <w:pPr>
            <w:pStyle w:val="TOC1"/>
            <w:tabs>
              <w:tab w:pos="9816" w:val="right" w:leader="dot"/>
            </w:tabs>
            <w:spacing w:before="199"/>
          </w:pPr>
          <w:hyperlink w:history="true" w:anchor="_TOC_250038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9819" w:val="right" w:leader="dot"/>
            </w:tabs>
            <w:spacing w:before="200"/>
          </w:pPr>
          <w:hyperlink w:history="true" w:anchor="_TOC_250037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OF CONTENTS</w:t>
              <w:tab/>
              <w:t>vii</w:t>
            </w:r>
          </w:hyperlink>
        </w:p>
        <w:p>
          <w:pPr>
            <w:pStyle w:val="TOC1"/>
            <w:tabs>
              <w:tab w:pos="9820" w:val="right" w:leader="dot"/>
            </w:tabs>
          </w:pPr>
          <w:hyperlink w:history="true" w:anchor="_TOC_250036">
            <w:r>
              <w:rPr/>
              <w:t>LIST OF TABLES</w:t>
              <w:tab/>
              <w:t>x</w:t>
            </w:r>
          </w:hyperlink>
        </w:p>
        <w:p>
          <w:pPr>
            <w:pStyle w:val="TOC1"/>
            <w:tabs>
              <w:tab w:pos="9821" w:val="right" w:leader="dot"/>
            </w:tabs>
          </w:pPr>
          <w:hyperlink w:history="true" w:anchor="_TOC_250035">
            <w:r>
              <w:rPr/>
              <w:t>LIST OF FIGURES</w:t>
              <w:tab/>
              <w:t>xi</w:t>
            </w:r>
          </w:hyperlink>
        </w:p>
        <w:p>
          <w:pPr>
            <w:pStyle w:val="TOC1"/>
            <w:tabs>
              <w:tab w:pos="9821" w:val="right" w:leader="dot"/>
            </w:tabs>
            <w:spacing w:before="198"/>
          </w:pPr>
          <w:r>
            <w:rPr/>
            <w:t>LIST OF APPENDICES</w:t>
            <w:tab/>
            <w:t>xii</w:t>
          </w:r>
        </w:p>
        <w:p>
          <w:pPr>
            <w:pStyle w:val="TOC1"/>
            <w:tabs>
              <w:tab w:pos="9821" w:val="right" w:leader="dot"/>
            </w:tabs>
          </w:pPr>
          <w:hyperlink w:history="true" w:anchor="_TOC_250034">
            <w:r>
              <w:rPr/>
              <w:t>ABBREVIATIONS</w:t>
              <w:tab/>
              <w:t>xiii</w:t>
            </w:r>
          </w:hyperlink>
        </w:p>
        <w:p>
          <w:pPr>
            <w:pStyle w:val="TOC1"/>
            <w:tabs>
              <w:tab w:pos="9820" w:val="right" w:leader="dot"/>
            </w:tabs>
          </w:pPr>
          <w:hyperlink w:history="true" w:anchor="_TOC_25003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9" w:val="left" w:leader="none"/>
              <w:tab w:pos="9820" w:val="right" w:leader="dot"/>
            </w:tabs>
            <w:spacing w:line="240" w:lineRule="auto" w:before="201" w:after="0"/>
            <w:ind w:left="1908" w:right="0" w:hanging="363"/>
            <w:jc w:val="left"/>
          </w:pPr>
          <w:hyperlink w:history="true" w:anchor="_TOC_250032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31">
            <w:r>
              <w:rPr/>
              <w:t>Background of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200" w:after="0"/>
            <w:ind w:left="1906" w:right="0" w:hanging="360"/>
            <w:jc w:val="left"/>
          </w:pPr>
          <w:hyperlink w:history="true" w:anchor="_TOC_25003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</w:pPr>
          <w:hyperlink w:history="true" w:anchor="_TOC_250029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28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199" w:after="0"/>
            <w:ind w:left="2645" w:right="0" w:hanging="882"/>
            <w:jc w:val="left"/>
          </w:pPr>
          <w:r>
            <w:rPr/>
            <w:t>Aim</w:t>
            <w:tab/>
            <w:t>4</w:t>
          </w:r>
        </w:p>
        <w:p>
          <w:pPr>
            <w:pStyle w:val="TOC4"/>
            <w:numPr>
              <w:ilvl w:val="2"/>
              <w:numId w:val="1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1" w:after="0"/>
            <w:ind w:left="2645" w:right="0" w:hanging="882"/>
            <w:jc w:val="left"/>
          </w:pPr>
          <w:r>
            <w:rPr/>
            <w:t>Objectives</w:t>
            <w:tab/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</w:pPr>
          <w:hyperlink w:history="true" w:anchor="_TOC_250027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Hypothesis</w:t>
              <w:tab/>
              <w:t>4</w:t>
            </w:r>
          </w:hyperlink>
        </w:p>
        <w:p>
          <w:pPr>
            <w:pStyle w:val="TOC1"/>
            <w:tabs>
              <w:tab w:pos="9820" w:val="right" w:leader="dot"/>
            </w:tabs>
            <w:spacing w:before="199"/>
          </w:pPr>
          <w:hyperlink w:history="true" w:anchor="_TOC_25002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09" w:val="left" w:leader="none"/>
              <w:tab w:pos="9820" w:val="right" w:leader="dot"/>
            </w:tabs>
            <w:spacing w:line="240" w:lineRule="auto" w:before="201" w:after="0"/>
            <w:ind w:left="1908" w:right="0" w:hanging="363"/>
            <w:jc w:val="left"/>
          </w:pPr>
          <w:hyperlink w:history="true" w:anchor="_TOC_250025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06" w:val="left" w:leader="none"/>
              <w:tab w:pos="9820" w:val="right" w:leader="dot"/>
            </w:tabs>
            <w:spacing w:line="240" w:lineRule="auto" w:before="200" w:after="0"/>
            <w:ind w:left="1906" w:right="0" w:hanging="360"/>
            <w:jc w:val="left"/>
          </w:pPr>
          <w:hyperlink w:history="true" w:anchor="_TOC_250024">
            <w:r>
              <w:rPr/>
              <w:t>History</w:t>
            </w:r>
            <w:r>
              <w:rPr>
                <w:spacing w:val="-5"/>
              </w:rPr>
              <w:t> </w:t>
            </w:r>
            <w:r>
              <w:rPr/>
              <w:t>and Chemistry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Paracetamol</w:t>
              <w:tab/>
              <w:t>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198" w:after="0"/>
            <w:ind w:left="2645" w:right="0" w:hanging="882"/>
            <w:jc w:val="left"/>
          </w:pPr>
          <w:hyperlink w:history="true" w:anchor="_TOC_250023">
            <w:r>
              <w:rPr/>
              <w:t>Structure</w:t>
            </w:r>
            <w:r>
              <w:rPr>
                <w:spacing w:val="-1"/>
              </w:rPr>
              <w:t> </w:t>
            </w:r>
            <w:r>
              <w:rPr/>
              <w:t>and reactivity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paracetamol</w:t>
              <w:tab/>
              <w:t>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1" w:after="0"/>
            <w:ind w:left="2645" w:right="0" w:hanging="882"/>
            <w:jc w:val="left"/>
          </w:pPr>
          <w:r>
            <w:rPr/>
            <w:t>Synthesis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paracetamol</w:t>
            <w:tab/>
            <w:t>7</w:t>
          </w:r>
        </w:p>
        <w:p>
          <w:pPr>
            <w:pStyle w:val="TOC2"/>
            <w:numPr>
              <w:ilvl w:val="1"/>
              <w:numId w:val="2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</w:pPr>
          <w:hyperlink w:history="true" w:anchor="_TOC_250022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 Pharmacokinetics</w:t>
              <w:tab/>
              <w:t>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096" w:val="left" w:leader="none"/>
              <w:tab w:pos="2645" w:val="left" w:leader="none"/>
              <w:tab w:pos="9820" w:val="right" w:leader="dot"/>
            </w:tabs>
            <w:spacing w:line="240" w:lineRule="auto" w:before="199" w:after="0"/>
            <w:ind w:left="2095" w:right="0" w:hanging="332"/>
            <w:jc w:val="left"/>
          </w:pPr>
          <w:r>
            <w:rPr/>
            <w:t>.1</w:t>
            <w:tab/>
            <w:t>Pharmacokinetics</w:t>
          </w:r>
          <w:r>
            <w:rPr>
              <w:spacing w:val="-3"/>
            </w:rPr>
            <w:t> </w:t>
          </w:r>
          <w:r>
            <w:rPr/>
            <w:t>of paracetamol</w:t>
            <w:tab/>
            <w:t>12</w:t>
          </w:r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0" w:after="0"/>
            <w:ind w:left="2645" w:right="0" w:hanging="882"/>
            <w:jc w:val="left"/>
          </w:pPr>
          <w:r>
            <w:rPr/>
            <w:t>Pharmacodynamics</w:t>
          </w:r>
          <w:r>
            <w:rPr>
              <w:spacing w:val="-1"/>
            </w:rPr>
            <w:t> </w:t>
          </w:r>
          <w:r>
            <w:rPr/>
            <w:t>of paracetamol</w:t>
            <w:tab/>
            <w:t>15</w:t>
          </w:r>
        </w:p>
        <w:p>
          <w:pPr>
            <w:pStyle w:val="TOC2"/>
            <w:numPr>
              <w:ilvl w:val="1"/>
              <w:numId w:val="3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21">
            <w:r>
              <w:rPr/>
              <w:t>Panadol Extra</w:t>
            </w:r>
            <w:r>
              <w:rPr>
                <w:vertAlign w:val="superscript"/>
              </w:rPr>
              <w:t>®</w:t>
            </w:r>
            <w:r>
              <w:rPr>
                <w:spacing w:val="-22"/>
                <w:vertAlign w:val="baseline"/>
              </w:rPr>
              <w:t> </w:t>
            </w:r>
            <w:r>
              <w:rPr>
                <w:vertAlign w:val="baseline"/>
              </w:rPr>
              <w:t>Tablets</w:t>
              <w:tab/>
              <w:t>15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199" w:after="0"/>
            <w:ind w:left="2645" w:right="0" w:hanging="882"/>
            <w:jc w:val="left"/>
          </w:pPr>
          <w:r>
            <w:rPr/>
            <w:t>Pharmacokinetics</w:t>
          </w:r>
          <w:r>
            <w:rPr>
              <w:spacing w:val="-3"/>
            </w:rPr>
            <w:t> </w:t>
          </w:r>
          <w:r>
            <w:rPr/>
            <w:t>of caffeine in panadol</w:t>
          </w:r>
          <w:r>
            <w:rPr>
              <w:spacing w:val="-2"/>
            </w:rPr>
            <w:t> </w:t>
          </w:r>
          <w:r>
            <w:rPr/>
            <w:t>extra</w:t>
          </w:r>
          <w:r>
            <w:rPr>
              <w:vertAlign w:val="superscript"/>
            </w:rPr>
            <w:t>®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tablets</w:t>
            <w:tab/>
            <w:t>16</w:t>
          </w:r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0" w:after="20"/>
            <w:ind w:left="2645" w:right="0" w:hanging="882"/>
            <w:jc w:val="left"/>
          </w:pPr>
          <w:r>
            <w:rPr/>
            <w:t>Pharmacodynamics</w:t>
          </w:r>
          <w:r>
            <w:rPr>
              <w:spacing w:val="-1"/>
            </w:rPr>
            <w:t> </w:t>
          </w:r>
          <w:r>
            <w:rPr/>
            <w:t>of Caffeine</w:t>
            <w:tab/>
            <w:t>17</w:t>
          </w:r>
        </w:p>
        <w:p>
          <w:pPr>
            <w:pStyle w:val="TOC4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9820" w:val="right" w:leader="dot"/>
            </w:tabs>
            <w:spacing w:line="240" w:lineRule="auto" w:before="74" w:after="0"/>
            <w:ind w:left="2700" w:right="0" w:hanging="937"/>
            <w:jc w:val="left"/>
          </w:pPr>
          <w:r>
            <w:rPr/>
            <w:t>Interaction</w:t>
            <w:tab/>
            <w:t>17</w:t>
          </w:r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1" w:after="0"/>
            <w:ind w:left="2645" w:right="0" w:hanging="882"/>
            <w:jc w:val="left"/>
          </w:pPr>
          <w:r>
            <w:rPr/>
            <w:t>Pregnancy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Lactation</w:t>
            <w:tab/>
            <w:t>17</w:t>
          </w:r>
        </w:p>
        <w:p>
          <w:pPr>
            <w:pStyle w:val="TOC4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9820" w:val="right" w:leader="dot"/>
            </w:tabs>
            <w:spacing w:line="240" w:lineRule="auto" w:before="198" w:after="0"/>
            <w:ind w:left="2700" w:right="0" w:hanging="937"/>
            <w:jc w:val="left"/>
          </w:pPr>
          <w:r>
            <w:rPr/>
            <w:t>Side effects of paracetamol/</w:t>
          </w:r>
          <w:r>
            <w:rPr>
              <w:spacing w:val="1"/>
            </w:rPr>
            <w:t> </w:t>
          </w:r>
          <w:r>
            <w:rPr/>
            <w:t>caffeine</w:t>
          </w:r>
          <w:r>
            <w:rPr>
              <w:spacing w:val="-3"/>
            </w:rPr>
            <w:t> </w:t>
          </w:r>
          <w:r>
            <w:rPr/>
            <w:t>combination</w:t>
            <w:tab/>
            <w:t>18</w:t>
          </w:r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0" w:after="0"/>
            <w:ind w:left="2645" w:right="0" w:hanging="882"/>
            <w:jc w:val="left"/>
          </w:pPr>
          <w:r>
            <w:rPr/>
            <w:t>Toxicity</w:t>
          </w:r>
          <w:r>
            <w:rPr>
              <w:spacing w:val="-4"/>
            </w:rPr>
            <w:t> </w:t>
          </w:r>
          <w:r>
            <w:rPr/>
            <w:t>and overdose</w:t>
          </w:r>
          <w:r>
            <w:rPr>
              <w:spacing w:val="-2"/>
            </w:rPr>
            <w:t> </w:t>
          </w:r>
          <w:r>
            <w:rPr/>
            <w:t>of panadol</w:t>
          </w:r>
          <w:r>
            <w:rPr>
              <w:spacing w:val="1"/>
            </w:rPr>
            <w:t> </w:t>
          </w:r>
          <w:r>
            <w:rPr/>
            <w:t>extra</w:t>
          </w:r>
          <w:r>
            <w:rPr>
              <w:vertAlign w:val="superscript"/>
            </w:rPr>
            <w:t>®</w:t>
          </w:r>
          <w:r>
            <w:rPr>
              <w:vertAlign w:val="baseline"/>
            </w:rPr>
            <w:t> tablets</w:t>
            <w:tab/>
            <w:t>18</w:t>
          </w:r>
        </w:p>
        <w:p>
          <w:pPr>
            <w:pStyle w:val="TOC2"/>
            <w:numPr>
              <w:ilvl w:val="1"/>
              <w:numId w:val="3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20">
            <w:r>
              <w:rPr/>
              <w:t>Assay</w:t>
            </w:r>
            <w:r>
              <w:rPr>
                <w:spacing w:val="-5"/>
              </w:rPr>
              <w:t> </w:t>
            </w:r>
            <w:r>
              <w:rPr/>
              <w:t>Methods of Paracetamol</w:t>
              <w:tab/>
              <w:t>19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262" w:val="left" w:leader="none"/>
              <w:tab w:pos="9820" w:val="right" w:leader="dot"/>
            </w:tabs>
            <w:spacing w:line="240" w:lineRule="auto" w:before="198" w:after="0"/>
            <w:ind w:left="2261" w:right="0" w:hanging="498"/>
            <w:jc w:val="left"/>
          </w:pPr>
          <w:r>
            <w:rPr>
              <w:i/>
            </w:rPr>
            <w:t>In</w:t>
          </w:r>
          <w:r>
            <w:rPr>
              <w:i/>
              <w:spacing w:val="-1"/>
            </w:rPr>
            <w:t> </w:t>
          </w:r>
          <w:r>
            <w:rPr>
              <w:i/>
            </w:rPr>
            <w:t>Vitro</w:t>
          </w:r>
          <w:r>
            <w:rPr>
              <w:i/>
              <w:spacing w:val="1"/>
            </w:rPr>
            <w:t> </w:t>
          </w:r>
          <w:r>
            <w:rPr/>
            <w:t>bioavailability</w:t>
          </w:r>
          <w:r>
            <w:rPr>
              <w:spacing w:val="-3"/>
            </w:rPr>
            <w:t> </w:t>
          </w:r>
          <w:r>
            <w:rPr/>
            <w:t>test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paracetamol</w:t>
            <w:tab/>
            <w:t>20</w:t>
          </w:r>
        </w:p>
        <w:p>
          <w:pPr>
            <w:pStyle w:val="TOC4"/>
            <w:numPr>
              <w:ilvl w:val="2"/>
              <w:numId w:val="4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1" w:after="0"/>
            <w:ind w:left="2645" w:right="0" w:hanging="882"/>
            <w:jc w:val="left"/>
          </w:pPr>
          <w:r>
            <w:rPr>
              <w:i/>
            </w:rPr>
            <w:t>In</w:t>
          </w:r>
          <w:r>
            <w:rPr>
              <w:i/>
              <w:spacing w:val="-1"/>
            </w:rPr>
            <w:t> </w:t>
          </w:r>
          <w:r>
            <w:rPr>
              <w:i/>
            </w:rPr>
            <w:t>Vivo</w:t>
          </w:r>
          <w:r>
            <w:rPr>
              <w:i/>
              <w:spacing w:val="1"/>
            </w:rPr>
            <w:t> </w:t>
          </w:r>
          <w:r>
            <w:rPr/>
            <w:t>bioavailability</w:t>
          </w:r>
          <w:r>
            <w:rPr>
              <w:spacing w:val="-3"/>
            </w:rPr>
            <w:t> </w:t>
          </w:r>
          <w:r>
            <w:rPr/>
            <w:t>testing</w:t>
          </w:r>
          <w:r>
            <w:rPr>
              <w:spacing w:val="-3"/>
            </w:rPr>
            <w:t> </w:t>
          </w:r>
          <w:r>
            <w:rPr/>
            <w:t>of paracetamol</w:t>
            <w:tab/>
            <w:t>25</w:t>
          </w:r>
        </w:p>
        <w:p>
          <w:pPr>
            <w:pStyle w:val="TOC2"/>
            <w:numPr>
              <w:ilvl w:val="1"/>
              <w:numId w:val="5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19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METHOD</w:t>
              <w:tab/>
              <w:t>31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18">
            <w:r>
              <w:rPr/>
              <w:t>Materials</w:t>
              <w:tab/>
              <w:t>31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199" w:after="0"/>
            <w:ind w:left="2645" w:right="0" w:hanging="882"/>
            <w:jc w:val="left"/>
          </w:pPr>
          <w:r>
            <w:rPr/>
            <w:t>Study</w:t>
          </w:r>
          <w:r>
            <w:rPr>
              <w:spacing w:val="-2"/>
            </w:rPr>
            <w:t> </w:t>
          </w:r>
          <w:r>
            <w:rPr/>
            <w:t>site</w:t>
            <w:tab/>
            <w:t>31</w:t>
          </w:r>
        </w:p>
        <w:p>
          <w:pPr>
            <w:pStyle w:val="TOC4"/>
            <w:numPr>
              <w:ilvl w:val="2"/>
              <w:numId w:val="5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0" w:after="0"/>
            <w:ind w:left="2645" w:right="0" w:hanging="882"/>
            <w:jc w:val="left"/>
          </w:pPr>
          <w:r>
            <w:rPr/>
            <w:t>Human</w:t>
          </w:r>
          <w:r>
            <w:rPr>
              <w:spacing w:val="1"/>
            </w:rPr>
            <w:t> </w:t>
          </w:r>
          <w:r>
            <w:rPr/>
            <w:t>volunteers</w:t>
            <w:tab/>
            <w:t>31</w:t>
          </w:r>
        </w:p>
        <w:p>
          <w:pPr>
            <w:pStyle w:val="TOC4"/>
            <w:numPr>
              <w:ilvl w:val="2"/>
              <w:numId w:val="5"/>
            </w:numPr>
            <w:tabs>
              <w:tab w:pos="2700" w:val="left" w:leader="none"/>
              <w:tab w:pos="2701" w:val="left" w:leader="none"/>
              <w:tab w:pos="9820" w:val="right" w:leader="dot"/>
            </w:tabs>
            <w:spacing w:line="240" w:lineRule="auto" w:before="201" w:after="0"/>
            <w:ind w:left="2700" w:right="0" w:hanging="937"/>
            <w:jc w:val="left"/>
          </w:pPr>
          <w:r>
            <w:rPr/>
            <w:t>Drugs</w:t>
            <w:tab/>
            <w:t>32</w:t>
          </w:r>
        </w:p>
        <w:p>
          <w:pPr>
            <w:pStyle w:val="TOC4"/>
            <w:tabs>
              <w:tab w:pos="2645" w:val="left" w:leader="none"/>
              <w:tab w:pos="9820" w:val="right" w:leader="dot"/>
            </w:tabs>
            <w:spacing w:before="198"/>
            <w:ind w:left="1764" w:firstLine="0"/>
          </w:pPr>
          <w:r>
            <w:rPr/>
            <w:t>3.1.5</w:t>
            <w:tab/>
            <w:t>Equipments</w:t>
          </w:r>
          <w:r>
            <w:rPr>
              <w:spacing w:val="-1"/>
            </w:rPr>
            <w:t> </w:t>
          </w:r>
          <w:r>
            <w:rPr/>
            <w:t>and apparatus</w:t>
            <w:tab/>
            <w:t>33</w:t>
          </w:r>
        </w:p>
        <w:p>
          <w:pPr>
            <w:pStyle w:val="TOC2"/>
            <w:numPr>
              <w:ilvl w:val="1"/>
              <w:numId w:val="5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</w:pPr>
          <w:hyperlink w:history="true" w:anchor="_TOC_250017">
            <w:r>
              <w:rPr/>
              <w:t>Methods</w:t>
              <w:tab/>
              <w:t>33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2" w:after="0"/>
            <w:ind w:left="2645" w:right="0" w:hanging="882"/>
            <w:jc w:val="left"/>
            <w:rPr>
              <w:b w:val="0"/>
              <w:i w:val="0"/>
              <w:sz w:val="22"/>
            </w:rPr>
          </w:pPr>
          <w:r>
            <w:rPr>
              <w:b w:val="0"/>
              <w:sz w:val="22"/>
            </w:rPr>
            <w:t>In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Vitro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experiment</w:t>
            <w:tab/>
            <w:t>33</w:t>
          </w:r>
        </w:p>
        <w:p>
          <w:pPr>
            <w:pStyle w:val="TOC3"/>
            <w:numPr>
              <w:ilvl w:val="2"/>
              <w:numId w:val="5"/>
            </w:numPr>
            <w:tabs>
              <w:tab w:pos="2086" w:val="left" w:leader="none"/>
              <w:tab w:pos="9820" w:val="right" w:leader="dot"/>
            </w:tabs>
            <w:spacing w:line="240" w:lineRule="auto" w:before="198" w:after="0"/>
            <w:ind w:left="2086" w:right="0" w:hanging="540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In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Vivo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experiments</w:t>
            <w:tab/>
            <w:t>35</w:t>
          </w:r>
        </w:p>
        <w:p>
          <w:pPr>
            <w:pStyle w:val="TOC2"/>
            <w:numPr>
              <w:ilvl w:val="1"/>
              <w:numId w:val="5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16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37</w:t>
            </w:r>
          </w:hyperlink>
        </w:p>
        <w:p>
          <w:pPr>
            <w:pStyle w:val="TOC1"/>
            <w:tabs>
              <w:tab w:pos="9820" w:val="right" w:leader="dot"/>
            </w:tabs>
            <w:spacing w:before="199"/>
          </w:pPr>
          <w:hyperlink w:history="true" w:anchor="_TOC_25001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  <w:tab/>
              <w:t>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66" w:val="left" w:leader="none"/>
              <w:tab w:pos="9820" w:val="right" w:leader="dot"/>
            </w:tabs>
            <w:spacing w:line="240" w:lineRule="auto" w:before="201" w:after="0"/>
            <w:ind w:left="1966" w:right="0" w:hanging="420"/>
            <w:jc w:val="left"/>
          </w:pPr>
          <w:hyperlink w:history="true" w:anchor="_TOC_250014">
            <w:r>
              <w:rPr/>
              <w:t>RESULTS</w:t>
              <w:tab/>
              <w:t>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13">
            <w:r>
              <w:rPr/>
              <w:t>Uniformity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weight test of Paracetamol tablets</w:t>
              <w:tab/>
              <w:t>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12">
            <w:r>
              <w:rPr/>
              <w:t>Friability</w:t>
            </w:r>
            <w:r>
              <w:rPr>
                <w:spacing w:val="-5"/>
              </w:rPr>
              <w:t> </w:t>
            </w:r>
            <w:r>
              <w:rPr/>
              <w:t>Test</w:t>
              <w:tab/>
              <w:t>40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203" w:after="0"/>
            <w:ind w:left="1906" w:right="0" w:hanging="360"/>
            <w:jc w:val="left"/>
          </w:pPr>
          <w:hyperlink w:history="true" w:anchor="_TOC_250011">
            <w:r>
              <w:rPr/>
              <w:t>Disintegration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42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10">
            <w:r>
              <w:rPr/>
              <w:t>Dissolution</w:t>
            </w:r>
            <w:r>
              <w:rPr>
                <w:spacing w:val="-1"/>
              </w:rPr>
              <w:t> </w:t>
            </w:r>
            <w:r>
              <w:rPr/>
              <w:t>Test (USP</w:t>
            </w:r>
            <w:r>
              <w:rPr>
                <w:spacing w:val="1"/>
              </w:rPr>
              <w:t> </w:t>
            </w:r>
            <w:r>
              <w:rPr/>
              <w:t>XIX)</w:t>
              <w:tab/>
              <w:t>44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09">
            <w:r>
              <w:rPr/>
              <w:t>Chemical Assay</w:t>
            </w:r>
            <w:r>
              <w:rPr>
                <w:spacing w:val="-5"/>
              </w:rPr>
              <w:t> </w:t>
            </w:r>
            <w:r>
              <w:rPr/>
              <w:t>Result of Panadol</w:t>
            </w:r>
            <w:r>
              <w:rPr>
                <w:vertAlign w:val="superscript"/>
              </w:rPr>
              <w:t>®</w:t>
            </w:r>
            <w:r>
              <w:rPr>
                <w:spacing w:val="-3"/>
                <w:vertAlign w:val="baseline"/>
              </w:rPr>
              <w:t> </w:t>
            </w:r>
            <w:r>
              <w:rPr>
                <w:vertAlign w:val="baseline"/>
              </w:rPr>
              <w:t>and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Panadol Extra</w:t>
            </w:r>
            <w:r>
              <w:rPr>
                <w:vertAlign w:val="superscript"/>
              </w:rPr>
              <w:t>®</w:t>
            </w:r>
            <w:r>
              <w:rPr>
                <w:spacing w:val="-3"/>
                <w:vertAlign w:val="baseline"/>
              </w:rPr>
              <w:t> </w:t>
            </w:r>
            <w:r>
              <w:rPr>
                <w:vertAlign w:val="baseline"/>
              </w:rPr>
              <w:t>tablets</w:t>
              <w:tab/>
              <w:t>46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08">
            <w:r>
              <w:rPr/>
              <w:t>Calibration</w:t>
            </w:r>
            <w:r>
              <w:rPr>
                <w:spacing w:val="-1"/>
              </w:rPr>
              <w:t> </w:t>
            </w:r>
            <w:r>
              <w:rPr/>
              <w:t>Curve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Standard Paracetamol Powder</w:t>
              <w:tab/>
              <w:t>48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657" w:val="left" w:leader="none"/>
              <w:tab w:pos="9820" w:val="right" w:leader="dot"/>
            </w:tabs>
            <w:spacing w:line="240" w:lineRule="auto" w:before="198" w:after="0"/>
            <w:ind w:left="1656" w:right="0" w:hanging="332"/>
            <w:jc w:val="left"/>
          </w:pPr>
          <w:hyperlink w:history="true" w:anchor="_TOC_250007">
            <w:r>
              <w:rPr/>
              <w:t>Validation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50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In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vivo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</w:t>
            <w:tab/>
            <w:t>52</w:t>
          </w:r>
        </w:p>
        <w:p>
          <w:pPr>
            <w:pStyle w:val="TOC1"/>
            <w:tabs>
              <w:tab w:pos="9820" w:val="right" w:leader="dot"/>
            </w:tabs>
            <w:spacing w:before="200"/>
          </w:pPr>
          <w:hyperlink w:history="true" w:anchor="_TOC_25000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  <w:tab/>
              <w:t>58</w:t>
            </w:r>
          </w:hyperlink>
        </w:p>
        <w:p>
          <w:pPr>
            <w:pStyle w:val="TOC2"/>
            <w:tabs>
              <w:tab w:pos="9820" w:val="right" w:leader="dot"/>
            </w:tabs>
            <w:spacing w:before="201"/>
            <w:ind w:left="1546" w:firstLine="0"/>
          </w:pPr>
          <w:hyperlink w:history="true" w:anchor="_TOC_250005">
            <w:r>
              <w:rPr/>
              <w:t>5.0</w:t>
            </w:r>
            <w:r>
              <w:rPr>
                <w:spacing w:val="59"/>
              </w:rPr>
              <w:t> </w:t>
            </w:r>
            <w:r>
              <w:rPr/>
              <w:t>DISCUSSION</w:t>
              <w:tab/>
              <w:t>58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06" w:val="left" w:leader="none"/>
              <w:tab w:pos="9820" w:val="right" w:leader="dot"/>
            </w:tabs>
            <w:spacing w:line="240" w:lineRule="auto" w:before="199" w:after="240"/>
            <w:ind w:left="1906" w:right="0" w:hanging="360"/>
            <w:jc w:val="left"/>
          </w:pPr>
          <w:hyperlink w:history="true" w:anchor="_TOC_250004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CONCLUSION</w:t>
              <w:tab/>
              <w:t>63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06" w:val="left" w:leader="none"/>
              <w:tab w:pos="9820" w:val="right" w:leader="dot"/>
            </w:tabs>
            <w:spacing w:line="240" w:lineRule="auto" w:before="74" w:after="0"/>
            <w:ind w:left="1906" w:right="0" w:hanging="360"/>
            <w:jc w:val="left"/>
          </w:pPr>
          <w:hyperlink w:history="true" w:anchor="_TOC_250003">
            <w:r>
              <w:rPr/>
              <w:t>Summary</w:t>
              <w:tab/>
              <w:t>63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06" w:val="left" w:leader="none"/>
              <w:tab w:pos="9820" w:val="right" w:leader="dot"/>
            </w:tabs>
            <w:spacing w:line="240" w:lineRule="auto" w:before="200" w:after="0"/>
            <w:ind w:left="1906" w:right="0" w:hanging="360"/>
            <w:jc w:val="left"/>
          </w:pPr>
          <w:hyperlink w:history="true" w:anchor="_TOC_250002">
            <w:r>
              <w:rPr/>
              <w:t>Conclusion</w:t>
              <w:tab/>
              <w:t>63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657" w:val="left" w:leader="none"/>
              <w:tab w:pos="9820" w:val="right" w:leader="dot"/>
            </w:tabs>
            <w:spacing w:line="240" w:lineRule="auto" w:before="198" w:after="0"/>
            <w:ind w:left="1656" w:right="0" w:hanging="332"/>
            <w:jc w:val="left"/>
          </w:pPr>
          <w:hyperlink w:history="true" w:anchor="_TOC_250001">
            <w:r>
              <w:rPr/>
              <w:t>Recommendation</w:t>
              <w:tab/>
              <w:t>63</w:t>
            </w:r>
          </w:hyperlink>
        </w:p>
        <w:p>
          <w:pPr>
            <w:pStyle w:val="TOC1"/>
            <w:tabs>
              <w:tab w:pos="9820" w:val="right" w:leader="dot"/>
            </w:tabs>
          </w:pPr>
          <w:hyperlink w:history="true" w:anchor="_TOC_250000">
            <w:r>
              <w:rPr/>
              <w:t>REFERENCES</w:t>
              <w:tab/>
              <w:t>64</w:t>
            </w:r>
          </w:hyperlink>
        </w:p>
        <w:p>
          <w:pPr>
            <w:pStyle w:val="TOC1"/>
          </w:pPr>
          <w:r>
            <w:rPr/>
            <w:t>Mehta</w:t>
          </w:r>
          <w:r>
            <w:rPr>
              <w:spacing w:val="-2"/>
            </w:rPr>
            <w:t> </w:t>
          </w:r>
          <w:r>
            <w:rPr/>
            <w:t>S.</w:t>
          </w:r>
          <w:r>
            <w:rPr>
              <w:spacing w:val="-4"/>
            </w:rPr>
            <w:t> </w:t>
          </w:r>
          <w:r>
            <w:rPr/>
            <w:t>(2012)Medicinal</w:t>
          </w:r>
          <w:r>
            <w:rPr>
              <w:spacing w:val="-4"/>
            </w:rPr>
            <w:t> </w:t>
          </w:r>
          <w:r>
            <w:rPr/>
            <w:t>Chemistry,Notes,</w:t>
          </w:r>
          <w:r>
            <w:rPr>
              <w:spacing w:val="-1"/>
            </w:rPr>
            <w:t> </w:t>
          </w:r>
          <w:r>
            <w:rPr/>
            <w:t>Pharmacology</w:t>
          </w:r>
          <w:r>
            <w:rPr>
              <w:spacing w:val="49"/>
            </w:rPr>
            <w:t> </w:t>
          </w:r>
          <w:r>
            <w:rPr/>
            <w:t>August,</w:t>
          </w:r>
          <w:r>
            <w:rPr>
              <w:spacing w:val="-1"/>
            </w:rPr>
            <w:t> </w:t>
          </w:r>
          <w:r>
            <w:rPr/>
            <w:t>25</w:t>
          </w:r>
          <w:r>
            <w:rPr>
              <w:spacing w:val="-2"/>
            </w:rPr>
            <w:t> </w:t>
          </w:r>
          <w:r>
            <w:rPr/>
            <w:t>2012.</w:t>
          </w:r>
        </w:p>
        <w:p>
          <w:pPr>
            <w:pStyle w:val="TOC6"/>
          </w:pPr>
          <w:hyperlink r:id="rId6">
            <w:r>
              <w:rPr/>
              <w:t>http://pharmax</w:t>
            </w:r>
          </w:hyperlink>
        </w:p>
        <w:p>
          <w:pPr>
            <w:pStyle w:val="TOC1"/>
            <w:tabs>
              <w:tab w:pos="8476" w:val="left" w:leader="none"/>
            </w:tabs>
            <w:spacing w:before="1"/>
          </w:pPr>
          <w:r>
            <w:rPr/>
            <w:t>change.info/press/2012/08</w:t>
            <w:tab/>
            <w:t>70</w:t>
          </w:r>
        </w:p>
      </w:sdtContent>
    </w:sdt>
    <w:p>
      <w:pPr>
        <w:spacing w:after="0"/>
        <w:sectPr>
          <w:type w:val="continuous"/>
          <w:pgSz w:w="11910" w:h="16840"/>
          <w:pgMar w:top="1340" w:bottom="1425" w:left="660" w:right="0"/>
        </w:sectPr>
      </w:pPr>
    </w:p>
    <w:p>
      <w:pPr>
        <w:pStyle w:val="Heading1"/>
        <w:spacing w:before="77"/>
        <w:ind w:right="2077"/>
        <w:jc w:val="center"/>
      </w:pPr>
      <w:bookmarkStart w:name="_TOC_250036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325"/>
      </w:pPr>
      <w:r>
        <w:rPr/>
        <w:t>Table</w:t>
      </w:r>
      <w:r>
        <w:rPr>
          <w:spacing w:val="19"/>
        </w:rPr>
        <w:t> </w:t>
      </w:r>
      <w:r>
        <w:rPr/>
        <w:t>4.1:</w:t>
      </w:r>
      <w:r>
        <w:rPr>
          <w:spacing w:val="20"/>
        </w:rPr>
        <w:t> </w:t>
      </w:r>
      <w:r>
        <w:rPr/>
        <w:t>Weight</w:t>
      </w:r>
      <w:r>
        <w:rPr>
          <w:spacing w:val="21"/>
        </w:rPr>
        <w:t> </w:t>
      </w:r>
      <w:r>
        <w:rPr/>
        <w:t>Uniformity</w:t>
      </w:r>
      <w:r>
        <w:rPr>
          <w:spacing w:val="15"/>
        </w:rPr>
        <w:t> </w:t>
      </w:r>
      <w:r>
        <w:rPr/>
        <w:t>test</w:t>
      </w:r>
      <w:r>
        <w:rPr>
          <w:spacing w:val="24"/>
        </w:rPr>
        <w:t> </w:t>
      </w:r>
      <w:r>
        <w:rPr/>
        <w:t>for</w:t>
      </w:r>
      <w:r>
        <w:rPr>
          <w:spacing w:val="18"/>
        </w:rPr>
        <w:t> </w:t>
      </w:r>
      <w:r>
        <w:rPr/>
        <w:t>samples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vertAlign w:val="baseline"/>
        </w:rPr>
        <w:t> and</w:t>
      </w:r>
      <w:r>
        <w:rPr>
          <w:spacing w:val="2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2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8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41"/>
        <w:ind w:left="9390" w:right="1423"/>
        <w:jc w:val="center"/>
      </w:pPr>
      <w:r>
        <w:rPr/>
        <w:t>39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9546" w:val="left" w:leader="none"/>
        </w:tabs>
        <w:spacing w:line="276" w:lineRule="auto"/>
        <w:ind w:left="2405" w:right="1412" w:hanging="1080"/>
      </w:pPr>
      <w:r>
        <w:rPr/>
        <w:t>Table</w:t>
      </w:r>
      <w:r>
        <w:rPr>
          <w:spacing w:val="47"/>
        </w:rPr>
        <w:t> </w:t>
      </w:r>
      <w:r>
        <w:rPr/>
        <w:t>4.2:</w:t>
      </w:r>
      <w:r>
        <w:rPr>
          <w:spacing w:val="48"/>
        </w:rPr>
        <w:t> </w:t>
      </w:r>
      <w:r>
        <w:rPr/>
        <w:t>Friability</w:t>
      </w:r>
      <w:r>
        <w:rPr>
          <w:spacing w:val="42"/>
        </w:rPr>
        <w:t> </w:t>
      </w:r>
      <w:r>
        <w:rPr/>
        <w:t>test</w:t>
      </w:r>
      <w:r>
        <w:rPr>
          <w:spacing w:val="48"/>
        </w:rPr>
        <w:t> </w:t>
      </w:r>
      <w:r>
        <w:rPr/>
        <w:t>result</w:t>
      </w:r>
      <w:r>
        <w:rPr>
          <w:spacing w:val="48"/>
        </w:rPr>
        <w:t> </w:t>
      </w:r>
      <w:r>
        <w:rPr/>
        <w:t>for</w:t>
      </w:r>
      <w:r>
        <w:rPr>
          <w:spacing w:val="46"/>
        </w:rPr>
        <w:t> </w:t>
      </w:r>
      <w:r>
        <w:rPr/>
        <w:t>samples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45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48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48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</w:t>
        <w:tab/>
        <w:t>41</w:t>
      </w:r>
    </w:p>
    <w:p>
      <w:pPr>
        <w:pStyle w:val="BodyText"/>
        <w:tabs>
          <w:tab w:pos="9426" w:val="left" w:leader="none"/>
        </w:tabs>
        <w:spacing w:before="201"/>
        <w:ind w:left="1325"/>
      </w:pPr>
      <w:r>
        <w:rPr>
          <w:spacing w:val="-1"/>
        </w:rPr>
        <w:t>Table </w:t>
      </w:r>
      <w:r>
        <w:rPr/>
        <w:t>4.3: Disintegration</w:t>
      </w:r>
      <w:r>
        <w:rPr>
          <w:spacing w:val="2"/>
        </w:rPr>
        <w:t> </w:t>
      </w:r>
      <w:r>
        <w:rPr/>
        <w:t>test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samples of</w:t>
      </w:r>
      <w:r>
        <w:rPr>
          <w:spacing w:val="-2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and Panadol Extra</w:t>
      </w:r>
      <w:r>
        <w:rPr>
          <w:vertAlign w:val="superscript"/>
        </w:rPr>
        <w:t>®</w:t>
      </w:r>
      <w:r>
        <w:rPr>
          <w:spacing w:val="-18"/>
          <w:vertAlign w:val="baseline"/>
        </w:rPr>
        <w:t> </w:t>
      </w:r>
      <w:r>
        <w:rPr>
          <w:vertAlign w:val="baseline"/>
        </w:rPr>
        <w:t>tablets</w:t>
        <w:tab/>
        <w:t>43</w:t>
      </w:r>
    </w:p>
    <w:p>
      <w:pPr>
        <w:pStyle w:val="BodyText"/>
        <w:spacing w:before="240" w:after="54"/>
        <w:ind w:left="1325"/>
      </w:pPr>
      <w:r>
        <w:rPr/>
        <w:t>Table</w:t>
      </w:r>
      <w:r>
        <w:rPr>
          <w:spacing w:val="24"/>
        </w:rPr>
        <w:t> </w:t>
      </w:r>
      <w:r>
        <w:rPr/>
        <w:t>4.4:</w:t>
      </w:r>
      <w:r>
        <w:rPr>
          <w:spacing w:val="26"/>
        </w:rPr>
        <w:t> </w:t>
      </w:r>
      <w:r>
        <w:rPr/>
        <w:t>Dissolution</w:t>
      </w:r>
      <w:r>
        <w:rPr>
          <w:spacing w:val="25"/>
        </w:rPr>
        <w:t> </w:t>
      </w:r>
      <w:r>
        <w:rPr/>
        <w:t>rate</w:t>
      </w:r>
      <w:r>
        <w:rPr>
          <w:spacing w:val="52"/>
        </w:rPr>
        <w:t> </w:t>
      </w:r>
      <w:r>
        <w:rPr/>
        <w:t>for</w:t>
      </w:r>
      <w:r>
        <w:rPr>
          <w:spacing w:val="111"/>
        </w:rPr>
        <w:t> </w:t>
      </w:r>
      <w:r>
        <w:rPr/>
        <w:t>sample</w:t>
      </w:r>
      <w:r>
        <w:rPr>
          <w:spacing w:val="24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26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2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0.1M</w:t>
      </w:r>
    </w:p>
    <w:tbl>
      <w:tblPr>
        <w:tblW w:w="0" w:type="auto"/>
        <w:jc w:val="left"/>
        <w:tblInd w:w="1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9"/>
        <w:gridCol w:w="343"/>
        <w:gridCol w:w="420"/>
      </w:tblGrid>
      <w:tr>
        <w:trPr>
          <w:trHeight w:val="370" w:hRule="atLeast"/>
        </w:trPr>
        <w:tc>
          <w:tcPr>
            <w:tcW w:w="7819" w:type="dxa"/>
          </w:tcPr>
          <w:p>
            <w:pPr>
              <w:pStyle w:val="TableParagraph"/>
              <w:spacing w:line="266" w:lineRule="exact"/>
              <w:ind w:left="1112" w:right="994"/>
              <w:jc w:val="center"/>
              <w:rPr>
                <w:sz w:val="24"/>
              </w:rPr>
            </w:pPr>
            <w:r>
              <w:rPr>
                <w:sz w:val="24"/>
              </w:rPr>
              <w:t>HCl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USP rotating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 measured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257nm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line="26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15" w:hRule="atLeast"/>
        </w:trPr>
        <w:tc>
          <w:tcPr>
            <w:tcW w:w="78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Table 4.5: Chemical Assay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Panadol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Panadol 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tablets</w:t>
            </w:r>
          </w:p>
        </w:tc>
        <w:tc>
          <w:tcPr>
            <w:tcW w:w="343" w:type="dxa"/>
          </w:tcPr>
          <w:p>
            <w:pPr>
              <w:pStyle w:val="TableParagraph"/>
              <w:spacing w:before="13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13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689" w:hRule="atLeast"/>
        </w:trPr>
        <w:tc>
          <w:tcPr>
            <w:tcW w:w="7819" w:type="dxa"/>
          </w:tcPr>
          <w:p>
            <w:pPr>
              <w:pStyle w:val="TableParagraph"/>
              <w:spacing w:line="280" w:lineRule="atLeast" w:before="111"/>
              <w:ind w:left="1069" w:right="550" w:hanging="1020"/>
              <w:rPr>
                <w:sz w:val="24"/>
              </w:rPr>
            </w:pPr>
            <w:r>
              <w:rPr>
                <w:sz w:val="24"/>
              </w:rPr>
              <w:t>Table 4.6: Mean Saliva Paracetamol Concentration in Panadol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 tablets and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Panadol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tablets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>
      <w:pPr>
        <w:pStyle w:val="BodyText"/>
        <w:spacing w:before="197"/>
        <w:ind w:left="1325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1"/>
        </w:rPr>
        <w:t> </w:t>
      </w:r>
      <w:r>
        <w:rPr/>
        <w:t>Mean</w:t>
      </w:r>
      <w:r>
        <w:rPr>
          <w:spacing w:val="-2"/>
        </w:rPr>
        <w:t> </w:t>
      </w:r>
      <w:r>
        <w:rPr/>
        <w:t>Pharmacokinetic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tabs>
          <w:tab w:pos="9546" w:val="left" w:leader="none"/>
        </w:tabs>
        <w:spacing w:before="2"/>
        <w:ind w:left="2405"/>
      </w:pPr>
      <w:r>
        <w:rPr/>
        <w:t>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  <w:tab/>
        <w:t>56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79"/>
        <w:jc w:val="center"/>
      </w:pPr>
      <w:bookmarkStart w:name="_TOC_250035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1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6658"/>
        <w:gridCol w:w="341"/>
      </w:tblGrid>
      <w:tr>
        <w:trPr>
          <w:trHeight w:val="370" w:hRule="atLeast"/>
        </w:trPr>
        <w:tc>
          <w:tcPr>
            <w:tcW w:w="126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4548" w:val="left" w:leader="none"/>
                <w:tab w:pos="5269" w:val="left" w:leader="none"/>
                <w:tab w:pos="5989" w:val="left" w:leader="none"/>
              </w:tabs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  <w:tab/>
              <w:t>-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line="266" w:lineRule="exact"/>
              <w:ind w:left="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75" w:hRule="atLeast"/>
        </w:trPr>
        <w:tc>
          <w:tcPr>
            <w:tcW w:w="126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4548" w:val="left" w:leader="none"/>
                <w:tab w:pos="5269" w:val="left" w:leader="none"/>
                <w:tab w:pos="5989" w:val="left" w:leader="none"/>
              </w:tabs>
              <w:spacing w:before="94"/>
              <w:ind w:left="227"/>
              <w:rPr>
                <w:sz w:val="24"/>
              </w:rPr>
            </w:pPr>
            <w:r>
              <w:rPr>
                <w:sz w:val="24"/>
              </w:rPr>
              <w:t>Synthesis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nitration</w:t>
              <w:tab/>
              <w:t>-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94"/>
              <w:ind w:left="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13" w:hRule="atLeast"/>
        </w:trPr>
        <w:tc>
          <w:tcPr>
            <w:tcW w:w="126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4548" w:val="left" w:leader="none"/>
                <w:tab w:pos="5269" w:val="left" w:leader="none"/>
                <w:tab w:pos="5989" w:val="left" w:leader="none"/>
              </w:tabs>
              <w:spacing w:before="94"/>
              <w:ind w:left="227"/>
              <w:rPr>
                <w:sz w:val="24"/>
              </w:rPr>
            </w:pPr>
            <w:r>
              <w:rPr>
                <w:sz w:val="24"/>
              </w:rPr>
              <w:t>Synthesis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Acylation</w:t>
              <w:tab/>
              <w:t>-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94"/>
              <w:ind w:left="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126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Chemical pathway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metabolism of paracetamol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133"/>
              <w:ind w:left="5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126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caffeine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133"/>
              <w:ind w:left="5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126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Calibration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133"/>
              <w:ind w:left="5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5" w:hRule="atLeast"/>
        </w:trPr>
        <w:tc>
          <w:tcPr>
            <w:tcW w:w="1262" w:type="dxa"/>
          </w:tcPr>
          <w:p>
            <w:pPr>
              <w:pStyle w:val="TableParagraph"/>
              <w:spacing w:line="262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658" w:type="dxa"/>
          </w:tcPr>
          <w:p>
            <w:pPr>
              <w:pStyle w:val="TableParagraph"/>
              <w:spacing w:line="262" w:lineRule="exact" w:before="133"/>
              <w:ind w:left="311"/>
              <w:rPr>
                <w:sz w:val="24"/>
              </w:rPr>
            </w:pPr>
            <w:r>
              <w:rPr>
                <w:sz w:val="24"/>
              </w:rPr>
              <w:t>Validation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 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UV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5" w:hRule="atLeast"/>
        </w:trPr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line="272" w:lineRule="exact"/>
              <w:ind w:left="227"/>
              <w:rPr>
                <w:sz w:val="24"/>
              </w:rPr>
            </w:pPr>
            <w:r>
              <w:rPr>
                <w:sz w:val="24"/>
              </w:rPr>
              <w:t>Spectrophotometer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 430nm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line="272" w:lineRule="exact"/>
              <w:ind w:left="5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667" w:hRule="atLeast"/>
        </w:trPr>
        <w:tc>
          <w:tcPr>
            <w:tcW w:w="1262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line="280" w:lineRule="atLeast" w:before="89"/>
              <w:ind w:left="287" w:right="49"/>
              <w:rPr>
                <w:sz w:val="24"/>
              </w:rPr>
            </w:pPr>
            <w:r>
              <w:rPr>
                <w:sz w:val="24"/>
              </w:rPr>
              <w:t>Mean saliva concentration of paracetamol in Panadol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 tablets and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Panadol 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tablets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/>
              <w:ind w:left="5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>
      <w:pPr>
        <w:pStyle w:val="BodyText"/>
        <w:tabs>
          <w:tab w:pos="2765" w:val="left" w:leader="none"/>
          <w:tab w:pos="9486" w:val="right" w:leader="none"/>
        </w:tabs>
        <w:spacing w:line="242" w:lineRule="auto" w:before="197"/>
        <w:ind w:left="2765" w:right="1417" w:hanging="1440"/>
      </w:pPr>
      <w:r>
        <w:rPr/>
        <w:t>Figure</w:t>
      </w:r>
      <w:r>
        <w:rPr>
          <w:spacing w:val="-3"/>
        </w:rPr>
        <w:t> </w:t>
      </w:r>
      <w:r>
        <w:rPr/>
        <w:t>4.4</w:t>
        <w:tab/>
        <w:t>Semi- log</w:t>
      </w:r>
      <w:r>
        <w:rPr>
          <w:spacing w:val="1"/>
        </w:rPr>
        <w:t> </w:t>
      </w:r>
      <w:r>
        <w:rPr/>
        <w:t>saliva paracetamol</w:t>
      </w:r>
      <w:r>
        <w:rPr>
          <w:spacing w:val="1"/>
        </w:rPr>
        <w:t> </w:t>
      </w:r>
      <w:r>
        <w:rPr/>
        <w:t>concentratio</w:t>
      </w:r>
      <w:r>
        <w:rPr>
          <w:spacing w:val="1"/>
        </w:rPr>
        <w:t> </w:t>
      </w:r>
      <w:r>
        <w:rPr/>
        <w:t>time</w:t>
      </w:r>
      <w:r>
        <w:rPr>
          <w:spacing w:val="3"/>
        </w:rPr>
        <w:t> </w:t>
      </w:r>
      <w:r>
        <w:rPr/>
        <w:t>graph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  <w:tab/>
        <w:t>54</w:t>
      </w:r>
    </w:p>
    <w:p>
      <w:pPr>
        <w:spacing w:after="0" w:line="242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2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9246" w:val="left" w:leader="none"/>
        </w:tabs>
        <w:spacing w:line="242" w:lineRule="auto" w:before="530"/>
        <w:ind w:left="2525" w:right="1757" w:hanging="1200"/>
      </w:pPr>
      <w:r>
        <w:rPr/>
        <w:t>Appendix 1 Mean saliva paracetamol concentration in healthy subjects after oral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1g</w:t>
      </w:r>
      <w:r>
        <w:rPr>
          <w:spacing w:val="-1"/>
        </w:rPr>
        <w:t> </w:t>
      </w:r>
      <w:r>
        <w:rPr/>
        <w:t>tablets.</w:t>
        <w:tab/>
      </w:r>
      <w:r>
        <w:rPr>
          <w:spacing w:val="-1"/>
        </w:rPr>
        <w:t>74</w:t>
      </w:r>
    </w:p>
    <w:p>
      <w:pPr>
        <w:pStyle w:val="BodyText"/>
        <w:tabs>
          <w:tab w:pos="9246" w:val="left" w:leader="none"/>
        </w:tabs>
        <w:spacing w:line="242" w:lineRule="auto" w:before="194"/>
        <w:ind w:left="2525" w:right="1757" w:hanging="1200"/>
      </w:pPr>
      <w:r>
        <w:rPr/>
        <w:t>Appendix 2 Mean saliva paracetamol concentration in healthy subjects after oral</w:t>
      </w:r>
      <w:r>
        <w:rPr>
          <w:spacing w:val="1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1g</w:t>
      </w:r>
      <w:r>
        <w:rPr>
          <w:spacing w:val="-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washout</w:t>
        <w:tab/>
      </w:r>
      <w:r>
        <w:rPr>
          <w:spacing w:val="-1"/>
        </w:rPr>
        <w:t>75</w:t>
      </w:r>
    </w:p>
    <w:p>
      <w:pPr>
        <w:pStyle w:val="BodyText"/>
        <w:spacing w:before="199"/>
        <w:ind w:left="1325"/>
      </w:pPr>
      <w:r>
        <w:rPr/>
        <w:t>Appendix 3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Pharmacokinetic</w:t>
      </w:r>
      <w:r>
        <w:rPr>
          <w:spacing w:val="-2"/>
        </w:rPr>
        <w:t> </w:t>
      </w:r>
      <w:r>
        <w:rPr/>
        <w:t>Parameters for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</w:p>
    <w:p>
      <w:pPr>
        <w:pStyle w:val="BodyText"/>
        <w:tabs>
          <w:tab w:pos="9246" w:val="left" w:leader="none"/>
        </w:tabs>
        <w:spacing w:before="40"/>
        <w:ind w:left="2585"/>
      </w:pPr>
      <w:r>
        <w:rPr/>
        <w:t>saliva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volunteers after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1g</w:t>
      </w:r>
      <w:r>
        <w:rPr>
          <w:spacing w:val="-5"/>
        </w:rPr>
        <w:t> </w:t>
      </w:r>
      <w:r>
        <w:rPr/>
        <w:t>Samples</w:t>
        <w:tab/>
        <w:t>76</w:t>
      </w:r>
    </w:p>
    <w:p>
      <w:pPr>
        <w:pStyle w:val="BodyText"/>
        <w:spacing w:before="243" w:after="52"/>
        <w:ind w:left="1325"/>
      </w:pPr>
      <w:r>
        <w:rPr/>
        <w:t>Appendix 4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Pharmacokinetic</w:t>
      </w:r>
      <w:r>
        <w:rPr>
          <w:spacing w:val="-2"/>
        </w:rPr>
        <w:t> </w:t>
      </w:r>
      <w:r>
        <w:rPr/>
        <w:t>Parameters for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</w:p>
    <w:tbl>
      <w:tblPr>
        <w:tblW w:w="0" w:type="auto"/>
        <w:jc w:val="left"/>
        <w:tblInd w:w="1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6614"/>
        <w:gridCol w:w="344"/>
      </w:tblGrid>
      <w:tr>
        <w:trPr>
          <w:trHeight w:val="390" w:hRule="atLeast"/>
        </w:trPr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4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saliva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volunteers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 administration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344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17" w:hRule="atLeast"/>
        </w:trPr>
        <w:tc>
          <w:tcPr>
            <w:tcW w:w="13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6614" w:type="dxa"/>
          </w:tcPr>
          <w:p>
            <w:pPr>
              <w:pStyle w:val="TableParagraph"/>
              <w:spacing w:before="115"/>
              <w:ind w:left="185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Panadol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(A1)</w:t>
            </w:r>
          </w:p>
        </w:tc>
        <w:tc>
          <w:tcPr>
            <w:tcW w:w="344" w:type="dxa"/>
          </w:tcPr>
          <w:p>
            <w:pPr>
              <w:pStyle w:val="TableParagraph"/>
              <w:spacing w:before="1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18" w:hRule="atLeast"/>
        </w:trPr>
        <w:tc>
          <w:tcPr>
            <w:tcW w:w="130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6614" w:type="dxa"/>
          </w:tcPr>
          <w:p>
            <w:pPr>
              <w:pStyle w:val="TableParagraph"/>
              <w:spacing w:before="116"/>
              <w:ind w:left="185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Panadol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(A2)</w:t>
            </w:r>
          </w:p>
        </w:tc>
        <w:tc>
          <w:tcPr>
            <w:tcW w:w="344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97" w:hRule="atLeast"/>
        </w:trPr>
        <w:tc>
          <w:tcPr>
            <w:tcW w:w="130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6614" w:type="dxa"/>
          </w:tcPr>
          <w:p>
            <w:pPr>
              <w:pStyle w:val="TableParagraph"/>
              <w:spacing w:before="116"/>
              <w:ind w:left="185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Panadol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(A3)</w:t>
            </w:r>
          </w:p>
        </w:tc>
        <w:tc>
          <w:tcPr>
            <w:tcW w:w="344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17" w:hRule="atLeast"/>
        </w:trPr>
        <w:tc>
          <w:tcPr>
            <w:tcW w:w="1304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6614" w:type="dxa"/>
          </w:tcPr>
          <w:p>
            <w:pPr>
              <w:pStyle w:val="TableParagraph"/>
              <w:spacing w:before="13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Panadol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tablet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(B1)</w:t>
            </w:r>
          </w:p>
        </w:tc>
        <w:tc>
          <w:tcPr>
            <w:tcW w:w="344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517" w:hRule="atLeast"/>
        </w:trPr>
        <w:tc>
          <w:tcPr>
            <w:tcW w:w="1304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6614" w:type="dxa"/>
          </w:tcPr>
          <w:p>
            <w:pPr>
              <w:pStyle w:val="TableParagraph"/>
              <w:spacing w:before="136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Panadol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tablet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(B2)</w:t>
            </w:r>
          </w:p>
        </w:tc>
        <w:tc>
          <w:tcPr>
            <w:tcW w:w="344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11" w:hRule="atLeast"/>
        </w:trPr>
        <w:tc>
          <w:tcPr>
            <w:tcW w:w="1304" w:type="dxa"/>
          </w:tcPr>
          <w:p>
            <w:pPr>
              <w:pStyle w:val="TableParagraph"/>
              <w:spacing w:line="256" w:lineRule="exact" w:before="13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6614" w:type="dxa"/>
          </w:tcPr>
          <w:p>
            <w:pPr>
              <w:pStyle w:val="TableParagraph"/>
              <w:spacing w:line="256" w:lineRule="exact" w:before="13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Panadol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tablet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(B3)</w:t>
            </w:r>
          </w:p>
        </w:tc>
        <w:tc>
          <w:tcPr>
            <w:tcW w:w="344" w:type="dxa"/>
          </w:tcPr>
          <w:p>
            <w:pPr>
              <w:pStyle w:val="TableParagraph"/>
              <w:spacing w:line="256" w:lineRule="exact"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76"/>
        <w:jc w:val="center"/>
      </w:pPr>
      <w:bookmarkStart w:name="_TOC_250034" w:id="8"/>
      <w:bookmarkEnd w:id="8"/>
      <w:r>
        <w:rPr/>
        <w:t>ABBREVIATIONS</w:t>
      </w:r>
    </w:p>
    <w:p>
      <w:pPr>
        <w:pStyle w:val="BodyText"/>
        <w:rPr>
          <w:b/>
          <w:sz w:val="26"/>
        </w:rPr>
      </w:pPr>
    </w:p>
    <w:p>
      <w:pPr>
        <w:tabs>
          <w:tab w:pos="4205" w:val="left" w:leader="none"/>
        </w:tabs>
        <w:spacing w:before="178"/>
        <w:ind w:left="1325" w:right="0" w:firstLine="0"/>
        <w:jc w:val="left"/>
        <w:rPr>
          <w:b/>
          <w:sz w:val="24"/>
        </w:rPr>
      </w:pPr>
      <w:r>
        <w:rPr>
          <w:b/>
          <w:sz w:val="24"/>
        </w:rPr>
        <w:t>Abbreviation</w:t>
        <w:tab/>
        <w:t>Meaning</w:t>
      </w:r>
    </w:p>
    <w:p>
      <w:pPr>
        <w:pStyle w:val="BodyText"/>
        <w:tabs>
          <w:tab w:pos="4205" w:val="left" w:leader="none"/>
        </w:tabs>
        <w:spacing w:before="195"/>
        <w:ind w:left="1325"/>
      </w:pPr>
      <w:r>
        <w:rPr/>
        <w:t>B.P</w:t>
        <w:tab/>
        <w:t>British</w:t>
      </w:r>
      <w:r>
        <w:rPr>
          <w:spacing w:val="-3"/>
        </w:rPr>
        <w:t> </w:t>
      </w:r>
      <w:r>
        <w:rPr/>
        <w:t>Pharmacopoiea</w:t>
      </w:r>
    </w:p>
    <w:p>
      <w:pPr>
        <w:pStyle w:val="BodyText"/>
        <w:tabs>
          <w:tab w:pos="4205" w:val="left" w:leader="none"/>
        </w:tabs>
        <w:spacing w:before="202"/>
        <w:ind w:left="1325"/>
      </w:pPr>
      <w:r>
        <w:rPr/>
        <w:t>U.S.P</w:t>
        <w:tab/>
        <w:t>United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Pharmacopoiea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IP</w:t>
        <w:tab/>
        <w:t>Indian</w:t>
      </w:r>
      <w:r>
        <w:rPr>
          <w:spacing w:val="-3"/>
        </w:rPr>
        <w:t> </w:t>
      </w:r>
      <w:r>
        <w:rPr/>
        <w:t>Pharmacopoiea</w:t>
      </w:r>
    </w:p>
    <w:p>
      <w:pPr>
        <w:pStyle w:val="BodyText"/>
        <w:tabs>
          <w:tab w:pos="3905" w:val="left" w:leader="none"/>
          <w:tab w:pos="4205" w:val="left" w:leader="none"/>
        </w:tabs>
        <w:spacing w:line="415" w:lineRule="auto" w:before="199"/>
        <w:ind w:left="1325" w:right="4308"/>
      </w:pPr>
      <w:r>
        <w:rPr/>
        <w:t>ºC</w:t>
        <w:tab/>
        <w:tab/>
        <w:t>Degree Centigrade (Celsius)</w:t>
      </w:r>
      <w:r>
        <w:rPr>
          <w:spacing w:val="-57"/>
        </w:rPr>
        <w:t> </w:t>
      </w:r>
      <w:r>
        <w:rPr/>
        <w:t>kg</w:t>
        <w:tab/>
        <w:t>Kilogram</w:t>
      </w:r>
    </w:p>
    <w:p>
      <w:pPr>
        <w:pStyle w:val="BodyText"/>
        <w:tabs>
          <w:tab w:pos="4205" w:val="left" w:leader="none"/>
        </w:tabs>
        <w:spacing w:line="274" w:lineRule="exact"/>
        <w:ind w:left="1325"/>
      </w:pPr>
      <w:r>
        <w:rPr/>
        <w:t>g</w:t>
        <w:tab/>
        <w:t>Gram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µg</w:t>
        <w:tab/>
        <w:t>Microgram</w:t>
      </w:r>
    </w:p>
    <w:p>
      <w:pPr>
        <w:pStyle w:val="BodyText"/>
        <w:tabs>
          <w:tab w:pos="4205" w:val="left" w:leader="none"/>
        </w:tabs>
        <w:spacing w:before="202"/>
        <w:ind w:left="1325"/>
      </w:pPr>
      <w:r>
        <w:rPr/>
        <w:t>mg</w:t>
        <w:tab/>
        <w:t>Milligram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ml</w:t>
        <w:tab/>
        <w:t>Millilitre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min</w:t>
        <w:tab/>
        <w:t>Minutes</w:t>
      </w:r>
    </w:p>
    <w:p>
      <w:pPr>
        <w:pStyle w:val="BodyText"/>
        <w:tabs>
          <w:tab w:pos="4205" w:val="left" w:leader="none"/>
        </w:tabs>
        <w:spacing w:before="202"/>
        <w:ind w:left="1325"/>
      </w:pPr>
      <w:r>
        <w:rPr/>
        <w:t>hr</w:t>
        <w:tab/>
        <w:t>Hour</w:t>
      </w:r>
    </w:p>
    <w:p>
      <w:pPr>
        <w:pStyle w:val="BodyText"/>
        <w:tabs>
          <w:tab w:pos="4205" w:val="left" w:leader="none"/>
        </w:tabs>
        <w:spacing w:before="200"/>
        <w:ind w:left="1325"/>
      </w:pPr>
      <w:r>
        <w:rPr/>
        <w:t>HCl</w:t>
        <w:tab/>
        <w:t>Hydrochloric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NaOH</w:t>
        <w:tab/>
        <w:t>Sodium</w:t>
      </w:r>
      <w:r>
        <w:rPr>
          <w:spacing w:val="-2"/>
        </w:rPr>
        <w:t> </w:t>
      </w:r>
      <w:r>
        <w:rPr/>
        <w:t>hydroxide</w:t>
      </w:r>
    </w:p>
    <w:p>
      <w:pPr>
        <w:pStyle w:val="BodyText"/>
        <w:tabs>
          <w:tab w:pos="4205" w:val="left" w:leader="none"/>
        </w:tabs>
        <w:spacing w:before="201"/>
        <w:ind w:left="1325"/>
      </w:pPr>
      <w:r>
        <w:rPr/>
        <w:t>NaNO</w:t>
      </w:r>
      <w:r>
        <w:rPr>
          <w:vertAlign w:val="subscript"/>
        </w:rPr>
        <w:t>3</w:t>
      </w:r>
      <w:r>
        <w:rPr>
          <w:vertAlign w:val="baseline"/>
        </w:rPr>
        <w:tab/>
        <w:t>Sodium</w:t>
      </w:r>
      <w:r>
        <w:rPr>
          <w:spacing w:val="-1"/>
          <w:vertAlign w:val="baseline"/>
        </w:rPr>
        <w:t> </w:t>
      </w:r>
      <w:r>
        <w:rPr>
          <w:vertAlign w:val="baseline"/>
        </w:rPr>
        <w:t>Nitrite</w:t>
      </w:r>
    </w:p>
    <w:p>
      <w:pPr>
        <w:pStyle w:val="BodyText"/>
        <w:tabs>
          <w:tab w:pos="4205" w:val="left" w:leader="none"/>
        </w:tabs>
        <w:spacing w:before="200"/>
        <w:ind w:left="1325"/>
      </w:pPr>
      <w:r>
        <w:rPr/>
        <w:t>pH</w:t>
        <w:tab/>
        <w:t>Negative</w:t>
      </w:r>
      <w:r>
        <w:rPr>
          <w:spacing w:val="-3"/>
        </w:rPr>
        <w:t> </w:t>
      </w:r>
      <w:r>
        <w:rPr/>
        <w:t>logarithm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ion</w:t>
      </w:r>
      <w:r>
        <w:rPr>
          <w:spacing w:val="-2"/>
        </w:rPr>
        <w:t> </w:t>
      </w:r>
      <w:r>
        <w:rPr/>
        <w:t>concentration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U.V</w:t>
        <w:tab/>
        <w:t>Ultraviolet</w:t>
      </w:r>
    </w:p>
    <w:p>
      <w:pPr>
        <w:pStyle w:val="BodyText"/>
        <w:tabs>
          <w:tab w:pos="3852" w:val="left" w:leader="none"/>
        </w:tabs>
        <w:spacing w:before="201"/>
        <w:ind w:left="1325"/>
      </w:pPr>
      <w:r>
        <w:rPr/>
        <w:t>nm</w:t>
        <w:tab/>
        <w:t>Nanometer</w:t>
      </w:r>
    </w:p>
    <w:p>
      <w:pPr>
        <w:pStyle w:val="BodyText"/>
        <w:tabs>
          <w:tab w:pos="3838" w:val="left" w:leader="none"/>
        </w:tabs>
        <w:spacing w:before="200"/>
        <w:ind w:left="1325"/>
      </w:pPr>
      <w:r>
        <w:rPr/>
        <w:t>cm</w:t>
        <w:tab/>
        <w:t>centimeter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L</w:t>
        <w:tab/>
        <w:t>Litre</w:t>
      </w:r>
    </w:p>
    <w:p>
      <w:pPr>
        <w:pStyle w:val="BodyText"/>
        <w:tabs>
          <w:tab w:pos="4205" w:val="left" w:leader="none"/>
        </w:tabs>
        <w:spacing w:before="202"/>
        <w:ind w:left="1325"/>
      </w:pPr>
      <w:r>
        <w:rPr/>
        <w:t>%</w:t>
        <w:tab/>
        <w:t>Percentage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r.p.m.</w:t>
        <w:tab/>
        <w:t>Revolutions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minute</w:t>
      </w:r>
    </w:p>
    <w:p>
      <w:pPr>
        <w:pStyle w:val="BodyText"/>
        <w:tabs>
          <w:tab w:pos="4205" w:val="left" w:leader="none"/>
        </w:tabs>
        <w:spacing w:line="242" w:lineRule="auto" w:before="197"/>
        <w:ind w:left="4205" w:right="1419" w:hanging="2881"/>
      </w:pPr>
      <w:r>
        <w:rPr/>
        <w:t>NAFDAC</w:t>
        <w:tab/>
        <w:t>National</w:t>
      </w:r>
      <w:r>
        <w:rPr>
          <w:spacing w:val="30"/>
        </w:rPr>
        <w:t> </w:t>
      </w:r>
      <w:r>
        <w:rPr/>
        <w:t>Agency</w:t>
      </w:r>
      <w:r>
        <w:rPr>
          <w:spacing w:val="27"/>
        </w:rPr>
        <w:t> </w:t>
      </w:r>
      <w:r>
        <w:rPr/>
        <w:t>for</w:t>
      </w:r>
      <w:r>
        <w:rPr>
          <w:spacing w:val="29"/>
        </w:rPr>
        <w:t> </w:t>
      </w:r>
      <w:r>
        <w:rPr/>
        <w:t>Food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Drug</w:t>
      </w:r>
      <w:r>
        <w:rPr>
          <w:spacing w:val="27"/>
        </w:rPr>
        <w:t> </w:t>
      </w:r>
      <w:r>
        <w:rPr/>
        <w:t>Administration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Control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SIGN</w:t>
        <w:tab/>
        <w:t>Scottish Intercollegiate</w:t>
      </w:r>
      <w:r>
        <w:rPr>
          <w:spacing w:val="-3"/>
        </w:rPr>
        <w:t> </w:t>
      </w:r>
      <w:r>
        <w:rPr/>
        <w:t>Guidelines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MHRA</w:t>
        <w:tab/>
        <w:t>Medicines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Agency</w:t>
      </w:r>
    </w:p>
    <w:p>
      <w:pPr>
        <w:pStyle w:val="BodyText"/>
        <w:tabs>
          <w:tab w:pos="4205" w:val="left" w:leader="none"/>
        </w:tabs>
        <w:spacing w:before="200"/>
        <w:ind w:left="1325"/>
      </w:pPr>
      <w:r>
        <w:rPr/>
        <w:t>i.e</w:t>
        <w:tab/>
        <w:t>that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tabs>
          <w:tab w:pos="4205" w:val="left" w:leader="none"/>
        </w:tabs>
        <w:spacing w:before="201"/>
        <w:ind w:left="1325"/>
      </w:pPr>
      <w:r>
        <w:rPr/>
        <w:t>e.g</w:t>
        <w:tab/>
        <w:t>example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tbl>
      <w:tblPr>
        <w:tblW w:w="0" w:type="auto"/>
        <w:jc w:val="left"/>
        <w:tblInd w:w="1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  <w:gridCol w:w="4928"/>
      </w:tblGrid>
      <w:tr>
        <w:trPr>
          <w:trHeight w:val="370" w:hRule="atLeast"/>
        </w:trPr>
        <w:tc>
          <w:tcPr>
            <w:tcW w:w="192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4928" w:type="dxa"/>
          </w:tcPr>
          <w:p>
            <w:pPr>
              <w:pStyle w:val="TableParagraph"/>
              <w:spacing w:line="266" w:lineRule="exact"/>
              <w:ind w:left="1008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475" w:hRule="atLeast"/>
        </w:trPr>
        <w:tc>
          <w:tcPr>
            <w:tcW w:w="19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4928" w:type="dxa"/>
          </w:tcPr>
          <w:p>
            <w:pPr>
              <w:pStyle w:val="TableParagraph"/>
              <w:spacing w:before="94"/>
              <w:ind w:left="1008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COX</w:t>
            </w:r>
          </w:p>
        </w:tc>
        <w:tc>
          <w:tcPr>
            <w:tcW w:w="4928" w:type="dxa"/>
          </w:tcPr>
          <w:p>
            <w:pPr>
              <w:pStyle w:val="TableParagraph"/>
              <w:spacing w:before="94"/>
              <w:ind w:left="1008"/>
              <w:rPr>
                <w:sz w:val="24"/>
              </w:rPr>
            </w:pPr>
            <w:r>
              <w:rPr>
                <w:sz w:val="24"/>
              </w:rPr>
              <w:t>Cyclooxygenase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NSAID</w:t>
            </w:r>
          </w:p>
        </w:tc>
        <w:tc>
          <w:tcPr>
            <w:tcW w:w="4928" w:type="dxa"/>
          </w:tcPr>
          <w:p>
            <w:pPr>
              <w:pStyle w:val="TableParagraph"/>
              <w:spacing w:before="95"/>
              <w:ind w:left="1008"/>
              <w:rPr>
                <w:sz w:val="24"/>
              </w:rPr>
            </w:pPr>
            <w:r>
              <w:rPr>
                <w:sz w:val="24"/>
              </w:rPr>
              <w:t>Non steroidal 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inflammatory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</w:tr>
      <w:tr>
        <w:trPr>
          <w:trHeight w:val="475" w:hRule="atLeast"/>
        </w:trPr>
        <w:tc>
          <w:tcPr>
            <w:tcW w:w="19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GSH</w:t>
            </w:r>
          </w:p>
        </w:tc>
        <w:tc>
          <w:tcPr>
            <w:tcW w:w="4928" w:type="dxa"/>
          </w:tcPr>
          <w:p>
            <w:pPr>
              <w:pStyle w:val="TableParagraph"/>
              <w:spacing w:before="94"/>
              <w:ind w:left="1008"/>
              <w:rPr>
                <w:sz w:val="24"/>
              </w:rPr>
            </w:pPr>
            <w:r>
              <w:rPr>
                <w:sz w:val="24"/>
              </w:rPr>
              <w:t>Glutathion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GI</w:t>
            </w:r>
          </w:p>
        </w:tc>
        <w:tc>
          <w:tcPr>
            <w:tcW w:w="4928" w:type="dxa"/>
          </w:tcPr>
          <w:p>
            <w:pPr>
              <w:pStyle w:val="TableParagraph"/>
              <w:spacing w:before="94"/>
              <w:ind w:left="1008"/>
              <w:rPr>
                <w:sz w:val="24"/>
              </w:rPr>
            </w:pPr>
            <w:r>
              <w:rPr>
                <w:sz w:val="24"/>
              </w:rPr>
              <w:t>Gastrointestinal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CNS</w:t>
            </w:r>
          </w:p>
        </w:tc>
        <w:tc>
          <w:tcPr>
            <w:tcW w:w="4928" w:type="dxa"/>
          </w:tcPr>
          <w:p>
            <w:pPr>
              <w:pStyle w:val="TableParagraph"/>
              <w:spacing w:before="95"/>
              <w:ind w:left="1008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Nervous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82" w:hRule="atLeast"/>
        </w:trPr>
        <w:tc>
          <w:tcPr>
            <w:tcW w:w="1922" w:type="dxa"/>
          </w:tcPr>
          <w:p>
            <w:pPr>
              <w:pStyle w:val="TableParagraph"/>
              <w:spacing w:before="96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t</w:t>
            </w:r>
            <w:r>
              <w:rPr>
                <w:sz w:val="16"/>
              </w:rPr>
              <w:t>max</w:t>
            </w:r>
          </w:p>
        </w:tc>
        <w:tc>
          <w:tcPr>
            <w:tcW w:w="4928" w:type="dxa"/>
          </w:tcPr>
          <w:p>
            <w:pPr>
              <w:pStyle w:val="TableParagraph"/>
              <w:spacing w:before="95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88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max</w:t>
            </w:r>
          </w:p>
        </w:tc>
        <w:tc>
          <w:tcPr>
            <w:tcW w:w="4928" w:type="dxa"/>
          </w:tcPr>
          <w:p>
            <w:pPr>
              <w:pStyle w:val="TableParagraph"/>
              <w:spacing w:before="87"/>
              <w:ind w:left="1008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469" w:hRule="atLeast"/>
        </w:trPr>
        <w:tc>
          <w:tcPr>
            <w:tcW w:w="1922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Vd</w:t>
            </w:r>
          </w:p>
        </w:tc>
        <w:tc>
          <w:tcPr>
            <w:tcW w:w="4928" w:type="dxa"/>
          </w:tcPr>
          <w:p>
            <w:pPr>
              <w:pStyle w:val="TableParagraph"/>
              <w:spacing w:before="88"/>
              <w:ind w:left="1008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370" w:hRule="atLeast"/>
        </w:trPr>
        <w:tc>
          <w:tcPr>
            <w:tcW w:w="1922" w:type="dxa"/>
          </w:tcPr>
          <w:p>
            <w:pPr>
              <w:pStyle w:val="TableParagraph"/>
              <w:spacing w:line="256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AUC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 w:before="9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7" w:top="1400" w:bottom="1200" w:left="660" w:right="0"/>
        </w:sectPr>
      </w:pPr>
    </w:p>
    <w:p>
      <w:pPr>
        <w:pStyle w:val="Heading1"/>
        <w:spacing w:before="78"/>
        <w:ind w:right="2080"/>
        <w:jc w:val="center"/>
      </w:pPr>
      <w:bookmarkStart w:name="_TOC_250033" w:id="9"/>
      <w:r>
        <w:rPr/>
        <w:t>CHAPTER</w:t>
      </w:r>
      <w:r>
        <w:rPr>
          <w:spacing w:val="-2"/>
        </w:rPr>
        <w:t> </w:t>
      </w:r>
      <w:bookmarkEnd w:id="9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numPr>
          <w:ilvl w:val="1"/>
          <w:numId w:val="8"/>
        </w:numPr>
        <w:tabs>
          <w:tab w:pos="4797" w:val="left" w:leader="none"/>
        </w:tabs>
        <w:spacing w:line="240" w:lineRule="auto" w:before="0" w:after="0"/>
        <w:ind w:left="4796" w:right="0" w:hanging="361"/>
        <w:jc w:val="left"/>
      </w:pPr>
      <w:bookmarkStart w:name="_TOC_250032" w:id="10"/>
      <w:bookmarkEnd w:id="10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4665" w:val="left" w:leader="none"/>
        </w:tabs>
        <w:spacing w:line="240" w:lineRule="auto" w:before="177" w:after="0"/>
        <w:ind w:left="4664" w:right="0" w:hanging="361"/>
        <w:jc w:val="left"/>
      </w:pPr>
      <w:bookmarkStart w:name="_TOC_250031" w:id="11"/>
      <w:r>
        <w:rPr/>
        <w:t>Background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11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2"/>
        <w:jc w:val="both"/>
      </w:pPr>
      <w:r>
        <w:rPr/>
        <w:t>Paracetamol,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Acetaminophen,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N-acetyl-p-aminophenol,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widely used over the counter analgesic and antipyretic. Paracetamol exhibits weak anti-</w:t>
      </w:r>
      <w:r>
        <w:rPr>
          <w:spacing w:val="1"/>
        </w:rPr>
        <w:t> </w:t>
      </w:r>
      <w:r>
        <w:rPr/>
        <w:t>inflammatory</w:t>
      </w:r>
      <w:r>
        <w:rPr>
          <w:spacing w:val="33"/>
        </w:rPr>
        <w:t> </w:t>
      </w:r>
      <w:r>
        <w:rPr/>
        <w:t>activity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not</w:t>
      </w:r>
      <w:r>
        <w:rPr>
          <w:spacing w:val="36"/>
        </w:rPr>
        <w:t> </w:t>
      </w:r>
      <w:r>
        <w:rPr/>
        <w:t>used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treatment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inflammatory</w:t>
      </w:r>
      <w:r>
        <w:rPr>
          <w:spacing w:val="33"/>
        </w:rPr>
        <w:t> </w:t>
      </w:r>
      <w:r>
        <w:rPr/>
        <w:t>pain.</w:t>
      </w:r>
      <w:r>
        <w:rPr>
          <w:spacing w:val="38"/>
        </w:rPr>
        <w:t> </w:t>
      </w:r>
      <w:r>
        <w:rPr/>
        <w:t>It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a</w:t>
      </w:r>
      <w:r>
        <w:rPr>
          <w:spacing w:val="-57"/>
        </w:rPr>
        <w:t> </w:t>
      </w:r>
      <w:r>
        <w:rPr/>
        <w:t>weak cyclooxygenase (COX) inhibitor thus not generally classified as a Non-Steroidal</w:t>
      </w:r>
      <w:r>
        <w:rPr>
          <w:spacing w:val="1"/>
        </w:rPr>
        <w:t> </w:t>
      </w:r>
      <w:r>
        <w:rPr/>
        <w:t>Anti- inflammatory drug (NSAID) (Ottani </w:t>
      </w:r>
      <w:r>
        <w:rPr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It is commonly used for the</w:t>
      </w:r>
      <w:r>
        <w:rPr>
          <w:spacing w:val="1"/>
        </w:rPr>
        <w:t> </w:t>
      </w:r>
      <w:r>
        <w:rPr/>
        <w:t>relief of </w:t>
      </w:r>
      <w:hyperlink r:id="rId8">
        <w:r>
          <w:rPr/>
          <w:t>headaches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minor aches and</w:t>
      </w:r>
      <w:r>
        <w:rPr>
          <w:spacing w:val="1"/>
        </w:rPr>
        <w:t> </w:t>
      </w:r>
      <w:r>
        <w:rPr/>
        <w:t>pains;</w:t>
      </w:r>
      <w:r>
        <w:rPr>
          <w:spacing w:val="1"/>
        </w:rPr>
        <w:t> </w:t>
      </w:r>
      <w:r>
        <w:rPr/>
        <w:t>and is a major ingredient in</w:t>
      </w:r>
      <w:r>
        <w:rPr>
          <w:spacing w:val="1"/>
        </w:rPr>
        <w:t> </w:t>
      </w:r>
      <w:r>
        <w:rPr/>
        <w:t>numerous </w:t>
      </w:r>
      <w:hyperlink r:id="rId9">
        <w:r>
          <w:rPr/>
          <w:t>cold </w:t>
        </w:r>
      </w:hyperlink>
      <w:r>
        <w:rPr/>
        <w:t>and </w:t>
      </w:r>
      <w:hyperlink r:id="rId10">
        <w:r>
          <w:rPr/>
          <w:t>flu </w:t>
        </w:r>
      </w:hyperlink>
      <w:r>
        <w:rPr/>
        <w:t>remedies. It is also used in combination with </w:t>
      </w:r>
      <w:hyperlink r:id="rId11">
        <w:r>
          <w:rPr/>
          <w:t>opioid analgesics </w:t>
        </w:r>
      </w:hyperlink>
      <w:r>
        <w:rPr/>
        <w:t>in</w:t>
      </w:r>
      <w:r>
        <w:rPr>
          <w:spacing w:val="-57"/>
        </w:rPr>
        <w:t> </w:t>
      </w:r>
      <w:r>
        <w:rPr/>
        <w:t>the 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 severe pain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post-surgical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hyperlink r:id="rId12">
        <w:r>
          <w:rPr/>
          <w:t>palliative care </w:t>
        </w:r>
      </w:hyperlink>
      <w:r>
        <w:rPr/>
        <w:t>in advanced and end terminal cancer patients (SIGN, 2008). It is better</w:t>
      </w:r>
      <w:r>
        <w:rPr>
          <w:spacing w:val="1"/>
        </w:rPr>
        <w:t> </w:t>
      </w:r>
      <w:r>
        <w:rPr/>
        <w:t>tolerated than aspirin in patients with high risk of excessive </w:t>
      </w:r>
      <w:hyperlink r:id="rId13">
        <w:r>
          <w:rPr/>
          <w:t>gastric acid</w:t>
        </w:r>
      </w:hyperlink>
      <w:r>
        <w:rPr/>
        <w:t> secretion or</w:t>
      </w:r>
      <w:r>
        <w:rPr>
          <w:spacing w:val="1"/>
        </w:rPr>
        <w:t> </w:t>
      </w:r>
      <w:r>
        <w:rPr/>
        <w:t>patients with prolonged bleeding time.</w:t>
      </w:r>
      <w:r>
        <w:rPr>
          <w:spacing w:val="1"/>
        </w:rPr>
        <w:t> </w:t>
      </w:r>
      <w:r>
        <w:rPr/>
        <w:t>It is available without a prescription; in recent</w:t>
      </w:r>
      <w:r>
        <w:rPr>
          <w:spacing w:val="1"/>
        </w:rPr>
        <w:t> </w:t>
      </w:r>
      <w:r>
        <w:rPr/>
        <w:t>years</w:t>
      </w:r>
      <w:r>
        <w:rPr>
          <w:spacing w:val="-2"/>
        </w:rPr>
        <w:t> </w:t>
      </w:r>
      <w:r>
        <w:rPr/>
        <w:t>it has increasingly</w:t>
      </w:r>
      <w:r>
        <w:rPr>
          <w:spacing w:val="-1"/>
        </w:rPr>
        <w:t> </w:t>
      </w:r>
      <w:r>
        <w:rPr/>
        <w:t>become</w:t>
      </w:r>
      <w:r>
        <w:rPr>
          <w:spacing w:val="-1"/>
        </w:rPr>
        <w:t> </w:t>
      </w:r>
      <w:r>
        <w:rPr/>
        <w:t>a common household drug</w:t>
      </w:r>
      <w:r>
        <w:rPr>
          <w:spacing w:val="-3"/>
        </w:rPr>
        <w:t> </w:t>
      </w:r>
      <w:r>
        <w:rPr/>
        <w:t>(Maddison </w:t>
      </w:r>
      <w:r>
        <w:rPr>
          <w:i/>
        </w:rPr>
        <w:t>et al.,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325" w:right="1413"/>
        <w:jc w:val="both"/>
      </w:pPr>
      <w:r>
        <w:rPr/>
        <w:t>The onset of analgesia is approximately 11 minutes after its </w:t>
      </w:r>
      <w:hyperlink r:id="rId14">
        <w:r>
          <w:rPr/>
          <w:t>oral administration </w:t>
        </w:r>
      </w:hyperlink>
      <w:r>
        <w:rPr/>
        <w:t>with a</w:t>
      </w:r>
      <w:r>
        <w:rPr>
          <w:spacing w:val="1"/>
        </w:rPr>
        <w:t> </w:t>
      </w:r>
      <w:hyperlink r:id="rId15">
        <w:r>
          <w:rPr/>
          <w:t>half-life</w:t>
        </w:r>
      </w:hyperlink>
      <w:r>
        <w:rPr/>
        <w:t> of</w:t>
      </w:r>
      <w:r>
        <w:rPr>
          <w:spacing w:val="1"/>
        </w:rPr>
        <w:t> </w:t>
      </w:r>
      <w:r>
        <w:rPr/>
        <w:t>1–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The daily adult</w:t>
      </w:r>
      <w:r>
        <w:rPr>
          <w:spacing w:val="1"/>
        </w:rPr>
        <w:t> </w:t>
      </w:r>
      <w:r>
        <w:rPr/>
        <w:t>dose recommended</w:t>
      </w:r>
      <w:r>
        <w:rPr>
          <w:spacing w:val="1"/>
        </w:rPr>
        <w:t> </w:t>
      </w:r>
      <w:r>
        <w:rPr/>
        <w:t>for use is</w:t>
      </w:r>
      <w:r>
        <w:rPr>
          <w:spacing w:val="1"/>
        </w:rPr>
        <w:t> </w:t>
      </w:r>
      <w:r>
        <w:rPr/>
        <w:t>1g (1000</w:t>
      </w:r>
      <w:r>
        <w:rPr>
          <w:spacing w:val="60"/>
        </w:rPr>
        <w:t> </w:t>
      </w:r>
      <w:r>
        <w:rPr/>
        <w:t>mg)</w:t>
      </w:r>
      <w:r>
        <w:rPr>
          <w:spacing w:val="1"/>
        </w:rPr>
        <w:t> </w:t>
      </w:r>
      <w:r>
        <w:rPr/>
        <w:t>single</w:t>
      </w:r>
      <w:r>
        <w:rPr>
          <w:spacing w:val="-1"/>
        </w:rPr>
        <w:t> </w:t>
      </w:r>
      <w:r>
        <w:rPr/>
        <w:t>dose and up to 4g</w:t>
      </w:r>
      <w:r>
        <w:rPr>
          <w:spacing w:val="-1"/>
        </w:rPr>
        <w:t> </w:t>
      </w:r>
      <w:r>
        <w:rPr/>
        <w:t>(4,000</w:t>
      </w:r>
      <w:r>
        <w:rPr>
          <w:spacing w:val="-1"/>
        </w:rPr>
        <w:t> </w:t>
      </w:r>
      <w:r>
        <w:rPr/>
        <w:t>mg)</w:t>
      </w:r>
      <w:r>
        <w:rPr>
          <w:spacing w:val="-1"/>
        </w:rPr>
        <w:t> </w:t>
      </w:r>
      <w:r>
        <w:rPr/>
        <w:t>per day</w:t>
      </w:r>
      <w:r>
        <w:rPr>
          <w:spacing w:val="-4"/>
        </w:rPr>
        <w:t> </w:t>
      </w:r>
      <w:r>
        <w:rPr/>
        <w:t>(Karthikeyan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325" w:right="1414"/>
        <w:jc w:val="both"/>
      </w:pPr>
      <w:r>
        <w:rPr/>
        <w:t>Paracetamol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mostly available in</w:t>
      </w:r>
      <w:r>
        <w:rPr>
          <w:spacing w:val="1"/>
        </w:rPr>
        <w:t> </w:t>
      </w:r>
      <w:hyperlink r:id="rId16">
        <w:r>
          <w:rPr/>
          <w:t>tablet</w:t>
        </w:r>
      </w:hyperlink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hyperlink r:id="rId17">
        <w:r>
          <w:rPr/>
          <w:t>capsule,</w:t>
        </w:r>
      </w:hyperlink>
      <w:r>
        <w:rPr>
          <w:spacing w:val="1"/>
        </w:rPr>
        <w:t> </w:t>
      </w:r>
      <w:r>
        <w:rPr/>
        <w:t>liquid suspension, </w:t>
      </w:r>
      <w:hyperlink r:id="rId18">
        <w:r>
          <w:rPr/>
          <w:t>suppository, </w:t>
        </w:r>
      </w:hyperlink>
      <w:hyperlink r:id="rId19">
        <w:r>
          <w:rPr/>
          <w:t>intravenous,</w:t>
        </w:r>
      </w:hyperlink>
      <w:r>
        <w:rPr/>
        <w:t> and </w:t>
      </w:r>
      <w:hyperlink r:id="rId20">
        <w:r>
          <w:rPr/>
          <w:t>intramuscular</w:t>
        </w:r>
      </w:hyperlink>
      <w:r>
        <w:rPr/>
        <w:t> form. In recommended</w:t>
      </w:r>
      <w:r>
        <w:rPr>
          <w:spacing w:val="1"/>
        </w:rPr>
        <w:t> </w:t>
      </w:r>
      <w:r>
        <w:rPr/>
        <w:t>doses, paracetamol is generally safe for children and infants, as well as for adults,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60"/>
        </w:rPr>
        <w:t> </w:t>
      </w:r>
      <w:r>
        <w:rPr/>
        <w:t>linked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amounts</w:t>
      </w:r>
      <w:r>
        <w:rPr>
          <w:spacing w:val="60"/>
        </w:rPr>
        <w:t> </w:t>
      </w:r>
      <w:r>
        <w:rPr/>
        <w:t>lower</w:t>
      </w:r>
      <w:r>
        <w:rPr>
          <w:spacing w:val="60"/>
        </w:rPr>
        <w:t> </w:t>
      </w:r>
      <w:r>
        <w:rPr/>
        <w:t>than</w:t>
      </w:r>
      <w:r>
        <w:rPr>
          <w:spacing w:val="-57"/>
        </w:rPr>
        <w:t> </w:t>
      </w:r>
      <w:r>
        <w:rPr/>
        <w:t>2500</w:t>
      </w:r>
      <w:r>
        <w:rPr>
          <w:spacing w:val="-1"/>
        </w:rPr>
        <w:t> </w:t>
      </w:r>
      <w:r>
        <w:rPr/>
        <w:t>mg</w:t>
      </w:r>
      <w:r>
        <w:rPr>
          <w:spacing w:val="-2"/>
        </w:rPr>
        <w:t> </w:t>
      </w:r>
      <w:r>
        <w:rPr/>
        <w:t>per day</w:t>
      </w:r>
      <w:r>
        <w:rPr>
          <w:spacing w:val="-4"/>
        </w:rPr>
        <w:t> </w:t>
      </w:r>
      <w:r>
        <w:rPr/>
        <w:t>(Charles </w:t>
      </w:r>
      <w:r>
        <w:rPr>
          <w:i/>
        </w:rPr>
        <w:t>et al</w:t>
      </w:r>
      <w:r>
        <w:rPr/>
        <w:t>., 2009).</w:t>
      </w:r>
    </w:p>
    <w:p>
      <w:pPr>
        <w:spacing w:after="0" w:line="480" w:lineRule="auto"/>
        <w:jc w:val="both"/>
        <w:sectPr>
          <w:footerReference w:type="default" r:id="rId7"/>
          <w:pgSz w:w="11910" w:h="16840"/>
          <w:pgMar w:footer="1007" w:header="0" w:top="1360" w:bottom="1200" w:left="660" w:right="0"/>
          <w:pgNumType w:start="1"/>
        </w:sectPr>
      </w:pPr>
    </w:p>
    <w:p>
      <w:pPr>
        <w:pStyle w:val="BodyText"/>
        <w:spacing w:line="480" w:lineRule="auto" w:before="72"/>
        <w:ind w:left="1325" w:right="1414"/>
        <w:jc w:val="both"/>
      </w:pPr>
      <w:r>
        <w:rPr/>
        <w:t>Paracetamol may reduce post traumatic inflammatory response and may be preferable to</w:t>
      </w:r>
      <w:r>
        <w:rPr>
          <w:spacing w:val="-57"/>
        </w:rPr>
        <w:t> </w:t>
      </w:r>
      <w:r>
        <w:rPr/>
        <w:t>acetylsalicylic acid in bilateral oral surgery. It is also the analgesic of choice in patients</w:t>
      </w:r>
      <w:r>
        <w:rPr>
          <w:spacing w:val="1"/>
        </w:rPr>
        <w:t> </w:t>
      </w:r>
      <w:r>
        <w:rPr/>
        <w:t>whom salicylates or NSAIDS are contraindicated such as asthmatics and those with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(Laurence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abnormality indicative of an adverse reaction in therapeutic doses. The effective serum</w:t>
      </w:r>
      <w:r>
        <w:rPr>
          <w:spacing w:val="1"/>
        </w:rPr>
        <w:t> </w:t>
      </w:r>
      <w:r>
        <w:rPr/>
        <w:t>concentration of paracetamol attained for analgesia and antipyresis is 10- 20 microgram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ml after single dose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less than 2g</w:t>
      </w:r>
      <w:r>
        <w:rPr>
          <w:spacing w:val="-1"/>
        </w:rPr>
        <w:t> </w:t>
      </w:r>
      <w:r>
        <w:rPr/>
        <w:t>taken orally</w:t>
      </w:r>
      <w:r>
        <w:rPr>
          <w:spacing w:val="-3"/>
        </w:rPr>
        <w:t> </w:t>
      </w:r>
      <w:r>
        <w:rPr/>
        <w:t>(Gardiner, 2011).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8"/>
        </w:numPr>
        <w:tabs>
          <w:tab w:pos="4134" w:val="left" w:leader="none"/>
        </w:tabs>
        <w:spacing w:line="240" w:lineRule="auto" w:before="1" w:after="0"/>
        <w:ind w:left="4133" w:right="0" w:hanging="361"/>
        <w:jc w:val="left"/>
      </w:pPr>
      <w:bookmarkStart w:name="_TOC_250030" w:id="12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bookmarkEnd w:id="12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5" w:right="1413"/>
        <w:jc w:val="both"/>
      </w:pPr>
      <w:r>
        <w:rPr/>
        <w:t>Pain is a global problem, it is estimated that 1 in 5 people suffer from pain; another 1 in</w:t>
      </w:r>
      <w:r>
        <w:rPr>
          <w:spacing w:val="1"/>
        </w:rPr>
        <w:t> </w:t>
      </w:r>
      <w:r>
        <w:rPr/>
        <w:t>10 adults are diagnosed with chronic pain each year (Goldberg and McGee, 2011). It</w:t>
      </w:r>
      <w:r>
        <w:rPr>
          <w:spacing w:val="1"/>
        </w:rPr>
        <w:t> </w:t>
      </w:r>
      <w:r>
        <w:rPr/>
        <w:t>affects all populations irrespective of age, sex, income, ethnicity, or geography. Those</w:t>
      </w:r>
      <w:r>
        <w:rPr>
          <w:spacing w:val="1"/>
        </w:rPr>
        <w:t> </w:t>
      </w:r>
      <w:r>
        <w:rPr/>
        <w:t>who experience pain can have acute, chronic, or intermittent pain, or a combination of</w:t>
      </w:r>
      <w:r>
        <w:rPr>
          <w:spacing w:val="1"/>
        </w:rPr>
        <w:t> </w:t>
      </w:r>
      <w:r>
        <w:rPr/>
        <w:t>the three. The four largest causes of pain are injuries and operations, cancer, osteo- and</w:t>
      </w:r>
      <w:r>
        <w:rPr>
          <w:spacing w:val="1"/>
        </w:rPr>
        <w:t> </w:t>
      </w:r>
      <w:r>
        <w:rPr/>
        <w:t>rheumatoid</w:t>
      </w:r>
      <w:r>
        <w:rPr>
          <w:spacing w:val="1"/>
        </w:rPr>
        <w:t> </w:t>
      </w:r>
      <w:r>
        <w:rPr/>
        <w:t>arthritis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spinal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transdisciplinary affair.</w:t>
      </w:r>
      <w:r>
        <w:rPr>
          <w:spacing w:val="60"/>
        </w:rPr>
        <w:t> </w:t>
      </w:r>
      <w:r>
        <w:rPr/>
        <w:t>Pain has</w:t>
      </w:r>
      <w:r>
        <w:rPr>
          <w:spacing w:val="60"/>
        </w:rPr>
        <w:t> </w:t>
      </w:r>
      <w:r>
        <w:rPr/>
        <w:t>a multiple, serious sequelae including but not limited</w:t>
      </w:r>
      <w:r>
        <w:rPr>
          <w:spacing w:val="1"/>
        </w:rPr>
        <w:t> </w:t>
      </w:r>
      <w:r>
        <w:rPr/>
        <w:t>to depression, inability to work, disrupted social relationships and suicidal thoughts. Of</w:t>
      </w:r>
      <w:r>
        <w:rPr>
          <w:spacing w:val="1"/>
        </w:rPr>
        <w:t> </w:t>
      </w:r>
      <w:r>
        <w:rPr/>
        <w:t>those living with chronic pain, the median time of exposure is 7 years (Goldberg and</w:t>
      </w:r>
      <w:r>
        <w:rPr>
          <w:spacing w:val="1"/>
        </w:rPr>
        <w:t> </w:t>
      </w:r>
      <w:r>
        <w:rPr/>
        <w:t>McGee,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325" w:right="1412"/>
        <w:jc w:val="both"/>
      </w:pPr>
      <w:r>
        <w:rPr/>
        <w:t>Mild to moderate pain such as headaches and minor pains can be managed with drugs</w:t>
      </w:r>
      <w:r>
        <w:rPr>
          <w:spacing w:val="1"/>
        </w:rPr>
        <w:t> </w:t>
      </w:r>
      <w:r>
        <w:rPr/>
        <w:t>such as analgesics and antipyretics which are mostly acquired without any prescription.</w:t>
      </w:r>
      <w:r>
        <w:rPr>
          <w:spacing w:val="1"/>
        </w:rPr>
        <w:t> </w:t>
      </w:r>
      <w:r>
        <w:rPr/>
        <w:t>This has led to their wide use within all age groups. The increase in consumption of</w:t>
      </w:r>
      <w:r>
        <w:rPr>
          <w:spacing w:val="1"/>
        </w:rPr>
        <w:t> </w:t>
      </w:r>
      <w:r>
        <w:rPr/>
        <w:t>these drugs results in the presence of many products by various companies to meet the</w:t>
      </w:r>
      <w:r>
        <w:rPr>
          <w:spacing w:val="1"/>
        </w:rPr>
        <w:t> </w:t>
      </w:r>
      <w:r>
        <w:rPr/>
        <w:t>demand. Analgesics are either used alone or in combination with other drugs for faster</w:t>
      </w:r>
      <w:r>
        <w:rPr>
          <w:spacing w:val="1"/>
        </w:rPr>
        <w:t> </w:t>
      </w:r>
      <w:r>
        <w:rPr/>
        <w:t>relieve of pain.</w:t>
      </w:r>
      <w:r>
        <w:rPr>
          <w:spacing w:val="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 in</w:t>
      </w:r>
      <w:r>
        <w:rPr>
          <w:spacing w:val="2"/>
        </w:rPr>
        <w:t> </w:t>
      </w:r>
      <w:r>
        <w:rPr/>
        <w:t>cold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flu remedies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drug</w:t>
      </w:r>
      <w:r>
        <w:rPr>
          <w:spacing w:val="-1"/>
        </w:rPr>
        <w:t> </w:t>
      </w:r>
      <w:r>
        <w:rPr/>
        <w:t>formulations.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09"/>
        <w:jc w:val="both"/>
      </w:pPr>
      <w:r>
        <w:rPr/>
        <w:t>In the treatment of acute migraine, the combination of paracetamol and caffeine is</w:t>
      </w:r>
      <w:r>
        <w:rPr>
          <w:spacing w:val="1"/>
        </w:rPr>
        <w:t> </w:t>
      </w:r>
      <w:r>
        <w:rPr/>
        <w:t>superior to placebo, with 39% of people experiencing pain relief at 1 hour compared to</w:t>
      </w:r>
      <w:r>
        <w:rPr>
          <w:spacing w:val="1"/>
        </w:rPr>
        <w:t> </w:t>
      </w:r>
      <w:r>
        <w:rPr/>
        <w:t>20% in the control group (Derry and Murray, 2013). The efficacy of paracetamol when</w:t>
      </w:r>
      <w:r>
        <w:rPr>
          <w:spacing w:val="1"/>
        </w:rPr>
        <w:t> </w:t>
      </w:r>
      <w:r>
        <w:rPr/>
        <w:t>used in combination with weak opioids (such as codiene) improved for approximately</w:t>
      </w:r>
      <w:r>
        <w:rPr>
          <w:spacing w:val="1"/>
        </w:rPr>
        <w:t> </w:t>
      </w:r>
      <w:r>
        <w:rPr/>
        <w:t>50% of people but increased in the number experiencing side effects (Laurence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 while the combination of paracetamol and strong opioids like morphine also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(Murnion,</w:t>
      </w:r>
      <w:r>
        <w:rPr>
          <w:spacing w:val="1"/>
        </w:rPr>
        <w:t> </w:t>
      </w:r>
      <w:r>
        <w:rPr/>
        <w:t>2010).The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caffeine is superior to paracetamol alone for the treatment of common pain conditions</w:t>
      </w:r>
      <w:r>
        <w:rPr>
          <w:spacing w:val="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dental pain, postpartum pain,</w:t>
      </w:r>
      <w:r>
        <w:rPr>
          <w:spacing w:val="-1"/>
        </w:rPr>
        <w:t> </w:t>
      </w:r>
      <w:r>
        <w:rPr/>
        <w:t>and headaches (Derry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Murray,</w:t>
      </w:r>
      <w:r>
        <w:rPr>
          <w:spacing w:val="2"/>
        </w:rPr>
        <w:t> </w:t>
      </w:r>
      <w:r>
        <w:rPr/>
        <w:t>2013).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25" w:right="1409"/>
        <w:jc w:val="both"/>
      </w:pPr>
      <w:r>
        <w:rPr/>
        <w:t>However, the preference of the use of these combinations by the community is very</w:t>
      </w:r>
      <w:r>
        <w:rPr>
          <w:spacing w:val="1"/>
        </w:rPr>
        <w:t> </w:t>
      </w:r>
      <w:r>
        <w:rPr/>
        <w:t>overwhelming despite the risks of spontaneous abortion, restlessness and sleeplessness</w:t>
      </w:r>
      <w:r>
        <w:rPr>
          <w:spacing w:val="1"/>
        </w:rPr>
        <w:t> </w:t>
      </w:r>
      <w:r>
        <w:rPr/>
        <w:t>associated with these drugs (MHRA UKPAR, 2010). Reports of adverse drugs reactions</w:t>
      </w:r>
      <w:r>
        <w:rPr>
          <w:spacing w:val="-57"/>
        </w:rPr>
        <w:t> </w:t>
      </w:r>
      <w:r>
        <w:rPr/>
        <w:t>have also been documented by the National Agency for Food and Drug Administration</w:t>
      </w:r>
      <w:r>
        <w:rPr>
          <w:spacing w:val="1"/>
        </w:rPr>
        <w:t> </w:t>
      </w:r>
      <w:r>
        <w:rPr/>
        <w:t>and Control (NAFDAC) Pharmacovigilance Centre (2014) for the consumption of 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500mg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65mg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of anxiety, restlessness,</w:t>
      </w:r>
      <w:r>
        <w:rPr>
          <w:spacing w:val="-1"/>
        </w:rPr>
        <w:t> </w:t>
      </w:r>
      <w:r>
        <w:rPr/>
        <w:t>insomnia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threatened abortion.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4665" w:val="left" w:leader="none"/>
        </w:tabs>
        <w:spacing w:line="240" w:lineRule="auto" w:before="165" w:after="0"/>
        <w:ind w:left="4664" w:right="0" w:hanging="361"/>
        <w:jc w:val="left"/>
      </w:pPr>
      <w:bookmarkStart w:name="_TOC_250029" w:id="13"/>
      <w:r>
        <w:rPr/>
        <w:t>Justification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3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6"/>
        <w:jc w:val="both"/>
      </w:pPr>
      <w:r>
        <w:rPr/>
        <w:t>Paracetamol is used extensively alone or in combination with caffeine for the treatment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headaches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minor</w:t>
      </w:r>
      <w:r>
        <w:rPr>
          <w:spacing w:val="12"/>
        </w:rPr>
        <w:t> </w:t>
      </w:r>
      <w:r>
        <w:rPr/>
        <w:t>pain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pain</w:t>
      </w:r>
      <w:r>
        <w:rPr>
          <w:spacing w:val="13"/>
        </w:rPr>
        <w:t> </w:t>
      </w:r>
      <w:r>
        <w:rPr/>
        <w:t>associated</w:t>
      </w:r>
      <w:r>
        <w:rPr>
          <w:spacing w:val="15"/>
        </w:rPr>
        <w:t> </w:t>
      </w:r>
      <w:r>
        <w:rPr/>
        <w:t>with</w:t>
      </w:r>
      <w:r>
        <w:rPr>
          <w:spacing w:val="12"/>
        </w:rPr>
        <w:t> </w:t>
      </w:r>
      <w:r>
        <w:rPr/>
        <w:t>other</w:t>
      </w:r>
      <w:r>
        <w:rPr>
          <w:spacing w:val="11"/>
        </w:rPr>
        <w:t> </w:t>
      </w:r>
      <w:r>
        <w:rPr/>
        <w:t>diseases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Nigeria</w:t>
      </w:r>
      <w:r>
        <w:rPr>
          <w:spacing w:val="17"/>
        </w:rPr>
        <w:t> </w:t>
      </w:r>
      <w:r>
        <w:rPr/>
        <w:t>(Charles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2005). The increase in its misuse within the community by all age group is</w:t>
      </w:r>
      <w:r>
        <w:rPr>
          <w:spacing w:val="1"/>
        </w:rPr>
        <w:t> </w:t>
      </w:r>
      <w:r>
        <w:rPr/>
        <w:t>alarming.</w:t>
      </w:r>
    </w:p>
    <w:p>
      <w:pPr>
        <w:pStyle w:val="BodyText"/>
        <w:spacing w:line="480" w:lineRule="auto"/>
        <w:ind w:left="1325" w:right="1412"/>
        <w:jc w:val="both"/>
      </w:pPr>
      <w:r>
        <w:rPr/>
        <w:t>Excessive and long term use of paracetamol and its combinations results in the potential</w:t>
      </w:r>
      <w:r>
        <w:rPr>
          <w:spacing w:val="-57"/>
        </w:rPr>
        <w:t> </w:t>
      </w:r>
      <w:r>
        <w:rPr/>
        <w:t>damage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liver,</w:t>
      </w:r>
      <w:r>
        <w:rPr>
          <w:spacing w:val="26"/>
        </w:rPr>
        <w:t> </w:t>
      </w:r>
      <w:r>
        <w:rPr/>
        <w:t>nervousness,</w:t>
      </w:r>
      <w:r>
        <w:rPr>
          <w:spacing w:val="27"/>
        </w:rPr>
        <w:t> </w:t>
      </w:r>
      <w:r>
        <w:rPr/>
        <w:t>restlessness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deferral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fatigue</w:t>
      </w:r>
      <w:r>
        <w:rPr>
          <w:spacing w:val="32"/>
        </w:rPr>
        <w:t> </w:t>
      </w:r>
      <w:r>
        <w:rPr/>
        <w:t>(Khashab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</w:t>
      </w:r>
      <w:r>
        <w:rPr/>
        <w:t>.,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3"/>
        <w:jc w:val="both"/>
      </w:pPr>
      <w:r>
        <w:rPr/>
        <w:t>2007). Big manufacturing companies who have made name for their products and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unable to</w:t>
      </w:r>
      <w:r>
        <w:rPr>
          <w:spacing w:val="1"/>
        </w:rPr>
        <w:t> </w:t>
      </w:r>
      <w:r>
        <w:rPr/>
        <w:t>take effective action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 imitation</w:t>
      </w:r>
      <w:r>
        <w:rPr>
          <w:spacing w:val="60"/>
        </w:rPr>
        <w:t> </w:t>
      </w:r>
      <w:r>
        <w:rPr/>
        <w:t>because of</w:t>
      </w:r>
      <w:r>
        <w:rPr>
          <w:spacing w:val="-57"/>
        </w:rPr>
        <w:t> </w:t>
      </w:r>
      <w:r>
        <w:rPr/>
        <w:t>their</w:t>
      </w:r>
      <w:r>
        <w:rPr>
          <w:spacing w:val="-1"/>
        </w:rPr>
        <w:t> </w:t>
      </w:r>
      <w:r>
        <w:rPr/>
        <w:t>inability</w:t>
      </w:r>
      <w:r>
        <w:rPr>
          <w:spacing w:val="-5"/>
        </w:rPr>
        <w:t> </w:t>
      </w:r>
      <w:r>
        <w:rPr/>
        <w:t>to trace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sources (Akunyili, 2005),</w:t>
      </w:r>
      <w:r>
        <w:rPr>
          <w:spacing w:val="1"/>
        </w:rPr>
        <w:t> </w:t>
      </w:r>
      <w:r>
        <w:rPr/>
        <w:t>this have</w:t>
      </w:r>
      <w:r>
        <w:rPr>
          <w:spacing w:val="-1"/>
        </w:rPr>
        <w:t> </w:t>
      </w:r>
      <w:r>
        <w:rPr/>
        <w:t>led to huge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loss.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4744" w:val="left" w:leader="none"/>
        </w:tabs>
        <w:spacing w:line="240" w:lineRule="auto" w:before="0" w:after="0"/>
        <w:ind w:left="4743" w:right="0" w:hanging="361"/>
        <w:jc w:val="left"/>
      </w:pPr>
      <w:bookmarkStart w:name="_TOC_250028" w:id="14"/>
      <w:r>
        <w:rPr/>
        <w:t>Aim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bookmarkEnd w:id="14"/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045" w:val="left" w:leader="none"/>
          <w:tab w:pos="2046" w:val="left" w:leader="none"/>
        </w:tabs>
        <w:spacing w:line="240" w:lineRule="auto" w:before="172" w:after="0"/>
        <w:ind w:left="2045" w:right="0" w:hanging="721"/>
        <w:jc w:val="left"/>
        <w:rPr>
          <w:sz w:val="24"/>
        </w:rPr>
      </w:pPr>
      <w:r>
        <w:rPr>
          <w:sz w:val="24"/>
        </w:rPr>
        <w:t>Aim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23"/>
        <w:jc w:val="both"/>
      </w:pPr>
      <w:r>
        <w:rPr/>
        <w:t>The aim of this study was to determine the effect of caffeine on pharmacokinetics of</w:t>
      </w:r>
      <w:r>
        <w:rPr>
          <w:spacing w:val="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in Panadol</w:t>
      </w:r>
      <w:r>
        <w:rPr>
          <w:spacing w:val="2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healthy</w:t>
      </w:r>
      <w:r>
        <w:rPr>
          <w:spacing w:val="-5"/>
          <w:vertAlign w:val="baseline"/>
        </w:rPr>
        <w:t> </w:t>
      </w:r>
      <w:r>
        <w:rPr>
          <w:vertAlign w:val="baseline"/>
        </w:rPr>
        <w:t>human volunteers.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2"/>
          <w:numId w:val="9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721"/>
        <w:jc w:val="left"/>
        <w:rPr>
          <w:sz w:val="24"/>
        </w:rPr>
      </w:pPr>
      <w:r>
        <w:rPr>
          <w:sz w:val="24"/>
        </w:rPr>
        <w:t>Objectives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325"/>
        <w:jc w:val="both"/>
      </w:pPr>
      <w:r>
        <w:rPr/>
        <w:t>The</w:t>
      </w:r>
      <w:r>
        <w:rPr>
          <w:spacing w:val="-2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9"/>
        </w:numPr>
        <w:tabs>
          <w:tab w:pos="2046" w:val="left" w:leader="none"/>
        </w:tabs>
        <w:spacing w:line="480" w:lineRule="auto" w:before="173" w:after="0"/>
        <w:ind w:left="2045" w:right="1415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quality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samples</w:t>
      </w:r>
      <w:r>
        <w:rPr>
          <w:spacing w:val="11"/>
          <w:sz w:val="24"/>
        </w:rPr>
        <w:t> </w:t>
      </w:r>
      <w:r>
        <w:rPr>
          <w:sz w:val="24"/>
        </w:rPr>
        <w:t>parameters</w:t>
      </w:r>
      <w:r>
        <w:rPr>
          <w:spacing w:val="10"/>
          <w:sz w:val="24"/>
        </w:rPr>
        <w:t> </w:t>
      </w:r>
      <w:r>
        <w:rPr>
          <w:sz w:val="24"/>
        </w:rPr>
        <w:t>according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British</w:t>
      </w:r>
      <w:r>
        <w:rPr>
          <w:spacing w:val="-57"/>
          <w:sz w:val="24"/>
        </w:rPr>
        <w:t> </w:t>
      </w:r>
      <w:r>
        <w:rPr>
          <w:sz w:val="24"/>
        </w:rPr>
        <w:t>Pharmacopoiea</w:t>
      </w:r>
      <w:r>
        <w:rPr>
          <w:spacing w:val="1"/>
          <w:sz w:val="24"/>
        </w:rPr>
        <w:t> </w:t>
      </w:r>
      <w:r>
        <w:rPr>
          <w:sz w:val="24"/>
        </w:rPr>
        <w:t>(2009)</w:t>
      </w:r>
      <w:r>
        <w:rPr>
          <w:spacing w:val="-1"/>
          <w:sz w:val="24"/>
        </w:rPr>
        <w:t> </w:t>
      </w:r>
      <w:r>
        <w:rPr>
          <w:sz w:val="24"/>
        </w:rPr>
        <w:t>Standard.</w:t>
      </w:r>
    </w:p>
    <w:p>
      <w:pPr>
        <w:pStyle w:val="ListParagraph"/>
        <w:numPr>
          <w:ilvl w:val="3"/>
          <w:numId w:val="9"/>
        </w:numPr>
        <w:tabs>
          <w:tab w:pos="2046" w:val="left" w:leader="none"/>
        </w:tabs>
        <w:spacing w:line="480" w:lineRule="auto" w:before="1" w:after="0"/>
        <w:ind w:left="2045" w:right="1414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effect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caffeine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pharmacokinetics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paracetamol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Panadol</w:t>
      </w:r>
      <w:r>
        <w:rPr>
          <w:spacing w:val="-57"/>
          <w:sz w:val="24"/>
        </w:rPr>
        <w:t> </w:t>
      </w:r>
      <w:r>
        <w:rPr>
          <w:sz w:val="24"/>
        </w:rPr>
        <w:t>Extra</w:t>
      </w:r>
      <w:r>
        <w:rPr>
          <w:sz w:val="24"/>
          <w:vertAlign w:val="superscript"/>
        </w:rPr>
        <w:t>®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tablets using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healthy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human volunteers.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8"/>
        </w:numPr>
        <w:tabs>
          <w:tab w:pos="4686" w:val="left" w:leader="none"/>
        </w:tabs>
        <w:spacing w:line="240" w:lineRule="auto" w:before="214" w:after="0"/>
        <w:ind w:left="4685" w:right="0" w:hanging="361"/>
        <w:jc w:val="left"/>
      </w:pPr>
      <w:bookmarkStart w:name="_TOC_250027" w:id="15"/>
      <w:r>
        <w:rPr/>
        <w:t>Research</w:t>
      </w:r>
      <w:r>
        <w:rPr>
          <w:spacing w:val="-1"/>
        </w:rPr>
        <w:t> </w:t>
      </w:r>
      <w:bookmarkEnd w:id="15"/>
      <w:r>
        <w:rPr/>
        <w:t>Hypothesis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"/>
        <w:ind w:left="1325" w:right="1411" w:firstLine="59"/>
        <w:jc w:val="both"/>
      </w:pPr>
      <w:r>
        <w:rPr/>
        <w:t>Paracetamol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 and caffeine does not affect the pharmacokinetics of paracetamol in 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0"/>
        <w:jc w:val="center"/>
      </w:pPr>
      <w:bookmarkStart w:name="_TOC_250026" w:id="16"/>
      <w:r>
        <w:rPr/>
        <w:t>CHAPTER</w:t>
      </w:r>
      <w:r>
        <w:rPr>
          <w:spacing w:val="-2"/>
        </w:rPr>
        <w:t> </w:t>
      </w:r>
      <w:bookmarkEnd w:id="16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numPr>
          <w:ilvl w:val="1"/>
          <w:numId w:val="10"/>
        </w:numPr>
        <w:tabs>
          <w:tab w:pos="4434" w:val="left" w:leader="none"/>
        </w:tabs>
        <w:spacing w:line="240" w:lineRule="auto" w:before="1" w:after="0"/>
        <w:ind w:left="4433" w:right="0" w:hanging="361"/>
        <w:jc w:val="left"/>
      </w:pPr>
      <w:bookmarkStart w:name="_TOC_250025" w:id="17"/>
      <w:r>
        <w:rPr/>
        <w:t>LITERATURE</w:t>
      </w:r>
      <w:r>
        <w:rPr>
          <w:spacing w:val="-3"/>
        </w:rPr>
        <w:t> </w:t>
      </w:r>
      <w:bookmarkEnd w:id="17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3769" w:val="left" w:leader="none"/>
        </w:tabs>
        <w:spacing w:line="240" w:lineRule="auto" w:before="176" w:after="0"/>
        <w:ind w:left="3769" w:right="0" w:hanging="360"/>
        <w:jc w:val="left"/>
      </w:pPr>
      <w:bookmarkStart w:name="_TOC_250024" w:id="18"/>
      <w:r>
        <w:rPr/>
        <w:t>History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Chemistry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8"/>
      <w:r>
        <w:rPr/>
        <w:t>Paracetamol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5" w:right="1411"/>
        <w:jc w:val="both"/>
      </w:pPr>
      <w:r>
        <w:rPr/>
        <w:t>Antipyretic agents were used in ancient and medieval times as compounds contained in</w:t>
      </w:r>
      <w:r>
        <w:rPr>
          <w:spacing w:val="1"/>
        </w:rPr>
        <w:t> </w:t>
      </w:r>
      <w:r>
        <w:rPr/>
        <w:t>white willow bark from the family of chemicals known as Salicins, which led to the</w:t>
      </w:r>
      <w:r>
        <w:rPr>
          <w:spacing w:val="1"/>
        </w:rPr>
        <w:t> </w:t>
      </w:r>
      <w:r>
        <w:rPr/>
        <w:t>development of aspirin and compounds contained in cinchona bark. A lot of efforts to</w:t>
      </w:r>
      <w:r>
        <w:rPr>
          <w:spacing w:val="1"/>
        </w:rPr>
        <w:t> </w:t>
      </w:r>
      <w:r>
        <w:rPr/>
        <w:t>refine and isolate salicin and salicylic acid took place throughout the 19th century,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by Bayer</w:t>
      </w:r>
      <w:r>
        <w:rPr>
          <w:spacing w:val="1"/>
        </w:rPr>
        <w:t> </w:t>
      </w:r>
      <w:r>
        <w:rPr/>
        <w:t>chemist</w:t>
      </w:r>
      <w:r>
        <w:rPr>
          <w:spacing w:val="1"/>
        </w:rPr>
        <w:t> </w:t>
      </w:r>
      <w:r>
        <w:rPr/>
        <w:t>Felix</w:t>
      </w:r>
      <w:r>
        <w:rPr>
          <w:spacing w:val="1"/>
        </w:rPr>
        <w:t> </w:t>
      </w:r>
      <w:r>
        <w:rPr/>
        <w:t>Hoffmann</w:t>
      </w:r>
      <w:r>
        <w:rPr>
          <w:spacing w:val="1"/>
        </w:rPr>
        <w:t> </w:t>
      </w:r>
      <w:r>
        <w:rPr/>
        <w:t>(French</w:t>
      </w:r>
      <w:r>
        <w:rPr>
          <w:spacing w:val="1"/>
        </w:rPr>
        <w:t> </w:t>
      </w:r>
      <w:r>
        <w:rPr/>
        <w:t>chemist</w:t>
      </w:r>
      <w:r>
        <w:rPr>
          <w:spacing w:val="1"/>
        </w:rPr>
        <w:t> </w:t>
      </w:r>
      <w:r>
        <w:rPr/>
        <w:t>Charles</w:t>
      </w:r>
      <w:r>
        <w:rPr>
          <w:spacing w:val="1"/>
        </w:rPr>
        <w:t> </w:t>
      </w:r>
      <w:r>
        <w:rPr/>
        <w:t>Frédéric Gerhardt 40 years earlier worked on it, but abandoned the work when he</w:t>
      </w:r>
      <w:r>
        <w:rPr>
          <w:spacing w:val="1"/>
        </w:rPr>
        <w:t> </w:t>
      </w:r>
      <w:r>
        <w:rPr/>
        <w:t>thought it was impractical) until the cinchona tree became scarce in the 1880s, and</w:t>
      </w:r>
      <w:r>
        <w:rPr>
          <w:spacing w:val="1"/>
        </w:rPr>
        <w:t> </w:t>
      </w:r>
      <w:r>
        <w:rPr/>
        <w:t>alternatives were sought (Lester </w:t>
      </w:r>
      <w:r>
        <w:rPr>
          <w:i/>
        </w:rPr>
        <w:t>et al</w:t>
      </w:r>
      <w:r>
        <w:rPr/>
        <w:t>., 1947). Two alternative antipyretic agents were</w:t>
      </w:r>
      <w:r>
        <w:rPr>
          <w:spacing w:val="1"/>
        </w:rPr>
        <w:t> </w:t>
      </w:r>
      <w:r>
        <w:rPr/>
        <w:t>later developed in the 1880s known as acetanilide in 1886 and phenacetin in 1887</w:t>
      </w:r>
      <w:r>
        <w:rPr>
          <w:spacing w:val="1"/>
        </w:rPr>
        <w:t> </w:t>
      </w:r>
      <w:r>
        <w:rPr/>
        <w:t>(Lester </w:t>
      </w:r>
      <w:r>
        <w:rPr>
          <w:i/>
        </w:rPr>
        <w:t>et al</w:t>
      </w:r>
      <w:r>
        <w:rPr/>
        <w:t>., 1947).</w:t>
      </w:r>
    </w:p>
    <w:p>
      <w:pPr>
        <w:pStyle w:val="BodyText"/>
        <w:spacing w:line="480" w:lineRule="auto" w:before="100"/>
        <w:ind w:left="1325" w:right="1414"/>
        <w:jc w:val="both"/>
      </w:pPr>
      <w:r>
        <w:rPr/>
        <w:t>Brodie and Axelrod in 1949 linked the use of acetanilide with methemoglobinemia,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acetanilide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metabolite</w:t>
      </w:r>
      <w:r>
        <w:rPr>
          <w:spacing w:val="1"/>
        </w:rPr>
        <w:t> </w:t>
      </w:r>
      <w:r>
        <w:rPr/>
        <w:t>paracetamol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so</w:t>
      </w:r>
      <w:r>
        <w:rPr>
          <w:spacing w:val="36"/>
        </w:rPr>
        <w:t> </w:t>
      </w:r>
      <w:r>
        <w:rPr/>
        <w:t>they</w:t>
      </w:r>
      <w:r>
        <w:rPr>
          <w:spacing w:val="33"/>
        </w:rPr>
        <w:t> </w:t>
      </w:r>
      <w:r>
        <w:rPr/>
        <w:t>advocated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use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paracetamol,</w:t>
      </w:r>
      <w:r>
        <w:rPr>
          <w:spacing w:val="36"/>
        </w:rPr>
        <w:t> </w:t>
      </w:r>
      <w:r>
        <w:rPr/>
        <w:t>since</w:t>
      </w:r>
      <w:r>
        <w:rPr>
          <w:spacing w:val="36"/>
        </w:rPr>
        <w:t> </w:t>
      </w:r>
      <w:r>
        <w:rPr/>
        <w:t>it</w:t>
      </w:r>
      <w:r>
        <w:rPr>
          <w:spacing w:val="36"/>
        </w:rPr>
        <w:t> </w:t>
      </w:r>
      <w:r>
        <w:rPr/>
        <w:t>did</w:t>
      </w:r>
      <w:r>
        <w:rPr>
          <w:spacing w:val="38"/>
        </w:rPr>
        <w:t> </w:t>
      </w:r>
      <w:r>
        <w:rPr/>
        <w:t>not</w:t>
      </w:r>
      <w:r>
        <w:rPr>
          <w:spacing w:val="36"/>
        </w:rPr>
        <w:t> </w:t>
      </w:r>
      <w:r>
        <w:rPr/>
        <w:t>have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toxic</w:t>
      </w:r>
      <w:r>
        <w:rPr>
          <w:spacing w:val="-1"/>
        </w:rPr>
        <w:t> </w:t>
      </w:r>
      <w:r>
        <w:rPr/>
        <w:t>effects of acetanilide</w:t>
      </w:r>
      <w:r>
        <w:rPr>
          <w:spacing w:val="-1"/>
        </w:rPr>
        <w:t> </w:t>
      </w:r>
      <w:r>
        <w:rPr/>
        <w:t>(Brodie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Axelrod, 1949).</w:t>
      </w:r>
    </w:p>
    <w:p>
      <w:pPr>
        <w:pStyle w:val="BodyText"/>
        <w:spacing w:line="480" w:lineRule="auto" w:before="102"/>
        <w:ind w:left="1325" w:right="1415"/>
        <w:jc w:val="both"/>
      </w:pPr>
      <w:r>
        <w:rPr/>
        <w:t>Paracetamol was first synthesized in 1873 by Harmon Northrop Morse through the</w:t>
      </w:r>
      <w:r>
        <w:rPr>
          <w:spacing w:val="1"/>
        </w:rPr>
        <w:t> </w:t>
      </w:r>
      <w:r>
        <w:rPr/>
        <w:t>reduction of p-nitrophenol with tin in glacial acetic acid. It was not used medically for</w:t>
      </w:r>
      <w:r>
        <w:rPr>
          <w:spacing w:val="1"/>
        </w:rPr>
        <w:t> </w:t>
      </w:r>
      <w:r>
        <w:rPr/>
        <w:t>two decades until in 1893 when it was discovered in the urine of individuals who had</w:t>
      </w:r>
      <w:r>
        <w:rPr>
          <w:spacing w:val="1"/>
        </w:rPr>
        <w:t> </w:t>
      </w:r>
      <w:r>
        <w:rPr/>
        <w:t>taken Phenacetin, and was concentrated into a white, crystalline compound with a bitter</w:t>
      </w:r>
      <w:r>
        <w:rPr>
          <w:spacing w:val="1"/>
        </w:rPr>
        <w:t> </w:t>
      </w:r>
      <w:r>
        <w:rPr/>
        <w:t>taste (Morse, 1878). In 1899, Paracetamol was found to be a metabolite of acetanilide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was not</w:t>
      </w:r>
      <w:r>
        <w:rPr>
          <w:spacing w:val="2"/>
        </w:rPr>
        <w:t> </w:t>
      </w:r>
      <w:r>
        <w:rPr/>
        <w:t>built</w:t>
      </w:r>
      <w:r>
        <w:rPr>
          <w:spacing w:val="-1"/>
        </w:rPr>
        <w:t> </w:t>
      </w:r>
      <w:r>
        <w:rPr/>
        <w:t>on and ignored</w:t>
      </w:r>
      <w:r>
        <w:rPr>
          <w:spacing w:val="4"/>
        </w:rPr>
        <w:t> </w:t>
      </w:r>
      <w:r>
        <w:rPr/>
        <w:t>(Lester</w:t>
      </w:r>
      <w:r>
        <w:rPr>
          <w:spacing w:val="-1"/>
        </w:rPr>
        <w:t> </w:t>
      </w:r>
      <w:r>
        <w:rPr>
          <w:i/>
        </w:rPr>
        <w:t>et al,</w:t>
      </w:r>
      <w:r>
        <w:rPr/>
        <w:t>.</w:t>
      </w:r>
      <w:r>
        <w:rPr>
          <w:spacing w:val="-1"/>
        </w:rPr>
        <w:t> </w:t>
      </w:r>
      <w:r>
        <w:rPr/>
        <w:t>1947).</w:t>
      </w:r>
    </w:p>
    <w:p>
      <w:pPr>
        <w:pStyle w:val="BodyText"/>
        <w:spacing w:before="99"/>
        <w:ind w:left="1325"/>
        <w:jc w:val="both"/>
      </w:pPr>
      <w:r>
        <w:rPr/>
        <w:t>Paracetamol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first</w:t>
      </w:r>
      <w:r>
        <w:rPr>
          <w:spacing w:val="12"/>
        </w:rPr>
        <w:t> </w:t>
      </w:r>
      <w:r>
        <w:rPr/>
        <w:t>sold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United</w:t>
      </w:r>
      <w:r>
        <w:rPr>
          <w:spacing w:val="11"/>
        </w:rPr>
        <w:t> </w:t>
      </w:r>
      <w:r>
        <w:rPr/>
        <w:t>States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1955</w:t>
      </w:r>
      <w:r>
        <w:rPr>
          <w:spacing w:val="10"/>
        </w:rPr>
        <w:t> </w:t>
      </w:r>
      <w:r>
        <w:rPr/>
        <w:t>under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brand</w:t>
      </w:r>
      <w:r>
        <w:rPr>
          <w:spacing w:val="11"/>
        </w:rPr>
        <w:t> </w:t>
      </w:r>
      <w:r>
        <w:rPr/>
        <w:t>name</w:t>
      </w:r>
      <w:r>
        <w:rPr>
          <w:spacing w:val="11"/>
        </w:rPr>
        <w:t> </w:t>
      </w:r>
      <w:r>
        <w:rPr/>
        <w:t>Tylenol</w:t>
      </w:r>
      <w:r>
        <w:rPr>
          <w:vertAlign w:val="superscript"/>
        </w:rPr>
        <w:t>®</w:t>
      </w:r>
    </w:p>
    <w:p>
      <w:pPr>
        <w:spacing w:after="0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5"/>
        <w:jc w:val="both"/>
      </w:pPr>
      <w:r>
        <w:rPr/>
        <w:t>while in 1956; 500 mg tablets of paracetamol were sold in the United Kingdom under</w:t>
      </w:r>
      <w:r>
        <w:rPr>
          <w:spacing w:val="1"/>
        </w:rPr>
        <w:t> </w:t>
      </w:r>
      <w:r>
        <w:rPr/>
        <w:t>the trade name Panadol</w:t>
      </w:r>
      <w:r>
        <w:rPr>
          <w:vertAlign w:val="superscript"/>
        </w:rPr>
        <w:t>®</w:t>
      </w:r>
      <w:r>
        <w:rPr>
          <w:vertAlign w:val="baseline"/>
        </w:rPr>
        <w:t>, produced by Frederick Stearns &amp; Co, a subsidiary of Sterling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-2"/>
          <w:vertAlign w:val="baseline"/>
        </w:rPr>
        <w:t> </w:t>
      </w:r>
      <w:r>
        <w:rPr>
          <w:vertAlign w:val="baseline"/>
        </w:rPr>
        <w:t>Inc.</w:t>
      </w:r>
    </w:p>
    <w:p>
      <w:pPr>
        <w:pStyle w:val="BodyText"/>
        <w:spacing w:line="480" w:lineRule="auto" w:before="99"/>
        <w:ind w:left="1325" w:right="1413"/>
        <w:jc w:val="both"/>
      </w:pPr>
      <w:r>
        <w:rPr/>
        <w:t>Panadol</w:t>
      </w:r>
      <w:r>
        <w:rPr>
          <w:vertAlign w:val="superscript"/>
        </w:rPr>
        <w:t>®</w:t>
      </w:r>
      <w:r>
        <w:rPr>
          <w:vertAlign w:val="baseline"/>
        </w:rPr>
        <w:t> was originally available only by prescription, for the relief</w:t>
      </w:r>
      <w:r>
        <w:rPr>
          <w:spacing w:val="60"/>
          <w:vertAlign w:val="baseline"/>
        </w:rPr>
        <w:t> </w:t>
      </w:r>
      <w:r>
        <w:rPr>
          <w:vertAlign w:val="baseline"/>
        </w:rPr>
        <w:t>of pain and fever.</w:t>
      </w:r>
      <w:r>
        <w:rPr>
          <w:spacing w:val="1"/>
          <w:vertAlign w:val="baseline"/>
        </w:rPr>
        <w:t> </w:t>
      </w:r>
      <w:r>
        <w:rPr>
          <w:vertAlign w:val="baseline"/>
        </w:rPr>
        <w:t>It was advertised as being "gentle to the stomach," since all other analgesic agents at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time contained aspirin that was a stomach irritant.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children's formulation named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1"/>
          <w:vertAlign w:val="baseline"/>
        </w:rPr>
        <w:t> </w:t>
      </w:r>
      <w:r>
        <w:rPr>
          <w:vertAlign w:val="baseline"/>
        </w:rPr>
        <w:t>Elixir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was later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 in June</w:t>
      </w:r>
      <w:r>
        <w:rPr>
          <w:spacing w:val="-1"/>
          <w:vertAlign w:val="baseline"/>
        </w:rPr>
        <w:t> </w:t>
      </w:r>
      <w:r>
        <w:rPr>
          <w:vertAlign w:val="baseline"/>
        </w:rPr>
        <w:t>1958 (Milton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1992).</w:t>
      </w:r>
    </w:p>
    <w:p>
      <w:pPr>
        <w:pStyle w:val="BodyText"/>
        <w:spacing w:line="480" w:lineRule="auto" w:before="101"/>
        <w:ind w:left="1325" w:right="1416"/>
        <w:jc w:val="both"/>
      </w:pPr>
      <w:r>
        <w:rPr/>
        <w:t>In 1963, paracetamol was added to the British Pharmacopoeia, and has since gained</w:t>
      </w:r>
      <w:r>
        <w:rPr>
          <w:spacing w:val="1"/>
        </w:rPr>
        <w:t> </w:t>
      </w:r>
      <w:r>
        <w:rPr/>
        <w:t>popularity as an analgesic agent with few side-effects and with little interaction with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pharmaceutical</w:t>
      </w:r>
      <w:r>
        <w:rPr>
          <w:spacing w:val="2"/>
        </w:rPr>
        <w:t> </w:t>
      </w:r>
      <w:r>
        <w:rPr/>
        <w:t>agents</w:t>
      </w:r>
      <w:r>
        <w:rPr>
          <w:spacing w:val="2"/>
        </w:rPr>
        <w:t> </w:t>
      </w:r>
      <w:r>
        <w:rPr/>
        <w:t>(Milton </w:t>
      </w:r>
      <w:r>
        <w:rPr>
          <w:i/>
        </w:rPr>
        <w:t>et al</w:t>
      </w:r>
      <w:r>
        <w:rPr/>
        <w:t>., 1992).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2045" w:val="left" w:leader="none"/>
          <w:tab w:pos="2046" w:val="left" w:leader="none"/>
        </w:tabs>
        <w:spacing w:line="240" w:lineRule="auto" w:before="161" w:after="0"/>
        <w:ind w:left="2045" w:right="0" w:hanging="721"/>
        <w:jc w:val="left"/>
      </w:pPr>
      <w:bookmarkStart w:name="_TOC_250023" w:id="19"/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reactivity</w:t>
      </w:r>
      <w:r>
        <w:rPr>
          <w:spacing w:val="-1"/>
        </w:rPr>
        <w:t> </w:t>
      </w:r>
      <w:bookmarkEnd w:id="19"/>
      <w:r>
        <w:rPr/>
        <w:t>of paracetamol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1491488</wp:posOffset>
            </wp:positionH>
            <wp:positionV relativeFrom="paragraph">
              <wp:posOffset>222811</wp:posOffset>
            </wp:positionV>
            <wp:extent cx="2772580" cy="124758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80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tabs>
          <w:tab w:pos="2765" w:val="left" w:leader="none"/>
        </w:tabs>
        <w:spacing w:before="90"/>
        <w:ind w:left="1325"/>
      </w:pPr>
      <w:r>
        <w:rPr/>
        <w:t>Figure</w:t>
      </w:r>
      <w:r>
        <w:rPr>
          <w:spacing w:val="-3"/>
        </w:rPr>
        <w:t> </w:t>
      </w:r>
      <w:r>
        <w:rPr/>
        <w:t>2.1</w:t>
        <w:tab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325"/>
      </w:pPr>
      <w:r>
        <w:rPr/>
        <w:t>The</w:t>
      </w:r>
      <w:r>
        <w:rPr>
          <w:spacing w:val="56"/>
        </w:rPr>
        <w:t> </w:t>
      </w:r>
      <w:r>
        <w:rPr/>
        <w:t>chemical</w:t>
      </w:r>
      <w:r>
        <w:rPr>
          <w:spacing w:val="56"/>
        </w:rPr>
        <w:t> </w:t>
      </w:r>
      <w:r>
        <w:rPr/>
        <w:t>name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Paracetamol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N-(4-hydroxyphenyl)acetamide</w:t>
      </w:r>
      <w:r>
        <w:rPr>
          <w:spacing w:val="56"/>
        </w:rPr>
        <w:t> </w:t>
      </w:r>
      <w:r>
        <w:rPr/>
        <w:t>or</w:t>
      </w:r>
      <w:r>
        <w:rPr>
          <w:spacing w:val="58"/>
        </w:rPr>
        <w:t> </w:t>
      </w:r>
      <w:r>
        <w:rPr/>
        <w:t>N-(4-</w:t>
      </w:r>
      <w:r>
        <w:rPr>
          <w:spacing w:val="-57"/>
        </w:rPr>
        <w:t> </w:t>
      </w:r>
      <w:r>
        <w:rPr/>
        <w:t>hydroxyphenyl)ethanamide,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structural</w:t>
      </w:r>
      <w:r>
        <w:rPr>
          <w:spacing w:val="13"/>
        </w:rPr>
        <w:t> </w:t>
      </w:r>
      <w:r>
        <w:rPr/>
        <w:t>formula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9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molar</w:t>
      </w:r>
      <w:r>
        <w:rPr>
          <w:spacing w:val="10"/>
          <w:vertAlign w:val="baseline"/>
        </w:rPr>
        <w:t> </w:t>
      </w:r>
      <w:r>
        <w:rPr>
          <w:vertAlign w:val="baseline"/>
        </w:rPr>
        <w:t>mass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tabs>
          <w:tab w:pos="6366" w:val="left" w:leader="none"/>
          <w:tab w:pos="7009" w:val="left" w:leader="none"/>
          <w:tab w:pos="7999" w:val="left" w:leader="none"/>
          <w:tab w:pos="8496" w:val="left" w:leader="none"/>
          <w:tab w:pos="9215" w:val="left" w:leader="none"/>
        </w:tabs>
        <w:ind w:left="1325"/>
      </w:pPr>
      <w:r>
        <w:rPr/>
        <w:t>151.169</w:t>
      </w:r>
      <w:r>
        <w:rPr>
          <w:spacing w:val="-1"/>
        </w:rPr>
        <w:t> </w:t>
      </w:r>
      <w:r>
        <w:rPr/>
        <w:t>g/mol.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 melting</w:t>
      </w:r>
      <w:r>
        <w:rPr>
          <w:spacing w:val="-3"/>
        </w:rPr>
        <w:t> </w:t>
      </w:r>
      <w:r>
        <w:rPr/>
        <w:t>point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169°</w:t>
      </w:r>
      <w:r>
        <w:rPr>
          <w:spacing w:val="-1"/>
        </w:rPr>
        <w:t> </w:t>
      </w:r>
      <w:r>
        <w:rPr/>
        <w:t>C</w:t>
        <w:tab/>
        <w:t>and</w:t>
        <w:tab/>
        <w:t>density</w:t>
        <w:tab/>
        <w:t>of</w:t>
        <w:tab/>
        <w:t>1.26</w:t>
        <w:tab/>
        <w:t>g/cm³.</w:t>
      </w:r>
    </w:p>
    <w:p>
      <w:pPr>
        <w:pStyle w:val="BodyText"/>
      </w:pPr>
    </w:p>
    <w:p>
      <w:pPr>
        <w:pStyle w:val="BodyText"/>
        <w:spacing w:line="480" w:lineRule="auto"/>
        <w:ind w:left="1325" w:right="1417"/>
      </w:pPr>
      <w:r>
        <w:rPr/>
        <w:t>Paracetamol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soluble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water</w:t>
      </w:r>
      <w:r>
        <w:rPr>
          <w:spacing w:val="13"/>
        </w:rPr>
        <w:t> </w:t>
      </w:r>
      <w:r>
        <w:rPr/>
        <w:t>sparingly,</w:t>
      </w:r>
      <w:r>
        <w:rPr>
          <w:spacing w:val="13"/>
        </w:rPr>
        <w:t> </w:t>
      </w:r>
      <w:r>
        <w:rPr/>
        <w:t>freely</w:t>
      </w:r>
      <w:r>
        <w:rPr>
          <w:spacing w:val="6"/>
        </w:rPr>
        <w:t> </w:t>
      </w:r>
      <w:r>
        <w:rPr/>
        <w:t>soluble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alcohol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slightly</w:t>
      </w:r>
      <w:r>
        <w:rPr>
          <w:spacing w:val="5"/>
        </w:rPr>
        <w:t> </w:t>
      </w:r>
      <w:r>
        <w:rPr/>
        <w:t>soluble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dichloromethane.</w:t>
      </w:r>
    </w:p>
    <w:p>
      <w:pPr>
        <w:spacing w:after="0" w:line="480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4"/>
        <w:jc w:val="both"/>
      </w:pPr>
      <w:r>
        <w:rPr/>
        <w:t>The structure of Paracetamol has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hyperlink r:id="rId22">
        <w:r>
          <w:rPr/>
          <w:t>benzene</w:t>
        </w:r>
      </w:hyperlink>
      <w:r>
        <w:rPr>
          <w:spacing w:val="60"/>
        </w:rPr>
        <w:t> </w:t>
      </w:r>
      <w:r>
        <w:rPr/>
        <w:t>ring core, </w:t>
      </w:r>
      <w:hyperlink r:id="rId23">
        <w:r>
          <w:rPr/>
          <w:t>substituted</w:t>
        </w:r>
      </w:hyperlink>
      <w:r>
        <w:rPr/>
        <w:t> by one </w:t>
      </w:r>
      <w:hyperlink r:id="rId24">
        <w:r>
          <w:rPr/>
          <w:t>hydroxyl</w:t>
        </w:r>
      </w:hyperlink>
      <w:r>
        <w:rPr>
          <w:spacing w:val="1"/>
        </w:rPr>
        <w:t> </w:t>
      </w:r>
      <w:r>
        <w:rPr/>
        <w:t>group and the </w:t>
      </w:r>
      <w:hyperlink r:id="rId25">
        <w:r>
          <w:rPr/>
          <w:t>nitrogen </w:t>
        </w:r>
      </w:hyperlink>
      <w:r>
        <w:rPr/>
        <w:t>atom of an </w:t>
      </w:r>
      <w:hyperlink r:id="rId26">
        <w:r>
          <w:rPr/>
          <w:t>amide </w:t>
        </w:r>
      </w:hyperlink>
      <w:r>
        <w:rPr/>
        <w:t>group in the </w:t>
      </w:r>
      <w:r>
        <w:rPr>
          <w:i/>
        </w:rPr>
        <w:t>para </w:t>
      </w:r>
      <w:r>
        <w:rPr/>
        <w:t>(1,4) </w:t>
      </w:r>
      <w:hyperlink r:id="rId27">
        <w:r>
          <w:rPr/>
          <w:t>pattern </w:t>
        </w:r>
      </w:hyperlink>
      <w:r>
        <w:rPr/>
        <w:t>(Bales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1985). The amide group is </w:t>
      </w:r>
      <w:hyperlink r:id="rId28">
        <w:r>
          <w:rPr/>
          <w:t>acetamide</w:t>
        </w:r>
      </w:hyperlink>
      <w:r>
        <w:rPr/>
        <w:t> and the antipyretic activity of the compound</w:t>
      </w:r>
      <w:r>
        <w:rPr>
          <w:spacing w:val="1"/>
        </w:rPr>
        <w:t> </w:t>
      </w:r>
      <w:r>
        <w:rPr/>
        <w:t>resides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aminobenzene</w:t>
      </w:r>
      <w:r>
        <w:rPr>
          <w:spacing w:val="36"/>
        </w:rPr>
        <w:t> </w:t>
      </w:r>
      <w:r>
        <w:rPr/>
        <w:t>structure.</w:t>
      </w:r>
      <w:r>
        <w:rPr>
          <w:spacing w:val="39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extensively</w:t>
      </w:r>
      <w:r>
        <w:rPr>
          <w:spacing w:val="36"/>
        </w:rPr>
        <w:t> </w:t>
      </w:r>
      <w:hyperlink r:id="rId29">
        <w:r>
          <w:rPr/>
          <w:t>conjugated</w:t>
        </w:r>
        <w:r>
          <w:rPr>
            <w:spacing w:val="37"/>
          </w:rPr>
          <w:t> </w:t>
        </w:r>
        <w:r>
          <w:rPr/>
          <w:t>system</w:t>
        </w:r>
      </w:hyperlink>
      <w:r>
        <w:rPr/>
        <w:t>,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hyperlink r:id="rId30">
        <w:r>
          <w:rPr/>
          <w:t>lone pair </w:t>
        </w:r>
      </w:hyperlink>
      <w:r>
        <w:rPr/>
        <w:t>on the hydroxyl oxygen, the benzene pi cloud, the nitrogen lone pair, the </w:t>
      </w:r>
      <w:hyperlink r:id="rId31">
        <w:r>
          <w:rPr/>
          <w:t>p</w:t>
        </w:r>
      </w:hyperlink>
      <w:r>
        <w:rPr>
          <w:spacing w:val="1"/>
        </w:rPr>
        <w:t> </w:t>
      </w:r>
      <w:hyperlink r:id="rId31">
        <w:r>
          <w:rPr/>
          <w:t>orbital</w:t>
        </w:r>
      </w:hyperlink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32">
        <w:r>
          <w:rPr/>
          <w:t>carbonyl</w:t>
        </w:r>
      </w:hyperlink>
      <w:r>
        <w:rPr>
          <w:spacing w:val="1"/>
        </w:rPr>
        <w:t> </w:t>
      </w:r>
      <w:r>
        <w:rPr/>
        <w:t>carbon,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lone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carbonyl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conjugated.</w:t>
      </w:r>
    </w:p>
    <w:p>
      <w:pPr>
        <w:pStyle w:val="BodyText"/>
        <w:spacing w:line="480" w:lineRule="auto" w:before="1"/>
        <w:ind w:left="1325" w:right="1415" w:firstLine="59"/>
        <w:jc w:val="both"/>
      </w:pPr>
      <w:r>
        <w:rPr/>
        <w:t>The presence of the two activating groups also makes the benzene ring highly reactive</w:t>
      </w:r>
      <w:r>
        <w:rPr>
          <w:spacing w:val="1"/>
        </w:rPr>
        <w:t> </w:t>
      </w:r>
      <w:r>
        <w:rPr/>
        <w:t>towards </w:t>
      </w:r>
      <w:hyperlink r:id="rId33">
        <w:r>
          <w:rPr/>
          <w:t>electrophilic </w:t>
        </w:r>
      </w:hyperlink>
      <w:r>
        <w:rPr/>
        <w:t>aromatic substitution. As the substituents are </w:t>
      </w:r>
      <w:r>
        <w:rPr>
          <w:i/>
        </w:rPr>
        <w:t>ortho, para</w:t>
      </w:r>
      <w:r>
        <w:rPr/>
        <w:t>-directing</w:t>
      </w:r>
      <w:r>
        <w:rPr>
          <w:spacing w:val="-57"/>
        </w:rPr>
        <w:t> </w:t>
      </w:r>
      <w:r>
        <w:rPr/>
        <w:t>and </w:t>
      </w:r>
      <w:r>
        <w:rPr>
          <w:i/>
        </w:rPr>
        <w:t>para </w:t>
      </w:r>
      <w:r>
        <w:rPr/>
        <w:t>with respect to each other, all positions on the ring are more or less equally</w:t>
      </w:r>
      <w:r>
        <w:rPr>
          <w:spacing w:val="1"/>
        </w:rPr>
        <w:t> </w:t>
      </w:r>
      <w:r>
        <w:rPr/>
        <w:t>activated. The conjugation also greatly reduces the </w:t>
      </w:r>
      <w:hyperlink r:id="rId34">
        <w:r>
          <w:rPr/>
          <w:t>basicity</w:t>
        </w:r>
      </w:hyperlink>
      <w:r>
        <w:rPr/>
        <w:t> of the oxygens and the</w:t>
      </w:r>
      <w:r>
        <w:rPr>
          <w:spacing w:val="1"/>
        </w:rPr>
        <w:t> </w:t>
      </w:r>
      <w:r>
        <w:rPr/>
        <w:t>nitrogen, while making the hydroxyl acidic through delocalisation of charge developed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hyperlink r:id="rId35">
        <w:r>
          <w:rPr/>
          <w:t>phenoxide </w:t>
        </w:r>
      </w:hyperlink>
      <w:hyperlink r:id="rId36">
        <w:r>
          <w:rPr/>
          <w:t>anion </w:t>
        </w:r>
      </w:hyperlink>
      <w:r>
        <w:rPr/>
        <w:t>(Bales</w:t>
      </w:r>
      <w:r>
        <w:rPr>
          <w:spacing w:val="2"/>
        </w:rPr>
        <w:t> </w:t>
      </w:r>
      <w:r>
        <w:rPr>
          <w:i/>
        </w:rPr>
        <w:t>et al</w:t>
      </w:r>
      <w:r>
        <w:rPr/>
        <w:t>., 1985).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2045" w:val="left" w:leader="none"/>
          <w:tab w:pos="2046" w:val="left" w:leader="none"/>
        </w:tabs>
        <w:spacing w:line="240" w:lineRule="auto" w:before="156" w:after="0"/>
        <w:ind w:left="2045" w:right="0" w:hanging="721"/>
        <w:jc w:val="left"/>
        <w:rPr>
          <w:sz w:val="24"/>
        </w:rPr>
      </w:pPr>
      <w:r>
        <w:rPr>
          <w:sz w:val="24"/>
        </w:rPr>
        <w:t>Synthesis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paracetamol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1325" w:right="1412"/>
        <w:jc w:val="both"/>
      </w:pPr>
      <w:r>
        <w:rPr/>
        <w:t>In the laboratory, paracetamol can easily be prepared by </w:t>
      </w:r>
      <w:hyperlink r:id="rId37">
        <w:r>
          <w:rPr/>
          <w:t>nitrating </w:t>
        </w:r>
      </w:hyperlink>
      <w:r>
        <w:rPr/>
        <w:t>phenol with </w:t>
      </w:r>
      <w:hyperlink r:id="rId38">
        <w:r>
          <w:rPr/>
          <w:t>sodium</w:t>
        </w:r>
      </w:hyperlink>
      <w:r>
        <w:rPr>
          <w:spacing w:val="1"/>
        </w:rPr>
        <w:t> </w:t>
      </w:r>
      <w:hyperlink r:id="rId38">
        <w:r>
          <w:rPr/>
          <w:t>nitrate </w:t>
        </w:r>
      </w:hyperlink>
      <w:r>
        <w:rPr/>
        <w:t>separating the desired </w:t>
      </w:r>
      <w:r>
        <w:rPr>
          <w:i/>
        </w:rPr>
        <w:t>para- </w:t>
      </w:r>
      <w:r>
        <w:rPr/>
        <w:t>nitrophenol from the </w:t>
      </w:r>
      <w:r>
        <w:rPr>
          <w:i/>
        </w:rPr>
        <w:t>ortho</w:t>
      </w:r>
      <w:r>
        <w:rPr/>
        <w:t>- byproduct, and reducing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hyperlink r:id="rId39">
        <w:r>
          <w:rPr/>
          <w:t>nitro</w:t>
        </w:r>
        <w:r>
          <w:rPr>
            <w:spacing w:val="1"/>
          </w:rPr>
          <w:t> </w:t>
        </w:r>
        <w:r>
          <w:rPr/>
          <w:t>group</w:t>
        </w:r>
      </w:hyperlink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hyperlink r:id="rId40">
        <w:r>
          <w:rPr/>
          <w:t>sodium</w:t>
        </w:r>
        <w:r>
          <w:rPr>
            <w:spacing w:val="1"/>
          </w:rPr>
          <w:t> </w:t>
        </w:r>
        <w:r>
          <w:rPr/>
          <w:t>borohydride.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41">
        <w:r>
          <w:rPr>
            <w:i/>
          </w:rPr>
          <w:t>4</w:t>
        </w:r>
        <w:r>
          <w:rPr/>
          <w:t>-aminophenol</w:t>
        </w:r>
      </w:hyperlink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acetylated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hyperlink r:id="rId42">
        <w:r>
          <w:rPr/>
          <w:t>acetic</w:t>
        </w:r>
        <w:r>
          <w:rPr>
            <w:spacing w:val="7"/>
          </w:rPr>
          <w:t> </w:t>
        </w:r>
        <w:r>
          <w:rPr/>
          <w:t>anhydride</w:t>
        </w:r>
        <w:r>
          <w:rPr>
            <w:spacing w:val="11"/>
          </w:rPr>
          <w:t> </w:t>
        </w:r>
      </w:hyperlink>
      <w:r>
        <w:rPr/>
        <w:t>according</w:t>
      </w:r>
      <w:r>
        <w:rPr>
          <w:spacing w:val="4"/>
        </w:rPr>
        <w:t> </w:t>
      </w:r>
      <w:r>
        <w:rPr/>
        <w:t>to</w:t>
      </w:r>
      <w:r>
        <w:rPr>
          <w:spacing w:val="10"/>
        </w:rPr>
        <w:t> </w:t>
      </w:r>
      <w:r>
        <w:rPr/>
        <w:t>Köfalvi</w:t>
      </w:r>
      <w:r>
        <w:rPr>
          <w:spacing w:val="8"/>
        </w:rPr>
        <w:t> </w:t>
      </w:r>
      <w:r>
        <w:rPr/>
        <w:t>(2008).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reaction,</w:t>
      </w:r>
      <w:r>
        <w:rPr>
          <w:spacing w:val="10"/>
        </w:rPr>
        <w:t> </w:t>
      </w:r>
      <w:hyperlink r:id="rId35">
        <w:r>
          <w:rPr/>
          <w:t>phenol</w:t>
        </w:r>
        <w:r>
          <w:rPr>
            <w:spacing w:val="9"/>
          </w:rPr>
          <w:t> </w:t>
        </w:r>
      </w:hyperlink>
      <w:r>
        <w:rPr/>
        <w:t>is</w:t>
      </w:r>
      <w:r>
        <w:rPr>
          <w:spacing w:val="-58"/>
        </w:rPr>
        <w:t> </w:t>
      </w:r>
      <w:r>
        <w:rPr/>
        <w:t>a strong activating agent, thus the reaction requires only mild conditions. The industrial</w:t>
      </w:r>
      <w:r>
        <w:rPr>
          <w:spacing w:val="1"/>
        </w:rPr>
        <w:t> </w:t>
      </w:r>
      <w:r>
        <w:rPr/>
        <w:t>process is analogous, but hydrogenation is used instead of the sodium borohydride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(Ottani,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ind w:left="1475"/>
        <w:rPr>
          <w:sz w:val="20"/>
        </w:rPr>
      </w:pPr>
      <w:r>
        <w:rPr>
          <w:sz w:val="20"/>
        </w:rPr>
        <w:drawing>
          <wp:inline distT="0" distB="0" distL="0" distR="0">
            <wp:extent cx="4704157" cy="2466975"/>
            <wp:effectExtent l="0" t="0" r="0" b="0"/>
            <wp:docPr id="3" name="image2.png" descr="Synthesis of paracetamol from pheno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15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325"/>
        <w:jc w:val="both"/>
      </w:pPr>
      <w:r>
        <w:rPr/>
        <w:t>Figure</w:t>
      </w:r>
      <w:r>
        <w:rPr>
          <w:spacing w:val="-3"/>
        </w:rPr>
        <w:t> </w:t>
      </w:r>
      <w:r>
        <w:rPr/>
        <w:t>2.2     </w:t>
      </w:r>
      <w:r>
        <w:rPr>
          <w:spacing w:val="33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 Paracetamol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nitration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325" w:right="1417"/>
        <w:jc w:val="both"/>
      </w:pPr>
      <w:r>
        <w:rPr/>
        <w:t>Hoechst-Celanese used a simpler process that involves direct acylation of phenol with</w:t>
      </w:r>
      <w:r>
        <w:rPr>
          <w:spacing w:val="1"/>
        </w:rPr>
        <w:t> </w:t>
      </w:r>
      <w:r>
        <w:rPr/>
        <w:t>acetic anhydride catalyzed by Hydrogen Flouride (HF), with conversion of the ketone to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hyperlink r:id="rId44">
        <w:r>
          <w:rPr/>
          <w:t>ketoxime</w:t>
        </w:r>
      </w:hyperlink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hyperlink r:id="rId45">
        <w:r>
          <w:rPr/>
          <w:t>hydroxylamine,</w:t>
        </w:r>
      </w:hyperlink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acid-catalyzed</w:t>
      </w:r>
      <w:r>
        <w:rPr>
          <w:spacing w:val="1"/>
        </w:rPr>
        <w:t> </w:t>
      </w:r>
      <w:hyperlink r:id="rId46">
        <w:r>
          <w:rPr/>
          <w:t>Beckmann</w:t>
        </w:r>
      </w:hyperlink>
      <w:r>
        <w:rPr>
          <w:spacing w:val="1"/>
        </w:rPr>
        <w:t> </w:t>
      </w:r>
      <w:hyperlink r:id="rId46">
        <w:r>
          <w:rPr/>
          <w:t>rearrangement </w:t>
        </w:r>
      </w:hyperlink>
      <w:r>
        <w:rPr/>
        <w:t>resulting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amide</w:t>
      </w:r>
      <w:r>
        <w:rPr>
          <w:spacing w:val="-2"/>
        </w:rPr>
        <w:t> </w:t>
      </w:r>
      <w:r>
        <w:rPr/>
        <w:t>(Harvison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1986; Hogestatt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2005).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1327150</wp:posOffset>
            </wp:positionH>
            <wp:positionV relativeFrom="paragraph">
              <wp:posOffset>199013</wp:posOffset>
            </wp:positionV>
            <wp:extent cx="4399578" cy="2828925"/>
            <wp:effectExtent l="0" t="0" r="0" b="0"/>
            <wp:wrapTopAndBottom/>
            <wp:docPr id="5" name="image3.png" descr="Celanese synthesis of paracetamo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57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765" w:val="left" w:leader="none"/>
        </w:tabs>
        <w:spacing w:before="90"/>
        <w:ind w:left="1325"/>
      </w:pPr>
      <w:r>
        <w:rPr/>
        <w:t>Figure</w:t>
      </w:r>
      <w:r>
        <w:rPr>
          <w:spacing w:val="-3"/>
        </w:rPr>
        <w:t> </w:t>
      </w:r>
      <w:r>
        <w:rPr/>
        <w:t>2.3</w:t>
        <w:tab/>
        <w:t>Synthesis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Acylation</w:t>
      </w:r>
    </w:p>
    <w:p>
      <w:pPr>
        <w:spacing w:after="0"/>
        <w:sectPr>
          <w:pgSz w:w="11910" w:h="16840"/>
          <w:pgMar w:header="0" w:footer="1007" w:top="1420" w:bottom="1200" w:left="660" w:right="0"/>
        </w:sectPr>
      </w:pPr>
    </w:p>
    <w:p>
      <w:pPr>
        <w:pStyle w:val="Heading1"/>
        <w:spacing w:before="79"/>
        <w:ind w:left="3824"/>
      </w:pPr>
      <w:bookmarkStart w:name="_TOC_250022" w:id="20"/>
      <w:r>
        <w:rPr/>
        <w:t>2.2</w:t>
      </w:r>
      <w:r>
        <w:rPr>
          <w:spacing w:val="-2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0"/>
      <w:r>
        <w:rPr/>
        <w:t>Pharmacokinetics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4"/>
        <w:jc w:val="both"/>
      </w:pPr>
      <w:r>
        <w:rPr/>
        <w:t>Pharmacokinetics involves the processes associated with the absorption, distribution,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i.e</w:t>
      </w:r>
      <w:r>
        <w:rPr>
          <w:spacing w:val="1"/>
        </w:rPr>
        <w:t> </w:t>
      </w:r>
      <w:r>
        <w:rPr/>
        <w:t>quantitating drug and/or its metabolites level in body fluids, tissues and excreta at any</w:t>
      </w:r>
      <w:r>
        <w:rPr>
          <w:spacing w:val="1"/>
        </w:rPr>
        <w:t> </w:t>
      </w:r>
      <w:r>
        <w:rPr/>
        <w:t>point in time from the moment of administration until elimination from the body is</w:t>
      </w:r>
      <w:r>
        <w:rPr>
          <w:spacing w:val="1"/>
        </w:rPr>
        <w:t> </w:t>
      </w:r>
      <w:r>
        <w:rPr/>
        <w:t>complete (Kaplan and Jack, 1980). The primary standard of pharmacokinetic study is</w:t>
      </w:r>
      <w:r>
        <w:rPr>
          <w:spacing w:val="1"/>
        </w:rPr>
        <w:t> </w:t>
      </w:r>
      <w:r>
        <w:rPr/>
        <w:t>based on the data obtained after intravenous administration which goes directly into the</w:t>
      </w:r>
      <w:r>
        <w:rPr>
          <w:spacing w:val="1"/>
        </w:rPr>
        <w:t> </w:t>
      </w:r>
      <w:r>
        <w:rPr/>
        <w:t>blood stream. The parameters obtained are not affected by all the rate limiting and</w:t>
      </w:r>
      <w:r>
        <w:rPr>
          <w:spacing w:val="1"/>
        </w:rPr>
        <w:t> </w:t>
      </w:r>
      <w:r>
        <w:rPr/>
        <w:t>metabolic</w:t>
      </w:r>
      <w:r>
        <w:rPr>
          <w:spacing w:val="-2"/>
        </w:rPr>
        <w:t> </w:t>
      </w:r>
      <w:r>
        <w:rPr/>
        <w:t>factors</w:t>
      </w:r>
      <w:r>
        <w:rPr>
          <w:spacing w:val="2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absorption from other</w:t>
      </w:r>
      <w:r>
        <w:rPr>
          <w:spacing w:val="-1"/>
        </w:rPr>
        <w:t> </w:t>
      </w:r>
      <w:r>
        <w:rPr/>
        <w:t>routes.</w:t>
      </w:r>
    </w:p>
    <w:p>
      <w:pPr>
        <w:pStyle w:val="BodyText"/>
        <w:spacing w:line="480" w:lineRule="auto" w:before="200"/>
        <w:ind w:left="1325" w:right="1414"/>
        <w:jc w:val="both"/>
      </w:pPr>
      <w:r>
        <w:rPr/>
        <w:t>Pharmacokinetics describes a biological event in mathematical terms, by developing</w:t>
      </w:r>
      <w:r>
        <w:rPr>
          <w:spacing w:val="1"/>
        </w:rPr>
        <w:t> </w:t>
      </w:r>
      <w:r>
        <w:rPr/>
        <w:t>mathematical models to represent the body as a system of compartments, even though</w:t>
      </w:r>
      <w:r>
        <w:rPr>
          <w:spacing w:val="1"/>
        </w:rPr>
        <w:t> </w:t>
      </w:r>
      <w:r>
        <w:rPr/>
        <w:t>these compartments often have no apparent physiologic or anatomic reality. The one-</w:t>
      </w:r>
      <w:r>
        <w:rPr>
          <w:spacing w:val="1"/>
        </w:rPr>
        <w:t> </w:t>
      </w:r>
      <w:r>
        <w:rPr/>
        <w:t>compartment model simply depicts the body as a single homogenous unit. This model is</w:t>
      </w:r>
      <w:r>
        <w:rPr>
          <w:spacing w:val="-57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blood,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concentration, salivary and urinary excretion data for drugs which rapidly distribute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plasma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 body</w:t>
      </w:r>
      <w:r>
        <w:rPr>
          <w:spacing w:val="-4"/>
        </w:rPr>
        <w:t> </w:t>
      </w:r>
      <w:r>
        <w:rPr/>
        <w:t>fluids and tissues</w:t>
      </w:r>
      <w:r>
        <w:rPr>
          <w:spacing w:val="-1"/>
        </w:rPr>
        <w:t> </w:t>
      </w:r>
      <w:r>
        <w:rPr/>
        <w:t>upon entry</w:t>
      </w:r>
      <w:r>
        <w:rPr>
          <w:spacing w:val="-6"/>
        </w:rPr>
        <w:t> </w:t>
      </w:r>
      <w:r>
        <w:rPr/>
        <w:t>into</w:t>
      </w:r>
      <w:r>
        <w:rPr>
          <w:spacing w:val="3"/>
        </w:rPr>
        <w:t> </w:t>
      </w:r>
      <w:r>
        <w:rPr/>
        <w:t>systemic</w:t>
      </w:r>
      <w:r>
        <w:rPr>
          <w:spacing w:val="1"/>
        </w:rPr>
        <w:t> </w:t>
      </w:r>
      <w:r>
        <w:rPr/>
        <w:t>circulation.</w:t>
      </w:r>
    </w:p>
    <w:p>
      <w:pPr>
        <w:pStyle w:val="BodyText"/>
        <w:spacing w:line="480" w:lineRule="auto" w:before="203"/>
        <w:ind w:left="1325" w:right="1414"/>
        <w:jc w:val="both"/>
      </w:pPr>
      <w:r>
        <w:rPr/>
        <w:t>Assuming the human body behaves like a one-compartment model does not necessary</w:t>
      </w:r>
      <w:r>
        <w:rPr>
          <w:spacing w:val="1"/>
        </w:rPr>
        <w:t> </w:t>
      </w:r>
      <w:r>
        <w:rPr/>
        <w:t>mean that the drug concentrations in all body tissues at any given time are the same.</w:t>
      </w:r>
      <w:r>
        <w:rPr>
          <w:spacing w:val="1"/>
        </w:rPr>
        <w:t> </w:t>
      </w:r>
      <w:r>
        <w:rPr/>
        <w:t>However, a one-compartment model does assume that any changes that occur in the</w:t>
      </w:r>
      <w:r>
        <w:rPr>
          <w:spacing w:val="1"/>
        </w:rPr>
        <w:t> </w:t>
      </w:r>
      <w:r>
        <w:rPr/>
        <w:t>plasma quantitatively reflect changes occurring in tissue drug levels. Another criterion</w:t>
      </w:r>
      <w:r>
        <w:rPr>
          <w:spacing w:val="1"/>
        </w:rPr>
        <w:t> </w:t>
      </w:r>
      <w:r>
        <w:rPr/>
        <w:t>for using a one-compartment model is that drug elimination occurs from the body in 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fashion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proportional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amount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drug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body</w:t>
      </w:r>
      <w:r>
        <w:rPr>
          <w:spacing w:val="-1"/>
        </w:rPr>
        <w:t> </w:t>
      </w:r>
      <w:r>
        <w:rPr/>
        <w:t>at</w:t>
      </w:r>
      <w:r>
        <w:rPr>
          <w:spacing w:val="7"/>
        </w:rPr>
        <w:t> </w:t>
      </w:r>
      <w:r>
        <w:rPr/>
        <w:t>any</w:t>
      </w:r>
      <w:r>
        <w:rPr>
          <w:spacing w:val="-1"/>
        </w:rPr>
        <w:t> </w:t>
      </w:r>
      <w:r>
        <w:rPr/>
        <w:t>time.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proportionality</w:t>
      </w:r>
      <w:r>
        <w:rPr>
          <w:spacing w:val="-2"/>
        </w:rPr>
        <w:t> </w:t>
      </w:r>
      <w:r>
        <w:rPr/>
        <w:t>constant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21"/>
        <w:jc w:val="both"/>
      </w:pPr>
      <w:r>
        <w:rPr/>
        <w:t>relating the rate and amount is the first order elimination rate constant which has unit of</w:t>
      </w:r>
      <w:r>
        <w:rPr>
          <w:spacing w:val="1"/>
        </w:rPr>
        <w:t> </w:t>
      </w:r>
      <w:r>
        <w:rPr/>
        <w:t>reciprocal</w:t>
      </w:r>
      <w:r>
        <w:rPr>
          <w:spacing w:val="-1"/>
        </w:rPr>
        <w:t> </w:t>
      </w:r>
      <w:r>
        <w:rPr/>
        <w:t>of time (min</w:t>
      </w:r>
      <w:r>
        <w:rPr>
          <w:vertAlign w:val="superscript"/>
        </w:rPr>
        <w:t>-1</w:t>
      </w:r>
      <w:r>
        <w:rPr>
          <w:vertAlign w:val="baseline"/>
        </w:rPr>
        <w:t>, hr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(Gibaldi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Perrier,</w:t>
      </w:r>
      <w:r>
        <w:rPr>
          <w:spacing w:val="1"/>
          <w:vertAlign w:val="baseline"/>
        </w:rPr>
        <w:t> </w:t>
      </w:r>
      <w:r>
        <w:rPr>
          <w:vertAlign w:val="baseline"/>
        </w:rPr>
        <w:t>1975b).</w:t>
      </w:r>
    </w:p>
    <w:p>
      <w:pPr>
        <w:pStyle w:val="BodyText"/>
        <w:spacing w:line="480" w:lineRule="auto" w:before="194"/>
        <w:ind w:left="1325" w:right="1413" w:firstLine="59"/>
        <w:jc w:val="both"/>
      </w:pPr>
      <w:r>
        <w:rPr/>
        <w:t>The half-life is one of the most useful pharmacokinetic parameters obtained following</w:t>
      </w:r>
      <w:r>
        <w:rPr>
          <w:spacing w:val="1"/>
        </w:rPr>
        <w:t> </w:t>
      </w:r>
      <w:r>
        <w:rPr/>
        <w:t>the administration of a drug. The half-life of a drug is simply the time required for the</w:t>
      </w:r>
      <w:r>
        <w:rPr>
          <w:spacing w:val="1"/>
        </w:rPr>
        <w:t> </w:t>
      </w:r>
      <w:r>
        <w:rPr/>
        <w:t>amount of drug in the blood stream to reduce by fifty percent (Wagner, 1980; Gibaldi</w:t>
      </w:r>
      <w:r>
        <w:rPr>
          <w:spacing w:val="1"/>
        </w:rPr>
        <w:t> </w:t>
      </w:r>
      <w:r>
        <w:rPr/>
        <w:t>and Perrier, 1975b). This parameter is calculated by dividing 0.693 by the calculated</w:t>
      </w:r>
      <w:r>
        <w:rPr>
          <w:spacing w:val="1"/>
        </w:rPr>
        <w:t> </w:t>
      </w:r>
      <w:r>
        <w:rPr/>
        <w:t>slope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exponential Phase</w:t>
      </w:r>
      <w:r>
        <w:rPr>
          <w:spacing w:val="-1"/>
        </w:rPr>
        <w:t> </w:t>
      </w:r>
      <w:r>
        <w:rPr/>
        <w:t>of multiphasic blood/saliva</w:t>
      </w:r>
      <w:r>
        <w:rPr>
          <w:spacing w:val="-1"/>
        </w:rPr>
        <w:t> </w:t>
      </w:r>
      <w:r>
        <w:rPr/>
        <w:t>level curve.</w:t>
      </w:r>
    </w:p>
    <w:p>
      <w:pPr>
        <w:pStyle w:val="BodyText"/>
        <w:spacing w:line="480" w:lineRule="auto" w:before="200"/>
        <w:ind w:left="1325" w:right="1417" w:firstLine="59"/>
        <w:jc w:val="both"/>
      </w:pPr>
      <w:r>
        <w:rPr/>
        <w:t>Another important parameter in use frequently is Area under the Curve of blood/saliva</w:t>
      </w:r>
      <w:r>
        <w:rPr>
          <w:spacing w:val="1"/>
        </w:rPr>
        <w:t> </w:t>
      </w:r>
      <w:r>
        <w:rPr/>
        <w:t>level against time. The method of calculating this parameter has been discussed by</w:t>
      </w:r>
      <w:r>
        <w:rPr>
          <w:spacing w:val="1"/>
        </w:rPr>
        <w:t> </w:t>
      </w:r>
      <w:r>
        <w:rPr/>
        <w:t>several authors (Wegner, 1967; Gibalbdi and Perrier, 1975c). Many authors have used</w:t>
      </w:r>
      <w:r>
        <w:rPr>
          <w:spacing w:val="1"/>
        </w:rPr>
        <w:t> </w:t>
      </w:r>
      <w:r>
        <w:rPr/>
        <w:t>area analysis to develop a pharmacokinetic pathway and to obtain the rate constants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proposed pharmacokinetic model.</w:t>
      </w:r>
    </w:p>
    <w:p>
      <w:pPr>
        <w:pStyle w:val="BodyText"/>
        <w:spacing w:line="480" w:lineRule="auto" w:before="202"/>
        <w:ind w:left="1325" w:right="1412" w:firstLine="59"/>
        <w:jc w:val="both"/>
      </w:pPr>
      <w:r>
        <w:rPr/>
        <w:t>The total</w:t>
      </w:r>
      <w:r>
        <w:rPr>
          <w:spacing w:val="1"/>
        </w:rPr>
        <w:t> </w:t>
      </w:r>
      <w:r>
        <w:rPr/>
        <w:t>clearance of the drug is</w:t>
      </w:r>
      <w:r>
        <w:rPr>
          <w:spacing w:val="1"/>
        </w:rPr>
        <w:t> </w:t>
      </w:r>
      <w:r>
        <w:rPr/>
        <w:t>the sum</w:t>
      </w:r>
      <w:r>
        <w:rPr>
          <w:spacing w:val="1"/>
        </w:rPr>
        <w:t> </w:t>
      </w:r>
      <w:r>
        <w:rPr/>
        <w:t>of individual clearances</w:t>
      </w:r>
      <w:r>
        <w:rPr>
          <w:spacing w:val="60"/>
        </w:rPr>
        <w:t> </w:t>
      </w:r>
      <w:r>
        <w:rPr/>
        <w:t>of the drug by</w:t>
      </w:r>
      <w:r>
        <w:rPr>
          <w:spacing w:val="1"/>
        </w:rPr>
        <w:t> </w:t>
      </w:r>
      <w:r>
        <w:rPr/>
        <w:t>various organs and tissues. The volume of distribution (Vd)</w:t>
      </w:r>
      <w:r>
        <w:rPr>
          <w:spacing w:val="1"/>
        </w:rPr>
        <w:t> </w:t>
      </w:r>
      <w:r>
        <w:rPr/>
        <w:t>of a drug is inversely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extensively the drug will be distributed from the blood into the tissues organs, and</w:t>
      </w:r>
      <w:r>
        <w:rPr>
          <w:spacing w:val="1"/>
        </w:rPr>
        <w:t> </w:t>
      </w:r>
      <w:r>
        <w:rPr/>
        <w:t>binding sites in the body. The volume of distribution can be calculated by various ways</w:t>
      </w:r>
      <w:r>
        <w:rPr>
          <w:spacing w:val="1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the pharmacokinetic profile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(Gibaldi and Perrier, 1975b)</w:t>
      </w:r>
    </w:p>
    <w:p>
      <w:pPr>
        <w:pStyle w:val="BodyText"/>
        <w:spacing w:line="480" w:lineRule="auto" w:before="200"/>
        <w:ind w:left="1325" w:right="1419"/>
        <w:jc w:val="both"/>
      </w:pPr>
      <w:r>
        <w:rPr/>
        <w:t>Clinical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pathological condition, drug interaction, product substitution or any other factor, can be</w:t>
      </w:r>
      <w:r>
        <w:rPr>
          <w:spacing w:val="1"/>
        </w:rPr>
        <w:t> </w:t>
      </w:r>
      <w:r>
        <w:rPr/>
        <w:t>appropriately divided into three major groups: those that have definitely caused changes</w:t>
      </w:r>
      <w:r>
        <w:rPr>
          <w:spacing w:val="-57"/>
        </w:rPr>
        <w:t> </w:t>
      </w:r>
      <w:r>
        <w:rPr/>
        <w:t>in clinical response, those which have not been shown to cause clinical changes but are</w:t>
      </w:r>
      <w:r>
        <w:rPr>
          <w:spacing w:val="1"/>
        </w:rPr>
        <w:t> </w:t>
      </w:r>
      <w:r>
        <w:rPr/>
        <w:t>highly</w:t>
      </w:r>
      <w:r>
        <w:rPr>
          <w:spacing w:val="-6"/>
        </w:rPr>
        <w:t> </w:t>
      </w:r>
      <w:r>
        <w:rPr/>
        <w:t>likely</w:t>
      </w:r>
      <w:r>
        <w:rPr>
          <w:spacing w:val="-5"/>
        </w:rPr>
        <w:t> </w:t>
      </w:r>
      <w:r>
        <w:rPr/>
        <w:t>to,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that could bring</w:t>
      </w:r>
      <w:r>
        <w:rPr>
          <w:spacing w:val="-4"/>
        </w:rPr>
        <w:t> </w:t>
      </w:r>
      <w:r>
        <w:rPr/>
        <w:t>about clinical changes in</w:t>
      </w:r>
      <w:r>
        <w:rPr>
          <w:spacing w:val="-1"/>
        </w:rPr>
        <w:t> </w:t>
      </w:r>
      <w:r>
        <w:rPr/>
        <w:t>extreme situations.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3"/>
          <w:numId w:val="11"/>
        </w:numPr>
        <w:tabs>
          <w:tab w:pos="2046" w:val="left" w:leader="none"/>
        </w:tabs>
        <w:spacing w:line="480" w:lineRule="auto" w:before="72" w:after="0"/>
        <w:ind w:left="2045" w:right="1414" w:hanging="488"/>
        <w:jc w:val="both"/>
        <w:rPr>
          <w:sz w:val="24"/>
        </w:rPr>
      </w:pPr>
      <w:r>
        <w:rPr>
          <w:sz w:val="24"/>
        </w:rPr>
        <w:t>Bioavailability changes that have caused altered clinical response: the instances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marked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impaired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bioavailability are due either to product substitution or formulation changes.</w:t>
      </w:r>
      <w:r>
        <w:rPr>
          <w:spacing w:val="1"/>
          <w:sz w:val="24"/>
        </w:rPr>
        <w:t> </w:t>
      </w:r>
      <w:r>
        <w:rPr>
          <w:sz w:val="24"/>
        </w:rPr>
        <w:t>Theses have been described for phenytoin (Eadie </w:t>
      </w:r>
      <w:r>
        <w:rPr>
          <w:i/>
          <w:sz w:val="24"/>
        </w:rPr>
        <w:t>et al., </w:t>
      </w:r>
      <w:r>
        <w:rPr>
          <w:sz w:val="24"/>
        </w:rPr>
        <w:t>1968), indomethacin</w:t>
      </w:r>
      <w:r>
        <w:rPr>
          <w:spacing w:val="1"/>
          <w:sz w:val="24"/>
        </w:rPr>
        <w:t> </w:t>
      </w:r>
      <w:r>
        <w:rPr>
          <w:sz w:val="24"/>
        </w:rPr>
        <w:t>(katz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57"/>
          <w:sz w:val="24"/>
        </w:rPr>
        <w:t> </w:t>
      </w:r>
      <w:r>
        <w:rPr>
          <w:sz w:val="24"/>
        </w:rPr>
        <w:t>1968),</w:t>
      </w:r>
      <w:r>
        <w:rPr>
          <w:spacing w:val="57"/>
          <w:sz w:val="24"/>
        </w:rPr>
        <w:t> </w:t>
      </w:r>
      <w:r>
        <w:rPr>
          <w:sz w:val="24"/>
        </w:rPr>
        <w:t>tolbutamide</w:t>
      </w:r>
      <w:r>
        <w:rPr>
          <w:spacing w:val="57"/>
          <w:sz w:val="24"/>
        </w:rPr>
        <w:t> </w:t>
      </w:r>
      <w:r>
        <w:rPr>
          <w:sz w:val="24"/>
        </w:rPr>
        <w:t>(Carter,</w:t>
      </w:r>
      <w:r>
        <w:rPr>
          <w:spacing w:val="58"/>
          <w:sz w:val="24"/>
        </w:rPr>
        <w:t> </w:t>
      </w:r>
      <w:r>
        <w:rPr>
          <w:sz w:val="24"/>
        </w:rPr>
        <w:t>1963),</w:t>
      </w:r>
      <w:r>
        <w:rPr>
          <w:spacing w:val="59"/>
          <w:sz w:val="24"/>
        </w:rPr>
        <w:t> </w:t>
      </w:r>
      <w:r>
        <w:rPr>
          <w:sz w:val="24"/>
        </w:rPr>
        <w:t>digoxin</w:t>
      </w:r>
      <w:r>
        <w:rPr>
          <w:spacing w:val="58"/>
          <w:sz w:val="24"/>
        </w:rPr>
        <w:t> </w:t>
      </w:r>
      <w:r>
        <w:rPr>
          <w:sz w:val="24"/>
        </w:rPr>
        <w:t>(Lindenbaum</w:t>
      </w:r>
      <w:r>
        <w:rPr>
          <w:spacing w:val="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58"/>
          <w:sz w:val="24"/>
        </w:rPr>
        <w:t> </w:t>
      </w:r>
      <w:r>
        <w:rPr>
          <w:sz w:val="24"/>
        </w:rPr>
        <w:t>1961)</w:t>
      </w:r>
      <w:r>
        <w:rPr>
          <w:spacing w:val="-1"/>
          <w:sz w:val="24"/>
        </w:rPr>
        <w:t> </w:t>
      </w:r>
      <w:r>
        <w:rPr>
          <w:sz w:val="24"/>
        </w:rPr>
        <w:t>and dicoumarol (Lozinski, 1960).</w:t>
      </w:r>
    </w:p>
    <w:p>
      <w:pPr>
        <w:pStyle w:val="ListParagraph"/>
        <w:numPr>
          <w:ilvl w:val="3"/>
          <w:numId w:val="11"/>
        </w:numPr>
        <w:tabs>
          <w:tab w:pos="2046" w:val="left" w:leader="none"/>
        </w:tabs>
        <w:spacing w:line="480" w:lineRule="auto" w:before="200" w:after="0"/>
        <w:ind w:left="2045" w:right="1413" w:hanging="555"/>
        <w:jc w:val="both"/>
        <w:rPr>
          <w:sz w:val="24"/>
        </w:rPr>
      </w:pPr>
      <w:r>
        <w:rPr>
          <w:sz w:val="24"/>
        </w:rPr>
        <w:t>Bioavailability changes which are likely to have clinical effects: if a drug meets</w:t>
      </w:r>
      <w:r>
        <w:rPr>
          <w:spacing w:val="1"/>
          <w:sz w:val="24"/>
        </w:rPr>
        <w:t> </w:t>
      </w:r>
      <w:r>
        <w:rPr>
          <w:sz w:val="24"/>
        </w:rPr>
        <w:t>any of the criteria mentioned (i), it is likely that a change in drug bioavailability</w:t>
      </w:r>
      <w:r>
        <w:rPr>
          <w:spacing w:val="1"/>
          <w:sz w:val="24"/>
        </w:rPr>
        <w:t> </w:t>
      </w:r>
      <w:r>
        <w:rPr>
          <w:sz w:val="24"/>
        </w:rPr>
        <w:t>will have a great clinical effect. They include cardiac glycosides, anticoagulants,</w:t>
      </w:r>
      <w:r>
        <w:rPr>
          <w:spacing w:val="-57"/>
          <w:sz w:val="24"/>
        </w:rPr>
        <w:t> </w:t>
      </w:r>
      <w:r>
        <w:rPr>
          <w:sz w:val="24"/>
        </w:rPr>
        <w:t>antihypertensive</w:t>
      </w:r>
      <w:r>
        <w:rPr>
          <w:spacing w:val="1"/>
          <w:sz w:val="24"/>
        </w:rPr>
        <w:t> </w:t>
      </w:r>
      <w:r>
        <w:rPr>
          <w:sz w:val="24"/>
        </w:rPr>
        <w:t>agents,</w:t>
      </w:r>
      <w:r>
        <w:rPr>
          <w:spacing w:val="1"/>
          <w:sz w:val="24"/>
        </w:rPr>
        <w:t> </w:t>
      </w:r>
      <w:r>
        <w:rPr>
          <w:sz w:val="24"/>
        </w:rPr>
        <w:t>anticonvulsants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inorganic</w:t>
      </w:r>
      <w:r>
        <w:rPr>
          <w:spacing w:val="1"/>
          <w:sz w:val="24"/>
        </w:rPr>
        <w:t> </w:t>
      </w:r>
      <w:r>
        <w:rPr>
          <w:sz w:val="24"/>
        </w:rPr>
        <w:t>ions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lithium</w:t>
      </w:r>
      <w:r>
        <w:rPr>
          <w:spacing w:val="1"/>
          <w:sz w:val="24"/>
        </w:rPr>
        <w:t> </w:t>
      </w:r>
      <w:r>
        <w:rPr>
          <w:sz w:val="24"/>
        </w:rPr>
        <w:t>(Santos, 1986). However in many cases, the level of these compounds in the</w:t>
      </w:r>
      <w:r>
        <w:rPr>
          <w:spacing w:val="1"/>
          <w:sz w:val="24"/>
        </w:rPr>
        <w:t> </w:t>
      </w:r>
      <w:r>
        <w:rPr>
          <w:sz w:val="24"/>
        </w:rPr>
        <w:t>body greatly exceeds the minimum required for activity and small changes in</w:t>
      </w:r>
      <w:r>
        <w:rPr>
          <w:spacing w:val="1"/>
          <w:sz w:val="24"/>
        </w:rPr>
        <w:t> </w:t>
      </w:r>
      <w:r>
        <w:rPr>
          <w:sz w:val="24"/>
        </w:rPr>
        <w:t>bioavailability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unlikely</w:t>
      </w:r>
      <w:r>
        <w:rPr>
          <w:spacing w:val="-5"/>
          <w:sz w:val="24"/>
        </w:rPr>
        <w:t> </w:t>
      </w:r>
      <w:r>
        <w:rPr>
          <w:sz w:val="24"/>
        </w:rPr>
        <w:t>to be of clinical significance.</w:t>
      </w:r>
    </w:p>
    <w:p>
      <w:pPr>
        <w:pStyle w:val="ListParagraph"/>
        <w:numPr>
          <w:ilvl w:val="3"/>
          <w:numId w:val="11"/>
        </w:numPr>
        <w:tabs>
          <w:tab w:pos="2046" w:val="left" w:leader="none"/>
        </w:tabs>
        <w:spacing w:line="480" w:lineRule="auto" w:before="200" w:after="0"/>
        <w:ind w:left="2045" w:right="1417" w:hanging="620"/>
        <w:jc w:val="both"/>
        <w:rPr>
          <w:sz w:val="24"/>
        </w:rPr>
      </w:pPr>
      <w:r>
        <w:rPr>
          <w:sz w:val="24"/>
        </w:rPr>
        <w:t>Bioavailability changes</w:t>
      </w:r>
      <w:r>
        <w:rPr>
          <w:spacing w:val="1"/>
          <w:sz w:val="24"/>
        </w:rPr>
        <w:t> </w:t>
      </w:r>
      <w:r>
        <w:rPr>
          <w:sz w:val="24"/>
        </w:rPr>
        <w:t>that may have clinical</w:t>
      </w:r>
      <w:r>
        <w:rPr>
          <w:spacing w:val="1"/>
          <w:sz w:val="24"/>
        </w:rPr>
        <w:t> </w:t>
      </w:r>
      <w:r>
        <w:rPr>
          <w:sz w:val="24"/>
        </w:rPr>
        <w:t>effect:</w:t>
      </w:r>
      <w:r>
        <w:rPr>
          <w:spacing w:val="60"/>
          <w:sz w:val="24"/>
        </w:rPr>
        <w:t> </w:t>
      </w:r>
      <w:r>
        <w:rPr>
          <w:sz w:val="24"/>
        </w:rPr>
        <w:t>a clinical change will</w:t>
      </w:r>
      <w:r>
        <w:rPr>
          <w:spacing w:val="1"/>
          <w:sz w:val="24"/>
        </w:rPr>
        <w:t> </w:t>
      </w:r>
      <w:r>
        <w:rPr>
          <w:sz w:val="24"/>
        </w:rPr>
        <w:t>occur for all drugs provided the change in bioavailability is sufficiently large. A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0"/>
          <w:sz w:val="24"/>
        </w:rPr>
        <w:t> </w:t>
      </w:r>
      <w:r>
        <w:rPr>
          <w:sz w:val="24"/>
        </w:rPr>
        <w:t>like</w:t>
      </w:r>
      <w:r>
        <w:rPr>
          <w:spacing w:val="14"/>
          <w:sz w:val="24"/>
        </w:rPr>
        <w:t> </w:t>
      </w:r>
      <w:r>
        <w:rPr>
          <w:sz w:val="24"/>
        </w:rPr>
        <w:t>aspirin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wide</w:t>
      </w:r>
      <w:r>
        <w:rPr>
          <w:spacing w:val="13"/>
          <w:sz w:val="24"/>
        </w:rPr>
        <w:t> </w:t>
      </w:r>
      <w:r>
        <w:rPr>
          <w:sz w:val="24"/>
        </w:rPr>
        <w:t>therapeutic</w:t>
      </w:r>
      <w:r>
        <w:rPr>
          <w:spacing w:val="12"/>
          <w:sz w:val="24"/>
        </w:rPr>
        <w:t> </w:t>
      </w:r>
      <w:r>
        <w:rPr>
          <w:sz w:val="24"/>
        </w:rPr>
        <w:t>index</w:t>
      </w:r>
      <w:r>
        <w:rPr>
          <w:spacing w:val="15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produce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3"/>
          <w:sz w:val="24"/>
        </w:rPr>
        <w:t> </w:t>
      </w:r>
      <w:r>
        <w:rPr>
          <w:sz w:val="24"/>
        </w:rPr>
        <w:t>effect</w:t>
      </w:r>
      <w:r>
        <w:rPr>
          <w:spacing w:val="13"/>
          <w:sz w:val="24"/>
        </w:rPr>
        <w:t> </w:t>
      </w:r>
      <w:r>
        <w:rPr>
          <w:sz w:val="24"/>
        </w:rPr>
        <w:t>if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is not absorbed from a particular formulation (Morrison and Campbell, 1960).</w:t>
      </w:r>
      <w:r>
        <w:rPr>
          <w:spacing w:val="1"/>
          <w:sz w:val="24"/>
        </w:rPr>
        <w:t> </w:t>
      </w:r>
      <w:r>
        <w:rPr>
          <w:sz w:val="24"/>
        </w:rPr>
        <w:t>This bioavailability change is significant. The clinical effect may be altered by</w:t>
      </w:r>
      <w:r>
        <w:rPr>
          <w:spacing w:val="1"/>
          <w:sz w:val="24"/>
        </w:rPr>
        <w:t> </w:t>
      </w:r>
      <w:r>
        <w:rPr>
          <w:sz w:val="24"/>
        </w:rPr>
        <w:t>changes in</w:t>
      </w:r>
      <w:r>
        <w:rPr>
          <w:spacing w:val="1"/>
          <w:sz w:val="24"/>
        </w:rPr>
        <w:t> </w:t>
      </w:r>
      <w:r>
        <w:rPr>
          <w:sz w:val="24"/>
        </w:rPr>
        <w:t>either the</w:t>
      </w:r>
      <w:r>
        <w:rPr>
          <w:spacing w:val="60"/>
          <w:sz w:val="24"/>
        </w:rPr>
        <w:t> </w:t>
      </w:r>
      <w:r>
        <w:rPr>
          <w:sz w:val="24"/>
        </w:rPr>
        <w:t>rate or extent of drug absorption. Changes in absorption</w:t>
      </w:r>
      <w:r>
        <w:rPr>
          <w:spacing w:val="1"/>
          <w:sz w:val="24"/>
        </w:rPr>
        <w:t> </w:t>
      </w:r>
      <w:r>
        <w:rPr>
          <w:sz w:val="24"/>
        </w:rPr>
        <w:t>rate are more important for drugs with short biological and pharmacological</w:t>
      </w:r>
      <w:r>
        <w:rPr>
          <w:spacing w:val="1"/>
          <w:sz w:val="24"/>
        </w:rPr>
        <w:t> </w:t>
      </w:r>
      <w:r>
        <w:rPr>
          <w:sz w:val="24"/>
        </w:rPr>
        <w:t>duration,</w:t>
      </w:r>
      <w:r>
        <w:rPr>
          <w:spacing w:val="-1"/>
          <w:sz w:val="24"/>
        </w:rPr>
        <w:t> </w:t>
      </w:r>
      <w:r>
        <w:rPr>
          <w:sz w:val="24"/>
        </w:rPr>
        <w:t>but effects tend</w:t>
      </w:r>
      <w:r>
        <w:rPr>
          <w:spacing w:val="1"/>
          <w:sz w:val="24"/>
        </w:rPr>
        <w:t> </w:t>
      </w:r>
      <w:r>
        <w:rPr>
          <w:sz w:val="24"/>
        </w:rPr>
        <w:t>to be attenuated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repeated dosing.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1"/>
          <w:numId w:val="12"/>
        </w:numPr>
        <w:tabs>
          <w:tab w:pos="1686" w:val="left" w:leader="none"/>
        </w:tabs>
        <w:spacing w:line="240" w:lineRule="auto" w:before="74" w:after="0"/>
        <w:ind w:left="1685" w:right="0" w:hanging="361"/>
        <w:jc w:val="left"/>
        <w:rPr>
          <w:sz w:val="24"/>
        </w:rPr>
      </w:pPr>
      <w:r>
        <w:rPr>
          <w:sz w:val="24"/>
        </w:rPr>
        <w:t>.1</w:t>
      </w:r>
      <w:r>
        <w:rPr>
          <w:spacing w:val="59"/>
          <w:sz w:val="24"/>
        </w:rPr>
        <w:t> </w:t>
      </w:r>
      <w:r>
        <w:rPr>
          <w:sz w:val="24"/>
        </w:rPr>
        <w:t>Pharmacokinetics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paracetamol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3"/>
        </w:numPr>
        <w:tabs>
          <w:tab w:pos="2046" w:val="left" w:leader="none"/>
        </w:tabs>
        <w:spacing w:line="240" w:lineRule="auto" w:before="177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Absorbtion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paracetamol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325" w:right="1412" w:firstLine="62"/>
        <w:jc w:val="both"/>
      </w:pPr>
      <w:r>
        <w:rPr/>
        <w:t>It is rapidly and almost completely absorbed from the gastro-intestinal tract after oral</w:t>
      </w:r>
      <w:r>
        <w:rPr>
          <w:spacing w:val="1"/>
        </w:rPr>
        <w:t> </w:t>
      </w:r>
      <w:r>
        <w:rPr/>
        <w:t>administration. It is distributed relatively uniformly throughout most body fluids and</w:t>
      </w:r>
      <w:r>
        <w:rPr>
          <w:spacing w:val="1"/>
        </w:rPr>
        <w:t> </w:t>
      </w:r>
      <w:r>
        <w:rPr/>
        <w:t>exhibits variable protein binding. Its concentration in the plasma reaches peak in about</w:t>
      </w:r>
      <w:r>
        <w:rPr>
          <w:spacing w:val="1"/>
        </w:rPr>
        <w:t> </w:t>
      </w:r>
      <w:r>
        <w:rPr/>
        <w:t>thirty minutes to one hour and the therapeutic half-life is approximately three hours</w:t>
      </w:r>
      <w:r>
        <w:rPr>
          <w:spacing w:val="1"/>
        </w:rPr>
        <w:t> </w:t>
      </w:r>
      <w:r>
        <w:rPr/>
        <w:t>(Flower </w:t>
      </w:r>
      <w:r>
        <w:rPr>
          <w:i/>
        </w:rPr>
        <w:t>et al</w:t>
      </w:r>
      <w:r>
        <w:rPr/>
        <w:t>., 1985). It is absorbed from the stomach and intestine (Jaffe </w:t>
      </w:r>
      <w:r>
        <w:rPr>
          <w:i/>
        </w:rPr>
        <w:t>et al</w:t>
      </w:r>
      <w:r>
        <w:rPr/>
        <w:t>., 1971).</w:t>
      </w:r>
      <w:r>
        <w:rPr>
          <w:spacing w:val="1"/>
        </w:rPr>
        <w:t> </w:t>
      </w:r>
      <w:r>
        <w:rPr/>
        <w:t>Excretion is almost exclusively renal, in the form of conjugated metabolites (Mitchell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1974).</w:t>
      </w:r>
    </w:p>
    <w:p>
      <w:pPr>
        <w:pStyle w:val="BodyText"/>
        <w:spacing w:line="480" w:lineRule="auto" w:before="202"/>
        <w:ind w:left="1325" w:right="1416"/>
        <w:jc w:val="both"/>
      </w:pPr>
      <w:r>
        <w:rPr/>
        <w:t>It has been generally recognised that administration of a drug before or after a meal may</w:t>
      </w:r>
      <w:r>
        <w:rPr>
          <w:spacing w:val="-57"/>
        </w:rPr>
        <w:t> </w:t>
      </w:r>
      <w:r>
        <w:rPr/>
        <w:t>alter the absorption. Meals have been reported to retard the absorption (Jaffe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1971).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pattern of an orally administered paracetamol. A high fat diet or protein content before</w:t>
      </w:r>
      <w:r>
        <w:rPr>
          <w:spacing w:val="1"/>
        </w:rPr>
        <w:t> </w:t>
      </w:r>
      <w:r>
        <w:rPr/>
        <w:t>drug administration did not delay the absorption of paracetamol significantly; but a high</w:t>
      </w:r>
      <w:r>
        <w:rPr>
          <w:spacing w:val="-57"/>
        </w:rPr>
        <w:t> </w:t>
      </w:r>
      <w:r>
        <w:rPr/>
        <w:t>carbohydrate meal with large amount of pectin reduced the absorption by 60-76% in the</w:t>
      </w:r>
      <w:r>
        <w:rPr>
          <w:spacing w:val="-57"/>
        </w:rPr>
        <w:t> </w:t>
      </w:r>
      <w:r>
        <w:rPr/>
        <w:t>first</w:t>
      </w:r>
      <w:r>
        <w:rPr>
          <w:spacing w:val="-1"/>
        </w:rPr>
        <w:t> </w:t>
      </w:r>
      <w:r>
        <w:rPr/>
        <w:t>one and half hrs compared</w:t>
      </w:r>
      <w:r>
        <w:rPr>
          <w:spacing w:val="-1"/>
        </w:rPr>
        <w:t> </w:t>
      </w:r>
      <w:r>
        <w:rPr/>
        <w:t>with fasting</w:t>
      </w:r>
      <w:r>
        <w:rPr>
          <w:spacing w:val="-3"/>
        </w:rPr>
        <w:t> </w:t>
      </w:r>
      <w:r>
        <w:rPr/>
        <w:t>state</w:t>
      </w:r>
      <w:r>
        <w:rPr>
          <w:spacing w:val="1"/>
        </w:rPr>
        <w:t> </w:t>
      </w:r>
      <w:r>
        <w:rPr/>
        <w:t>(Jaffe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1971).</w:t>
      </w:r>
    </w:p>
    <w:p>
      <w:pPr>
        <w:pStyle w:val="BodyText"/>
        <w:spacing w:line="480" w:lineRule="auto" w:before="201"/>
        <w:ind w:left="1325" w:right="1418"/>
        <w:jc w:val="both"/>
      </w:pPr>
      <w:r>
        <w:rPr/>
        <w:t>Chiou (1975) reported that food could significantly reduce the absorption rate and peak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bioavailability.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3"/>
        </w:numPr>
        <w:tabs>
          <w:tab w:pos="2046" w:val="left" w:leader="none"/>
        </w:tabs>
        <w:spacing w:line="240" w:lineRule="auto" w:before="153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elimination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paracetamol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spacing w:line="480" w:lineRule="auto"/>
        <w:ind w:left="1325" w:right="1414" w:firstLine="62"/>
        <w:jc w:val="both"/>
      </w:pPr>
      <w:r>
        <w:rPr/>
        <w:t>It is relatively uniformly distributed throughout most body fluids (Flower </w:t>
      </w:r>
      <w:r>
        <w:rPr>
          <w:i/>
        </w:rPr>
        <w:t>et al</w:t>
      </w:r>
      <w:r>
        <w:rPr/>
        <w:t>., 1985).</w:t>
      </w:r>
      <w:r>
        <w:rPr>
          <w:spacing w:val="1"/>
        </w:rPr>
        <w:t> </w:t>
      </w:r>
      <w:r>
        <w:rPr/>
        <w:t>Elimination of paracetamol is largely found as glucoronide and sulphate conjugates</w:t>
      </w:r>
      <w:r>
        <w:rPr>
          <w:spacing w:val="1"/>
        </w:rPr>
        <w:t> </w:t>
      </w:r>
      <w:r>
        <w:rPr/>
        <w:t>while less</w:t>
      </w:r>
      <w:r>
        <w:rPr>
          <w:spacing w:val="2"/>
        </w:rPr>
        <w:t> </w:t>
      </w:r>
      <w:r>
        <w:rPr/>
        <w:t>than</w:t>
      </w:r>
      <w:r>
        <w:rPr>
          <w:spacing w:val="3"/>
        </w:rPr>
        <w:t> </w:t>
      </w:r>
      <w:r>
        <w:rPr/>
        <w:t>50% is</w:t>
      </w:r>
      <w:r>
        <w:rPr>
          <w:spacing w:val="5"/>
        </w:rPr>
        <w:t> </w:t>
      </w:r>
      <w:r>
        <w:rPr/>
        <w:t>excreted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urine</w:t>
      </w:r>
      <w:r>
        <w:rPr>
          <w:spacing w:val="3"/>
        </w:rPr>
        <w:t> </w:t>
      </w:r>
      <w:r>
        <w:rPr/>
        <w:t>(Mitchell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1974).</w:t>
      </w:r>
      <w:r>
        <w:rPr>
          <w:spacing w:val="2"/>
        </w:rPr>
        <w:t> </w:t>
      </w:r>
      <w:r>
        <w:rPr/>
        <w:t>Paracetamol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urine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7"/>
        <w:jc w:val="both"/>
      </w:pPr>
      <w:r>
        <w:rPr/>
        <w:t>comes primary as acetaminophen glucoronide and is the largest fraction in humans;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glucoronidation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(Miller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Fischer,</w:t>
      </w:r>
      <w:r>
        <w:rPr>
          <w:spacing w:val="-1"/>
        </w:rPr>
        <w:t> </w:t>
      </w:r>
      <w:r>
        <w:rPr/>
        <w:t>1974).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3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Metabolism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paracetamol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325" w:right="1417" w:firstLine="59"/>
        <w:jc w:val="both"/>
      </w:pPr>
      <w:r>
        <w:rPr/>
        <w:t>Paracetamol is </w:t>
      </w:r>
      <w:hyperlink r:id="rId48">
        <w:r>
          <w:rPr/>
          <w:t>metabolised</w:t>
        </w:r>
      </w:hyperlink>
      <w:r>
        <w:rPr/>
        <w:t> primarily in the </w:t>
      </w:r>
      <w:hyperlink r:id="rId49">
        <w:r>
          <w:rPr/>
          <w:t>liver,</w:t>
        </w:r>
      </w:hyperlink>
      <w:r>
        <w:rPr/>
        <w:t> into non-toxic products via three</w:t>
      </w:r>
      <w:r>
        <w:rPr>
          <w:spacing w:val="1"/>
        </w:rPr>
        <w:t> </w:t>
      </w:r>
      <w:hyperlink r:id="rId50">
        <w:r>
          <w:rPr/>
          <w:t>metabolic</w:t>
        </w:r>
        <w:r>
          <w:rPr>
            <w:spacing w:val="-2"/>
          </w:rPr>
          <w:t> </w:t>
        </w:r>
        <w:r>
          <w:rPr/>
          <w:t>pathways</w:t>
        </w:r>
        <w:r>
          <w:rPr>
            <w:spacing w:val="1"/>
          </w:rPr>
          <w:t> </w:t>
        </w:r>
      </w:hyperlink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6"/>
      </w:pPr>
    </w:p>
    <w:p>
      <w:pPr>
        <w:pStyle w:val="ListParagraph"/>
        <w:numPr>
          <w:ilvl w:val="4"/>
          <w:numId w:val="13"/>
        </w:numPr>
        <w:tabs>
          <w:tab w:pos="2046" w:val="left" w:leader="none"/>
        </w:tabs>
        <w:spacing w:line="477" w:lineRule="auto" w:before="0" w:after="0"/>
        <w:ind w:left="2045" w:right="1418" w:hanging="488"/>
        <w:jc w:val="both"/>
        <w:rPr>
          <w:sz w:val="24"/>
        </w:rPr>
      </w:pPr>
      <w:hyperlink r:id="rId51">
        <w:r>
          <w:rPr>
            <w:sz w:val="24"/>
          </w:rPr>
          <w:t>Glucuronidation</w:t>
        </w:r>
      </w:hyperlink>
      <w:r>
        <w:rPr>
          <w:sz w:val="24"/>
        </w:rPr>
        <w:t>: this accounts for about 40% to two-thirds of the metabolism of</w:t>
      </w:r>
      <w:r>
        <w:rPr>
          <w:spacing w:val="1"/>
          <w:sz w:val="24"/>
        </w:rPr>
        <w:t> </w:t>
      </w:r>
      <w:r>
        <w:rPr>
          <w:sz w:val="24"/>
        </w:rPr>
        <w:t>paracetamol.</w:t>
      </w:r>
    </w:p>
    <w:p>
      <w:pPr>
        <w:pStyle w:val="ListParagraph"/>
        <w:numPr>
          <w:ilvl w:val="4"/>
          <w:numId w:val="13"/>
        </w:numPr>
        <w:tabs>
          <w:tab w:pos="2046" w:val="left" w:leader="none"/>
        </w:tabs>
        <w:spacing w:line="480" w:lineRule="auto" w:before="3" w:after="0"/>
        <w:ind w:left="2045" w:right="1413" w:hanging="555"/>
        <w:jc w:val="both"/>
        <w:rPr>
          <w:sz w:val="24"/>
        </w:rPr>
      </w:pPr>
      <w:r>
        <w:rPr>
          <w:sz w:val="24"/>
        </w:rPr>
        <w:t>Sulfate conjugation: this</w:t>
      </w:r>
      <w:r>
        <w:rPr>
          <w:spacing w:val="1"/>
          <w:sz w:val="24"/>
        </w:rPr>
        <w:t> </w:t>
      </w:r>
      <w:r>
        <w:rPr>
          <w:sz w:val="24"/>
        </w:rPr>
        <w:t>may account for about 20–40% of the metabolism of</w:t>
      </w:r>
      <w:r>
        <w:rPr>
          <w:spacing w:val="1"/>
          <w:sz w:val="24"/>
        </w:rPr>
        <w:t> </w:t>
      </w:r>
      <w:r>
        <w:rPr>
          <w:sz w:val="24"/>
        </w:rPr>
        <w:t>paracetamol (Hendrickson </w:t>
      </w:r>
      <w:r>
        <w:rPr>
          <w:i/>
          <w:sz w:val="24"/>
        </w:rPr>
        <w:t>et al., </w:t>
      </w:r>
      <w:r>
        <w:rPr>
          <w:sz w:val="24"/>
        </w:rPr>
        <w:t>2006)</w:t>
      </w:r>
    </w:p>
    <w:p>
      <w:pPr>
        <w:pStyle w:val="ListParagraph"/>
        <w:numPr>
          <w:ilvl w:val="4"/>
          <w:numId w:val="13"/>
        </w:numPr>
        <w:tabs>
          <w:tab w:pos="2046" w:val="left" w:leader="none"/>
        </w:tabs>
        <w:spacing w:line="480" w:lineRule="auto" w:before="0" w:after="0"/>
        <w:ind w:left="2045" w:right="1410" w:hanging="620"/>
        <w:jc w:val="both"/>
        <w:rPr>
          <w:sz w:val="24"/>
        </w:rPr>
      </w:pPr>
      <w:r>
        <w:rPr>
          <w:sz w:val="24"/>
        </w:rPr>
        <w:t>N-hydroxylation and</w:t>
      </w:r>
      <w:r>
        <w:rPr>
          <w:spacing w:val="1"/>
          <w:sz w:val="24"/>
        </w:rPr>
        <w:t> </w:t>
      </w:r>
      <w:r>
        <w:rPr>
          <w:sz w:val="24"/>
        </w:rPr>
        <w:t>rearrangement, then GSH</w:t>
      </w:r>
      <w:r>
        <w:rPr>
          <w:spacing w:val="60"/>
          <w:sz w:val="24"/>
        </w:rPr>
        <w:t> </w:t>
      </w:r>
      <w:r>
        <w:rPr>
          <w:sz w:val="24"/>
        </w:rPr>
        <w:t>conjugation: this accounts for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15%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  <w:r>
        <w:rPr>
          <w:spacing w:val="1"/>
          <w:sz w:val="24"/>
        </w:rPr>
        <w:t> </w:t>
      </w:r>
      <w:r>
        <w:rPr>
          <w:sz w:val="24"/>
        </w:rPr>
        <w:t>metabolism.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hepatic</w:t>
      </w:r>
      <w:r>
        <w:rPr>
          <w:spacing w:val="1"/>
          <w:sz w:val="24"/>
        </w:rPr>
        <w:t> </w:t>
      </w:r>
      <w:hyperlink r:id="rId52">
        <w:r>
          <w:rPr>
            <w:sz w:val="24"/>
          </w:rPr>
          <w:t>cytochrome</w:t>
        </w:r>
        <w:r>
          <w:rPr>
            <w:spacing w:val="60"/>
            <w:sz w:val="24"/>
          </w:rPr>
          <w:t> </w:t>
        </w:r>
        <w:r>
          <w:rPr>
            <w:sz w:val="24"/>
          </w:rPr>
          <w:t>P450</w:t>
        </w:r>
      </w:hyperlink>
      <w:r>
        <w:rPr>
          <w:spacing w:val="1"/>
          <w:sz w:val="24"/>
        </w:rPr>
        <w:t> </w:t>
      </w:r>
      <w:r>
        <w:rPr>
          <w:sz w:val="24"/>
        </w:rPr>
        <w:t>enzyme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metabolizes</w:t>
      </w:r>
      <w:r>
        <w:rPr>
          <w:spacing w:val="1"/>
          <w:sz w:val="24"/>
        </w:rPr>
        <w:t> </w:t>
      </w:r>
      <w:r>
        <w:rPr>
          <w:sz w:val="24"/>
        </w:rPr>
        <w:t>paracetamol,</w:t>
      </w:r>
      <w:r>
        <w:rPr>
          <w:spacing w:val="1"/>
          <w:sz w:val="24"/>
        </w:rPr>
        <w:t> </w:t>
      </w:r>
      <w:r>
        <w:rPr>
          <w:sz w:val="24"/>
        </w:rPr>
        <w:t>forming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minor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alkylating metabolite known as </w:t>
      </w:r>
      <w:hyperlink r:id="rId53">
        <w:r>
          <w:rPr>
            <w:sz w:val="24"/>
          </w:rPr>
          <w:t>NAPQI</w:t>
        </w:r>
      </w:hyperlink>
      <w:r>
        <w:rPr>
          <w:sz w:val="24"/>
        </w:rPr>
        <w:t> (N-acetyl-p-benzo-quinone imine) or</w:t>
      </w:r>
      <w:r>
        <w:rPr>
          <w:spacing w:val="1"/>
          <w:sz w:val="24"/>
        </w:rPr>
        <w:t> </w:t>
      </w:r>
      <w:r>
        <w:rPr>
          <w:sz w:val="24"/>
        </w:rPr>
        <w:t>N-acetylimidoquinone</w:t>
      </w:r>
      <w:r>
        <w:rPr>
          <w:spacing w:val="1"/>
          <w:sz w:val="24"/>
        </w:rPr>
        <w:t> </w:t>
      </w:r>
      <w:r>
        <w:rPr>
          <w:sz w:val="24"/>
        </w:rPr>
        <w:t>(Hendrickson </w:t>
      </w:r>
      <w:r>
        <w:rPr>
          <w:i/>
          <w:sz w:val="24"/>
        </w:rPr>
        <w:t>et al., </w:t>
      </w:r>
      <w:r>
        <w:rPr>
          <w:sz w:val="24"/>
        </w:rPr>
        <w:t>2006). This by-product irreversibly</w:t>
      </w:r>
      <w:r>
        <w:rPr>
          <w:spacing w:val="1"/>
          <w:sz w:val="24"/>
        </w:rPr>
        <w:t> </w:t>
      </w:r>
      <w:r>
        <w:rPr>
          <w:sz w:val="24"/>
        </w:rPr>
        <w:t>conjugates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hyperlink r:id="rId54">
        <w:r>
          <w:rPr>
            <w:sz w:val="24"/>
          </w:rPr>
          <w:t>sulfhydryl</w:t>
        </w:r>
        <w:r>
          <w:rPr>
            <w:spacing w:val="2"/>
            <w:sz w:val="24"/>
          </w:rPr>
          <w:t> </w:t>
        </w:r>
        <w:r>
          <w:rPr>
            <w:sz w:val="24"/>
          </w:rPr>
          <w:t>groups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of</w:t>
      </w:r>
      <w:r>
        <w:rPr>
          <w:spacing w:val="1"/>
          <w:sz w:val="24"/>
        </w:rPr>
        <w:t> </w:t>
      </w:r>
      <w:hyperlink r:id="rId55">
        <w:r>
          <w:rPr>
            <w:sz w:val="24"/>
          </w:rPr>
          <w:t>glutathione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(Borne, 1995).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325" w:right="1412"/>
        <w:jc w:val="both"/>
      </w:pPr>
      <w:r>
        <w:rPr/>
        <w:t>The pathways yield final products that are inactive, non-toxic, thus eventually excreted</w:t>
      </w:r>
      <w:r>
        <w:rPr>
          <w:spacing w:val="1"/>
        </w:rPr>
        <w:t> </w:t>
      </w:r>
      <w:r>
        <w:rPr/>
        <w:t>by the kidneys. The third pathway however, gives a toxic intermediate product NAPQI</w:t>
      </w:r>
      <w:r>
        <w:rPr>
          <w:spacing w:val="1"/>
        </w:rPr>
        <w:t> </w:t>
      </w:r>
      <w:r>
        <w:rPr/>
        <w:t>thus is primarily responsible for the </w:t>
      </w:r>
      <w:hyperlink r:id="rId56">
        <w:r>
          <w:rPr/>
          <w:t>toxic effects</w:t>
        </w:r>
      </w:hyperlink>
      <w:r>
        <w:rPr/>
        <w:t> of paracetamol and constitutes an</w:t>
      </w:r>
      <w:r>
        <w:rPr>
          <w:spacing w:val="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hyperlink r:id="rId57">
        <w:r>
          <w:rPr/>
          <w:t>toxication</w:t>
        </w:r>
      </w:hyperlink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ind w:left="1325"/>
        <w:rPr>
          <w:sz w:val="20"/>
        </w:rPr>
      </w:pPr>
      <w:r>
        <w:rPr>
          <w:sz w:val="20"/>
        </w:rPr>
        <w:drawing>
          <wp:inline distT="0" distB="0" distL="0" distR="0">
            <wp:extent cx="5729934" cy="702564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34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2765" w:val="left" w:leader="none"/>
        </w:tabs>
        <w:spacing w:before="90"/>
        <w:ind w:left="1325"/>
      </w:pPr>
      <w:r>
        <w:rPr/>
        <w:t>Figure</w:t>
      </w:r>
      <w:r>
        <w:rPr>
          <w:spacing w:val="-3"/>
        </w:rPr>
        <w:t> </w:t>
      </w:r>
      <w:r>
        <w:rPr/>
        <w:t>2.4</w:t>
        <w:tab/>
        <w:t>Chemical pathway</w:t>
      </w:r>
      <w:r>
        <w:rPr>
          <w:spacing w:val="-6"/>
        </w:rPr>
        <w:t> </w:t>
      </w:r>
      <w:r>
        <w:rPr/>
        <w:t>of metabolism and excretion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paracetamol.</w:t>
      </w:r>
    </w:p>
    <w:p>
      <w:pPr>
        <w:spacing w:after="0"/>
        <w:sectPr>
          <w:pgSz w:w="11910" w:h="16840"/>
          <w:pgMar w:header="0" w:footer="1007" w:top="1400" w:bottom="1200" w:left="660" w:right="0"/>
        </w:sectPr>
      </w:pPr>
    </w:p>
    <w:p>
      <w:pPr>
        <w:pStyle w:val="BodyText"/>
        <w:tabs>
          <w:tab w:pos="2045" w:val="left" w:leader="none"/>
        </w:tabs>
        <w:spacing w:before="74"/>
        <w:ind w:left="1325"/>
      </w:pPr>
      <w:r>
        <w:rPr/>
        <w:t>2.2.2</w:t>
        <w:tab/>
        <w:t>Pharmacodynamics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6" w:firstLine="59"/>
        <w:jc w:val="both"/>
      </w:pPr>
      <w:r>
        <w:rPr/>
        <w:t>The</w:t>
      </w:r>
      <w:r>
        <w:rPr>
          <w:spacing w:val="1"/>
        </w:rPr>
        <w:t> </w:t>
      </w:r>
      <w:r>
        <w:rPr/>
        <w:t>antipyretic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prostaglandin synthetase inhibition. This may also play a role in the analgesic effect</w:t>
      </w:r>
      <w:r>
        <w:rPr>
          <w:spacing w:val="1"/>
        </w:rPr>
        <w:t> </w:t>
      </w:r>
      <w:r>
        <w:rPr/>
        <w:t>though the precise mechanism remains unclear. Paracetamol does not have an anti-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NSAIDs,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prostaglandin</w:t>
      </w:r>
      <w:r>
        <w:rPr>
          <w:spacing w:val="1"/>
        </w:rPr>
        <w:t> </w:t>
      </w:r>
      <w:r>
        <w:rPr/>
        <w:t>synthetase</w:t>
      </w:r>
      <w:r>
        <w:rPr>
          <w:spacing w:val="1"/>
        </w:rPr>
        <w:t> </w:t>
      </w:r>
      <w:r>
        <w:rPr/>
        <w:t>(Ottani </w:t>
      </w:r>
      <w:r>
        <w:rPr>
          <w:i/>
        </w:rPr>
        <w:t>et al</w:t>
      </w:r>
      <w:r>
        <w:rPr/>
        <w:t>., 2006). This lack of peripheral prostaglandin inhibition confers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prostaglandins within the gastrointestinal tract. Therefore, it is suitable for patients with</w:t>
      </w:r>
      <w:r>
        <w:rPr>
          <w:spacing w:val="1"/>
        </w:rPr>
        <w:t> </w:t>
      </w:r>
      <w:r>
        <w:rPr/>
        <w:t>a history of liver disease or on concomitant medication where peripheral prostaglandin</w:t>
      </w:r>
      <w:r>
        <w:rPr>
          <w:spacing w:val="1"/>
        </w:rPr>
        <w:t> </w:t>
      </w:r>
      <w:r>
        <w:rPr/>
        <w:t>inhibition would not be desired (such as those with a history of GI bleeding or the</w:t>
      </w:r>
      <w:r>
        <w:rPr>
          <w:spacing w:val="1"/>
        </w:rPr>
        <w:t> </w:t>
      </w:r>
      <w:r>
        <w:rPr/>
        <w:t>elderly)</w:t>
      </w:r>
      <w:r>
        <w:rPr>
          <w:spacing w:val="-2"/>
        </w:rPr>
        <w:t> </w:t>
      </w:r>
      <w:r>
        <w:rPr/>
        <w:t>(Garcia </w:t>
      </w:r>
      <w:r>
        <w:rPr>
          <w:i/>
        </w:rPr>
        <w:t>et al</w:t>
      </w:r>
      <w:r>
        <w:rPr/>
        <w:t>., 2000).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4554" w:val="left" w:leader="none"/>
        </w:tabs>
        <w:spacing w:line="240" w:lineRule="auto" w:before="0" w:after="0"/>
        <w:ind w:left="4553" w:right="92" w:hanging="4554"/>
        <w:jc w:val="left"/>
      </w:pPr>
      <w:bookmarkStart w:name="_TOC_250021" w:id="21"/>
      <w:r>
        <w:rPr>
          <w:spacing w:val="-1"/>
        </w:rPr>
        <w:t>Panadol</w:t>
      </w:r>
      <w:r>
        <w:rPr/>
        <w:t> Extra</w:t>
      </w:r>
      <w:r>
        <w:rPr>
          <w:vertAlign w:val="superscript"/>
        </w:rPr>
        <w:t>®</w:t>
      </w:r>
      <w:r>
        <w:rPr>
          <w:spacing w:val="-20"/>
          <w:vertAlign w:val="baseline"/>
        </w:rPr>
        <w:t> </w:t>
      </w:r>
      <w:bookmarkEnd w:id="21"/>
      <w:r>
        <w:rPr>
          <w:vertAlign w:val="baseline"/>
        </w:rPr>
        <w:t>Tablets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BodyText"/>
        <w:ind w:left="1325"/>
        <w:jc w:val="both"/>
      </w:pP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20"/>
          <w:vertAlign w:val="baseline"/>
        </w:rPr>
        <w:t> </w:t>
      </w:r>
      <w:r>
        <w:rPr>
          <w:vertAlign w:val="baseline"/>
        </w:rPr>
        <w:t>(Paracetamol/ Caffeine,</w:t>
      </w:r>
      <w:r>
        <w:rPr>
          <w:spacing w:val="-1"/>
          <w:vertAlign w:val="baseline"/>
        </w:rPr>
        <w:t> </w:t>
      </w:r>
      <w:r>
        <w:rPr>
          <w:vertAlign w:val="baseline"/>
        </w:rPr>
        <w:t>500</w:t>
      </w:r>
      <w:r>
        <w:rPr>
          <w:spacing w:val="-1"/>
          <w:vertAlign w:val="baseline"/>
        </w:rPr>
        <w:t> </w:t>
      </w:r>
      <w:r>
        <w:rPr>
          <w:vertAlign w:val="baseline"/>
        </w:rPr>
        <w:t>mg</w:t>
      </w:r>
      <w:r>
        <w:rPr>
          <w:spacing w:val="-3"/>
          <w:vertAlign w:val="baseline"/>
        </w:rPr>
        <w:t> 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30 mg)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</w:pPr>
    </w:p>
    <w:p>
      <w:pPr>
        <w:pStyle w:val="BodyText"/>
        <w:spacing w:line="480" w:lineRule="auto"/>
        <w:ind w:left="1325" w:right="1416"/>
        <w:jc w:val="both"/>
      </w:pPr>
      <w:r>
        <w:rPr/>
        <w:t>This was first introduced into the drug market</w:t>
      </w:r>
      <w:r>
        <w:rPr>
          <w:spacing w:val="60"/>
        </w:rPr>
        <w:t> </w:t>
      </w:r>
      <w:r>
        <w:rPr/>
        <w:t>as this combination over two decades</w:t>
      </w:r>
      <w:r>
        <w:rPr>
          <w:spacing w:val="1"/>
        </w:rPr>
        <w:t> </w:t>
      </w:r>
      <w:r>
        <w:rPr/>
        <w:t>ago.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ingredients,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caffeine,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combination has been widely available for many years. Caffeine is a methylxanthine,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its actual</w:t>
      </w:r>
      <w:r>
        <w:rPr>
          <w:spacing w:val="-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action</w:t>
      </w:r>
      <w:r>
        <w:rPr>
          <w:spacing w:val="-1"/>
        </w:rPr>
        <w:t> </w:t>
      </w:r>
      <w:r>
        <w:rPr/>
        <w:t>unknown</w:t>
      </w:r>
      <w:r>
        <w:rPr>
          <w:spacing w:val="-1"/>
        </w:rPr>
        <w:t> </w:t>
      </w:r>
      <w:r>
        <w:rPr/>
        <w:t>(MHRA</w:t>
      </w:r>
      <w:r>
        <w:rPr>
          <w:spacing w:val="3"/>
        </w:rPr>
        <w:t> </w:t>
      </w:r>
      <w:r>
        <w:rPr/>
        <w:t>UKPAR,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200"/>
        <w:ind w:left="1325" w:right="1416"/>
        <w:jc w:val="both"/>
      </w:pPr>
      <w:r>
        <w:rPr/>
        <w:t>This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antipyretic.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painful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febrile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migraine,</w:t>
      </w:r>
      <w:r>
        <w:rPr>
          <w:spacing w:val="1"/>
        </w:rPr>
        <w:t> </w:t>
      </w:r>
      <w:r>
        <w:rPr/>
        <w:t>backache,</w:t>
      </w:r>
      <w:r>
        <w:rPr>
          <w:spacing w:val="1"/>
        </w:rPr>
        <w:t> </w:t>
      </w:r>
      <w:r>
        <w:rPr/>
        <w:t>toothache,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osteoarthritis,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dysmenorrhoea, and for relieving the fever, aches and pains of colds and flu, and sore</w:t>
      </w:r>
      <w:r>
        <w:rPr>
          <w:spacing w:val="1"/>
        </w:rPr>
        <w:t> </w:t>
      </w:r>
      <w:r>
        <w:rPr/>
        <w:t>throat.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6" w:firstLine="59"/>
        <w:jc w:val="both"/>
      </w:pPr>
      <w:r>
        <w:rPr/>
        <w:t>The maximum recommended dose of the combination product is two tablets every 4-6</w:t>
      </w:r>
      <w:r>
        <w:rPr>
          <w:spacing w:val="1"/>
        </w:rPr>
        <w:t> </w:t>
      </w:r>
      <w:r>
        <w:rPr/>
        <w:t>hours,</w:t>
      </w:r>
      <w:r>
        <w:rPr>
          <w:spacing w:val="-2"/>
        </w:rPr>
        <w:t> </w:t>
      </w:r>
      <w:r>
        <w:rPr/>
        <w:t>up to a maximum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8 tablets in 24hours.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721"/>
        <w:jc w:val="left"/>
        <w:rPr>
          <w:sz w:val="24"/>
        </w:rPr>
      </w:pP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reactivity</w:t>
      </w:r>
      <w:r>
        <w:rPr>
          <w:spacing w:val="-5"/>
          <w:sz w:val="24"/>
        </w:rPr>
        <w:t> </w:t>
      </w:r>
      <w:r>
        <w:rPr>
          <w:sz w:val="24"/>
        </w:rPr>
        <w:t>of caffeine</w:t>
      </w: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1292998</wp:posOffset>
            </wp:positionH>
            <wp:positionV relativeFrom="paragraph">
              <wp:posOffset>238041</wp:posOffset>
            </wp:positionV>
            <wp:extent cx="2075030" cy="156210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0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pStyle w:val="BodyText"/>
        <w:ind w:left="1325"/>
        <w:jc w:val="both"/>
      </w:pPr>
      <w:r>
        <w:rPr/>
        <w:t>Figure</w:t>
      </w:r>
      <w:r>
        <w:rPr>
          <w:spacing w:val="-3"/>
        </w:rPr>
        <w:t> </w:t>
      </w:r>
      <w:r>
        <w:rPr/>
        <w:t>2.5      </w:t>
      </w:r>
      <w:r>
        <w:rPr>
          <w:spacing w:val="33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caffeine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325" w:right="1416"/>
        <w:jc w:val="both"/>
      </w:pPr>
      <w:r>
        <w:rPr/>
        <w:t>The chemical name of caffeine is 1, 3, 7-trimethyl-1, 3-dihydro-1H-purine-2,5-dione, or</w:t>
      </w:r>
      <w:r>
        <w:rPr>
          <w:spacing w:val="-57"/>
        </w:rPr>
        <w:t> </w:t>
      </w:r>
      <w:r>
        <w:rPr/>
        <w:t>1, 3, 7-trimethylxanthine. It has a molecular formula of 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N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, and 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 of 194.2. It is a white or almost white, crystalline powder. It is sparingly soluble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water, freely</w:t>
      </w:r>
      <w:r>
        <w:rPr>
          <w:spacing w:val="-5"/>
          <w:vertAlign w:val="baseline"/>
        </w:rPr>
        <w:t> </w:t>
      </w:r>
      <w:r>
        <w:rPr>
          <w:vertAlign w:val="baseline"/>
        </w:rPr>
        <w:t>soluble in boiling</w:t>
      </w:r>
      <w:r>
        <w:rPr>
          <w:spacing w:val="-2"/>
          <w:vertAlign w:val="baseline"/>
        </w:rPr>
        <w:t> </w:t>
      </w:r>
      <w:r>
        <w:rPr>
          <w:vertAlign w:val="baseline"/>
        </w:rPr>
        <w:t>water,</w:t>
      </w:r>
      <w:r>
        <w:rPr>
          <w:spacing w:val="2"/>
          <w:vertAlign w:val="baseline"/>
        </w:rPr>
        <w:t> </w:t>
      </w:r>
      <w:r>
        <w:rPr>
          <w:vertAlign w:val="baseline"/>
        </w:rPr>
        <w:t>and slightly</w:t>
      </w:r>
      <w:r>
        <w:rPr>
          <w:spacing w:val="-5"/>
          <w:vertAlign w:val="baseline"/>
        </w:rPr>
        <w:t> </w:t>
      </w:r>
      <w:r>
        <w:rPr>
          <w:vertAlign w:val="baseline"/>
        </w:rPr>
        <w:t>soluble in ethanol.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721"/>
        <w:jc w:val="left"/>
        <w:rPr>
          <w:sz w:val="24"/>
        </w:rPr>
      </w:pPr>
      <w:r>
        <w:rPr>
          <w:sz w:val="24"/>
        </w:rPr>
        <w:t>Pharmacokinetics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caffeine in panadol</w:t>
      </w:r>
      <w:r>
        <w:rPr>
          <w:spacing w:val="-1"/>
          <w:sz w:val="24"/>
        </w:rPr>
        <w:t> </w:t>
      </w:r>
      <w:r>
        <w:rPr>
          <w:sz w:val="24"/>
        </w:rPr>
        <w:t>extra</w:t>
      </w:r>
      <w:r>
        <w:rPr>
          <w:sz w:val="24"/>
          <w:vertAlign w:val="superscript"/>
        </w:rPr>
        <w:t>®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tablets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480" w:lineRule="auto"/>
        <w:ind w:left="1325" w:right="1414"/>
        <w:jc w:val="both"/>
      </w:pPr>
      <w:r>
        <w:rPr/>
        <w:t>It is rapidly absorbed from the gastrointestinal tract and is widely distributed throughout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metabolized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demethylation to various xanthine derivatives and is excreted in the urine. The mean</w:t>
      </w:r>
      <w:r>
        <w:rPr>
          <w:spacing w:val="1"/>
        </w:rPr>
        <w:t> </w:t>
      </w:r>
      <w:r>
        <w:rPr/>
        <w:t>plasma</w:t>
      </w:r>
      <w:r>
        <w:rPr>
          <w:spacing w:val="-2"/>
        </w:rPr>
        <w:t> </w:t>
      </w:r>
      <w:r>
        <w:rPr/>
        <w:t>half-life</w:t>
      </w:r>
      <w:r>
        <w:rPr>
          <w:spacing w:val="-1"/>
        </w:rPr>
        <w:t> </w:t>
      </w:r>
      <w:r>
        <w:rPr/>
        <w:t>is about</w:t>
      </w:r>
      <w:r>
        <w:rPr>
          <w:spacing w:val="2"/>
        </w:rPr>
        <w:t> </w:t>
      </w:r>
      <w:r>
        <w:rPr/>
        <w:t>4.9 hours.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74" w:after="0"/>
        <w:ind w:left="2045" w:right="0" w:hanging="721"/>
        <w:jc w:val="left"/>
        <w:rPr>
          <w:sz w:val="24"/>
        </w:rPr>
      </w:pPr>
      <w:r>
        <w:rPr>
          <w:sz w:val="24"/>
        </w:rPr>
        <w:t>Pharmacodynamics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Caffeine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2"/>
        <w:jc w:val="both"/>
      </w:pPr>
      <w:r>
        <w:rPr/>
        <w:t>Caffeine is a methylxanthine with a mild stimulant effect. The specific mechanism 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unclear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adenosine antagonism (adenosine; one of the kinins released in association with pain),</w:t>
      </w:r>
      <w:r>
        <w:rPr>
          <w:spacing w:val="1"/>
        </w:rPr>
        <w:t> </w:t>
      </w:r>
      <w:r>
        <w:rPr/>
        <w:t>inhibition of COX-2 synthesis or by affecting the emotional response to pain (Hinz,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5"/>
        </w:rPr>
        <w:t> </w:t>
      </w:r>
      <w:r>
        <w:rPr/>
        <w:t>2008).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efficacy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combination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superior</w:t>
      </w:r>
      <w:r>
        <w:rPr>
          <w:spacing w:val="24"/>
        </w:rPr>
        <w:t> </w:t>
      </w:r>
      <w:r>
        <w:rPr/>
        <w:t>compared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single</w:t>
      </w:r>
      <w:r>
        <w:rPr>
          <w:spacing w:val="25"/>
        </w:rPr>
        <w:t> </w:t>
      </w:r>
      <w:r>
        <w:rPr/>
        <w:t>actives</w:t>
      </w:r>
      <w:r>
        <w:rPr>
          <w:spacing w:val="-58"/>
        </w:rPr>
        <w:t> </w:t>
      </w:r>
      <w:r>
        <w:rPr/>
        <w:t>and placebo; it confirms that caffeine acts as an analgesic adjuvant which enhances the</w:t>
      </w:r>
      <w:r>
        <w:rPr>
          <w:spacing w:val="1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(MHRA UKPAR, 2010).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107" w:val="left" w:leader="none"/>
          <w:tab w:pos="2108" w:val="left" w:leader="none"/>
        </w:tabs>
        <w:spacing w:line="240" w:lineRule="auto" w:before="1" w:after="0"/>
        <w:ind w:left="2107" w:right="0" w:hanging="783"/>
        <w:jc w:val="left"/>
        <w:rPr>
          <w:sz w:val="24"/>
        </w:rPr>
      </w:pPr>
      <w:r>
        <w:rPr>
          <w:sz w:val="24"/>
        </w:rPr>
        <w:t>Interaction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4"/>
        </w:numPr>
        <w:tabs>
          <w:tab w:pos="2046" w:val="left" w:leader="none"/>
        </w:tabs>
        <w:spacing w:line="480" w:lineRule="auto" w:before="174" w:after="0"/>
        <w:ind w:left="1325" w:right="1412" w:firstLine="0"/>
        <w:jc w:val="both"/>
        <w:rPr>
          <w:sz w:val="24"/>
        </w:rPr>
      </w:pPr>
      <w:r>
        <w:rPr>
          <w:sz w:val="24"/>
        </w:rPr>
        <w:t>Interactions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products: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metoclopramide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domperidone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colestyramine.</w:t>
      </w:r>
      <w:r>
        <w:rPr>
          <w:spacing w:val="1"/>
          <w:sz w:val="24"/>
        </w:rPr>
        <w:t> </w:t>
      </w:r>
      <w:r>
        <w:rPr>
          <w:sz w:val="24"/>
        </w:rPr>
        <w:t>Anticoagulants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warfarin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coumarins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57"/>
          <w:sz w:val="24"/>
        </w:rPr>
        <w:t> </w:t>
      </w:r>
      <w:r>
        <w:rPr>
          <w:sz w:val="24"/>
        </w:rPr>
        <w:t>enhance their effect by increasing risk of bleeding with regular use but occasional doses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 have</w:t>
      </w:r>
      <w:r>
        <w:rPr>
          <w:spacing w:val="-1"/>
          <w:sz w:val="24"/>
        </w:rPr>
        <w:t> </w:t>
      </w:r>
      <w:r>
        <w:rPr>
          <w:sz w:val="24"/>
        </w:rPr>
        <w:t>significant effect (MHRA</w:t>
      </w:r>
      <w:r>
        <w:rPr>
          <w:spacing w:val="1"/>
          <w:sz w:val="24"/>
        </w:rPr>
        <w:t> </w:t>
      </w:r>
      <w:r>
        <w:rPr>
          <w:sz w:val="24"/>
        </w:rPr>
        <w:t>UKPAR 2010).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1" w:after="0"/>
        <w:ind w:left="2045" w:right="0" w:hanging="721"/>
        <w:jc w:val="left"/>
        <w:rPr>
          <w:sz w:val="24"/>
        </w:rPr>
      </w:pPr>
      <w:r>
        <w:rPr>
          <w:sz w:val="24"/>
        </w:rPr>
        <w:t>Pregnancy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Lactation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325" w:right="1416"/>
        <w:jc w:val="both"/>
      </w:pPr>
      <w:r>
        <w:rPr/>
        <w:t>Paracetamol/caffeine combination is not recommended for use during pregnancy 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abortion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 of caffeine. Caffeine in breast milk may potentially have a stimulating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toxicity 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(MHRA</w:t>
      </w:r>
      <w:r>
        <w:rPr>
          <w:spacing w:val="1"/>
        </w:rPr>
        <w:t> </w:t>
      </w:r>
      <w:r>
        <w:rPr/>
        <w:t>UKPAR, 2010).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2"/>
          <w:numId w:val="14"/>
        </w:numPr>
        <w:tabs>
          <w:tab w:pos="2105" w:val="left" w:leader="none"/>
          <w:tab w:pos="2106" w:val="left" w:leader="none"/>
        </w:tabs>
        <w:spacing w:line="240" w:lineRule="auto" w:before="74" w:after="0"/>
        <w:ind w:left="2105" w:right="0" w:hanging="781"/>
        <w:jc w:val="left"/>
        <w:rPr>
          <w:sz w:val="24"/>
        </w:rPr>
      </w:pPr>
      <w:r>
        <w:rPr>
          <w:sz w:val="24"/>
        </w:rPr>
        <w:t>Side</w:t>
      </w:r>
      <w:r>
        <w:rPr>
          <w:spacing w:val="-3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paracetamol/</w:t>
      </w:r>
      <w:r>
        <w:rPr>
          <w:spacing w:val="-1"/>
          <w:sz w:val="24"/>
        </w:rPr>
        <w:t> </w:t>
      </w:r>
      <w:r>
        <w:rPr>
          <w:sz w:val="24"/>
        </w:rPr>
        <w:t>caffeine combination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5"/>
        <w:jc w:val="both"/>
      </w:pP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paracetamol/caffeine</w:t>
      </w:r>
      <w:r>
        <w:rPr>
          <w:spacing w:val="1"/>
        </w:rPr>
        <w:t> </w:t>
      </w:r>
      <w:r>
        <w:rPr/>
        <w:t>dosing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combined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caffeine in diet, the resulting higher dose of caffeine may increase the potential for</w:t>
      </w:r>
      <w:r>
        <w:rPr>
          <w:spacing w:val="1"/>
        </w:rPr>
        <w:t> </w:t>
      </w:r>
      <w:r>
        <w:rPr/>
        <w:t>caffeine-</w:t>
      </w:r>
      <w:r>
        <w:rPr>
          <w:spacing w:val="1"/>
        </w:rPr>
        <w:t> </w:t>
      </w:r>
      <w:r>
        <w:rPr/>
        <w:t>related adverse effects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 insomnia, restlessness,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irritability,</w:t>
      </w:r>
      <w:r>
        <w:rPr>
          <w:spacing w:val="1"/>
        </w:rPr>
        <w:t> </w:t>
      </w:r>
      <w:r>
        <w:rPr/>
        <w:t>headaches,</w:t>
      </w:r>
      <w:r>
        <w:rPr>
          <w:spacing w:val="1"/>
        </w:rPr>
        <w:t> </w:t>
      </w:r>
      <w:r>
        <w:rPr/>
        <w:t>gastrointestinal disturbances and</w:t>
      </w:r>
      <w:r>
        <w:rPr>
          <w:spacing w:val="-2"/>
        </w:rPr>
        <w:t> </w:t>
      </w:r>
      <w:r>
        <w:rPr/>
        <w:t>palpitations (Larson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1" w:after="0"/>
        <w:ind w:left="2045" w:right="0" w:hanging="721"/>
        <w:jc w:val="left"/>
        <w:rPr>
          <w:sz w:val="24"/>
        </w:rPr>
      </w:pPr>
      <w:r>
        <w:rPr>
          <w:sz w:val="24"/>
        </w:rPr>
        <w:t>Toxicity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overdose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panadol</w:t>
      </w:r>
      <w:r>
        <w:rPr>
          <w:spacing w:val="1"/>
          <w:sz w:val="24"/>
        </w:rPr>
        <w:t> </w:t>
      </w:r>
      <w:r>
        <w:rPr>
          <w:sz w:val="24"/>
        </w:rPr>
        <w:t>extra</w:t>
      </w:r>
      <w:r>
        <w:rPr>
          <w:sz w:val="24"/>
          <w:vertAlign w:val="superscript"/>
        </w:rPr>
        <w:t>®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tablets</w:t>
      </w:r>
    </w:p>
    <w:p>
      <w:pPr>
        <w:pStyle w:val="BodyText"/>
        <w:spacing w:before="1"/>
        <w:rPr>
          <w:sz w:val="41"/>
        </w:rPr>
      </w:pPr>
    </w:p>
    <w:p>
      <w:pPr>
        <w:pStyle w:val="BodyText"/>
        <w:spacing w:line="480" w:lineRule="auto"/>
        <w:ind w:left="1325" w:right="1417"/>
        <w:jc w:val="both"/>
      </w:pPr>
      <w:r>
        <w:rPr/>
        <w:t>Symptoms of paracetamol over dosage seen in the first 24 hours are pallor, nausea,</w:t>
      </w:r>
      <w:r>
        <w:rPr>
          <w:spacing w:val="1"/>
        </w:rPr>
        <w:t> </w:t>
      </w:r>
      <w:r>
        <w:rPr/>
        <w:t>vomiting, anorexia and abdominal pain. Liver damage may become apparent 12 to 48</w:t>
      </w:r>
      <w:r>
        <w:rPr>
          <w:spacing w:val="1"/>
        </w:rPr>
        <w:t> </w:t>
      </w:r>
      <w:r>
        <w:rPr/>
        <w:t>hours after ingestion (Larson </w:t>
      </w:r>
      <w:r>
        <w:rPr>
          <w:i/>
        </w:rPr>
        <w:t>et al</w:t>
      </w:r>
      <w:r>
        <w:rPr/>
        <w:t>., 2005). Abnormalities of glucose metabolism and</w:t>
      </w:r>
      <w:r>
        <w:rPr>
          <w:spacing w:val="1"/>
        </w:rPr>
        <w:t> </w:t>
      </w:r>
      <w:r>
        <w:rPr/>
        <w:t>metabolic acidosis may occur. In severe poisoning, hepatic failure may progress to</w:t>
      </w:r>
      <w:r>
        <w:rPr>
          <w:spacing w:val="1"/>
        </w:rPr>
        <w:t> </w:t>
      </w:r>
      <w:r>
        <w:rPr/>
        <w:t>encephalopathy, haemorrhage, hypoglycaemia, cerebral oedema, and death. Acute renal</w:t>
      </w:r>
      <w:r>
        <w:rPr>
          <w:spacing w:val="1"/>
        </w:rPr>
        <w:t> </w:t>
      </w:r>
      <w:r>
        <w:rPr/>
        <w:t>failure with acute tubular necrosis, strongly suggested by loin pain, haematuria and</w:t>
      </w:r>
      <w:r>
        <w:rPr>
          <w:spacing w:val="1"/>
        </w:rPr>
        <w:t> </w:t>
      </w:r>
      <w:r>
        <w:rPr/>
        <w:t>proteinuria,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arrhythmias</w:t>
      </w:r>
      <w:r>
        <w:rPr>
          <w:spacing w:val="-1"/>
        </w:rPr>
        <w:t> </w:t>
      </w:r>
      <w:r>
        <w:rPr/>
        <w:t>and pancreatitis have</w:t>
      </w:r>
      <w:r>
        <w:rPr>
          <w:spacing w:val="-3"/>
        </w:rPr>
        <w:t> </w:t>
      </w:r>
      <w:r>
        <w:rPr/>
        <w:t>been reported (MHRA</w:t>
      </w:r>
      <w:r>
        <w:rPr>
          <w:spacing w:val="-1"/>
        </w:rPr>
        <w:t> </w:t>
      </w:r>
      <w:r>
        <w:rPr/>
        <w:t>UKPAR, 2010).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4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paracetamol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overdose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7"/>
        <w:ind w:left="1325" w:right="1417" w:firstLine="62"/>
        <w:jc w:val="both"/>
      </w:pPr>
      <w:r>
        <w:rPr/>
        <w:t>Immediate treatment is essential in the management of paracetamol overdose. Despite a</w:t>
      </w:r>
      <w:r>
        <w:rPr>
          <w:spacing w:val="-57"/>
        </w:rPr>
        <w:t> </w:t>
      </w:r>
      <w:r>
        <w:rPr/>
        <w:t>lack of significant early symptoms, patients should be referred to hospital urgently for</w:t>
      </w:r>
      <w:r>
        <w:rPr>
          <w:spacing w:val="1"/>
        </w:rPr>
        <w:t> </w:t>
      </w:r>
      <w:r>
        <w:rPr/>
        <w:t>immediate medical attention. Symptoms may be limited to nausea or vomiting and may</w:t>
      </w:r>
      <w:r>
        <w:rPr>
          <w:spacing w:val="1"/>
        </w:rPr>
        <w:t> </w:t>
      </w:r>
      <w:r>
        <w:rPr/>
        <w:t>not reflect the severity of overdose or the risk of organ damage. Treatment is aimed at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hyperlink r:id="rId55">
        <w:r>
          <w:rPr/>
          <w:t>glutathione</w:t>
        </w:r>
      </w:hyperlink>
      <w:r>
        <w:rPr>
          <w:spacing w:val="1"/>
        </w:rPr>
        <w:t> </w:t>
      </w:r>
      <w:r>
        <w:rPr/>
        <w:t>(Ryder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Beckingham,</w:t>
      </w:r>
      <w:r>
        <w:rPr>
          <w:spacing w:val="-1"/>
        </w:rPr>
        <w:t> </w:t>
      </w:r>
      <w:r>
        <w:rPr/>
        <w:t>2001).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5"/>
        <w:jc w:val="both"/>
      </w:pPr>
      <w:r>
        <w:rPr/>
        <w:t>Treatment with activated charcoal should be considered if the overdose has been taken</w:t>
      </w:r>
      <w:r>
        <w:rPr>
          <w:spacing w:val="1"/>
        </w:rPr>
        <w:t> </w:t>
      </w:r>
      <w:r>
        <w:rPr/>
        <w:t>within 1hour. Plasma paracetamol concentration should be measured at 4 hours or later</w:t>
      </w:r>
      <w:r>
        <w:rPr>
          <w:spacing w:val="1"/>
        </w:rPr>
        <w:t> </w:t>
      </w:r>
      <w:r>
        <w:rPr/>
        <w:t>after ingestion (earlier concentrations are unreliable). Treatment with N-acetylcysteine</w:t>
      </w:r>
      <w:r>
        <w:rPr>
          <w:spacing w:val="1"/>
        </w:rPr>
        <w:t> </w:t>
      </w:r>
      <w:r>
        <w:rPr/>
        <w:t>may be used up to 24 hours after ingestion of paracetamol; however, the maximum</w:t>
      </w:r>
      <w:r>
        <w:rPr>
          <w:spacing w:val="1"/>
        </w:rPr>
        <w:t> </w:t>
      </w:r>
      <w:r>
        <w:rPr/>
        <w:t>protective effect is obtained up to 8 hours post-ingestion. The effectiveness of the</w:t>
      </w:r>
      <w:r>
        <w:rPr>
          <w:spacing w:val="1"/>
        </w:rPr>
        <w:t> </w:t>
      </w:r>
      <w:r>
        <w:rPr/>
        <w:t>antidote</w:t>
      </w:r>
      <w:r>
        <w:rPr>
          <w:spacing w:val="1"/>
        </w:rPr>
        <w:t> </w:t>
      </w:r>
      <w:r>
        <w:rPr/>
        <w:t>declines</w:t>
      </w:r>
      <w:r>
        <w:rPr>
          <w:spacing w:val="1"/>
        </w:rPr>
        <w:t> </w:t>
      </w:r>
      <w:r>
        <w:rPr/>
        <w:t>sharply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intravenous N-acetylcysteine, in line with the established dosage schedule.</w:t>
      </w:r>
      <w:r>
        <w:rPr>
          <w:spacing w:val="60"/>
        </w:rPr>
        <w:t> </w:t>
      </w:r>
      <w:r>
        <w:rPr/>
        <w:t>If vomiting</w:t>
      </w:r>
      <w:r>
        <w:rPr>
          <w:spacing w:val="1"/>
        </w:rPr>
        <w:t> </w:t>
      </w:r>
      <w:r>
        <w:rPr/>
        <w:t>is not a problem, oral methionine may be a suitable alternative for remote areas, outside</w:t>
      </w:r>
      <w:r>
        <w:rPr>
          <w:spacing w:val="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(MHRA UKPAR 2010).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4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caffeine overdose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325" w:right="1416" w:firstLine="119"/>
        <w:jc w:val="both"/>
      </w:pPr>
      <w:r>
        <w:rPr/>
        <w:t>Symptoms of caffeine overdose include epigastric pain, vomiting, diuresis, tachycardia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arrhythmia,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CNS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(insomnia,</w:t>
      </w:r>
      <w:r>
        <w:rPr>
          <w:spacing w:val="61"/>
        </w:rPr>
        <w:t> </w:t>
      </w:r>
      <w:r>
        <w:rPr/>
        <w:t>restlessness,</w:t>
      </w:r>
      <w:r>
        <w:rPr>
          <w:spacing w:val="61"/>
        </w:rPr>
        <w:t> </w:t>
      </w:r>
      <w:r>
        <w:rPr/>
        <w:t>excitement,</w:t>
      </w:r>
      <w:r>
        <w:rPr>
          <w:spacing w:val="1"/>
        </w:rPr>
        <w:t> </w:t>
      </w:r>
      <w:r>
        <w:rPr/>
        <w:t>agitation,</w:t>
      </w:r>
      <w:r>
        <w:rPr>
          <w:spacing w:val="1"/>
        </w:rPr>
        <w:t> </w:t>
      </w:r>
      <w:r>
        <w:rPr/>
        <w:t>jitteriness,</w:t>
      </w:r>
      <w:r>
        <w:rPr>
          <w:spacing w:val="1"/>
        </w:rPr>
        <w:t> </w:t>
      </w:r>
      <w:r>
        <w:rPr/>
        <w:t>tremors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convulsions).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clinically</w:t>
      </w:r>
      <w:r>
        <w:rPr>
          <w:spacing w:val="-57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overdose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product,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-57"/>
        </w:rPr>
        <w:t> </w:t>
      </w:r>
      <w:r>
        <w:rPr/>
        <w:t>ingested would be</w:t>
      </w:r>
      <w:r>
        <w:rPr>
          <w:spacing w:val="-2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serious paracetamol-related</w:t>
      </w:r>
      <w:r>
        <w:rPr>
          <w:spacing w:val="-1"/>
        </w:rPr>
        <w:t> </w:t>
      </w:r>
      <w:r>
        <w:rPr/>
        <w:t>liver toxicity.</w:t>
      </w:r>
    </w:p>
    <w:p>
      <w:pPr>
        <w:pStyle w:val="BodyText"/>
        <w:spacing w:line="480" w:lineRule="auto" w:before="200"/>
        <w:ind w:left="1325" w:right="1418"/>
        <w:jc w:val="both"/>
      </w:pPr>
      <w:r>
        <w:rPr/>
        <w:t>Patients should receive general supportive care (e.g hydration and maintenance of vital</w:t>
      </w:r>
      <w:r>
        <w:rPr>
          <w:spacing w:val="1"/>
        </w:rPr>
        <w:t> </w:t>
      </w:r>
      <w:r>
        <w:rPr/>
        <w:t>signs). The administration of activated charcoal may be beneficial when performed</w:t>
      </w:r>
      <w:r>
        <w:rPr>
          <w:spacing w:val="1"/>
        </w:rPr>
        <w:t> </w:t>
      </w:r>
      <w:r>
        <w:rPr/>
        <w:t>within one hour of the overdose, but can be considered for up to four hours after the</w:t>
      </w:r>
      <w:r>
        <w:rPr>
          <w:spacing w:val="1"/>
        </w:rPr>
        <w:t> </w:t>
      </w:r>
      <w:r>
        <w:rPr/>
        <w:t>overdose.</w:t>
      </w:r>
      <w:r>
        <w:rPr>
          <w:spacing w:val="-1"/>
        </w:rPr>
        <w:t> </w:t>
      </w:r>
      <w:r>
        <w:rPr/>
        <w:t>The CNS effects of</w:t>
      </w:r>
      <w:r>
        <w:rPr>
          <w:spacing w:val="-1"/>
        </w:rPr>
        <w:t> </w:t>
      </w:r>
      <w:r>
        <w:rPr/>
        <w:t>overdose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intravenous sedatives.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5"/>
        </w:numPr>
        <w:tabs>
          <w:tab w:pos="4173" w:val="left" w:leader="none"/>
        </w:tabs>
        <w:spacing w:line="240" w:lineRule="auto" w:before="161" w:after="0"/>
        <w:ind w:left="4172" w:right="0" w:hanging="361"/>
        <w:jc w:val="left"/>
      </w:pPr>
      <w:bookmarkStart w:name="_TOC_250020" w:id="22"/>
      <w:r>
        <w:rPr/>
        <w:t>Assay</w:t>
      </w:r>
      <w:r>
        <w:rPr>
          <w:spacing w:val="-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2"/>
      <w:r>
        <w:rPr/>
        <w:t>Paracetamol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325" w:right="142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9"/>
        </w:rPr>
        <w:t> </w:t>
      </w:r>
      <w:r>
        <w:rPr/>
        <w:t>preparations</w:t>
      </w:r>
      <w:r>
        <w:rPr>
          <w:spacing w:val="19"/>
        </w:rPr>
        <w:t> </w:t>
      </w:r>
      <w:r>
        <w:rPr/>
        <w:t>most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which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colorimetric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spectrophometric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2"/>
        <w:jc w:val="both"/>
      </w:pPr>
      <w:r>
        <w:rPr/>
        <w:t>assays.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and medium of analysis. The earliest colorimetric assay of paracetamol in</w:t>
      </w:r>
      <w:r>
        <w:rPr>
          <w:spacing w:val="1"/>
        </w:rPr>
        <w:t> </w:t>
      </w:r>
      <w:r>
        <w:rPr/>
        <w:t>plasma was proposed by Brodie and Axelrod (1949). Paracetamol is hydrolysed by acid</w:t>
      </w:r>
      <w:r>
        <w:rPr>
          <w:spacing w:val="1"/>
        </w:rPr>
        <w:t> </w:t>
      </w:r>
      <w:r>
        <w:rPr/>
        <w:t>to form p –aminophenol then it is diazotized and coupled to alpha-naphthol; the azo dye</w:t>
      </w:r>
      <w:r>
        <w:rPr>
          <w:spacing w:val="1"/>
        </w:rPr>
        <w:t> </w:t>
      </w:r>
      <w:r>
        <w:rPr/>
        <w:t>is measured by a spectrophotometer, however this method is non- specific and time</w:t>
      </w:r>
      <w:r>
        <w:rPr>
          <w:spacing w:val="1"/>
        </w:rPr>
        <w:t> </w:t>
      </w:r>
      <w:r>
        <w:rPr/>
        <w:t>consuming (Wallace </w:t>
      </w:r>
      <w:r>
        <w:rPr>
          <w:i/>
        </w:rPr>
        <w:t>et al</w:t>
      </w:r>
      <w:r>
        <w:rPr/>
        <w:t>,. 1973). Other assay procedures utilize the reaction of p-</w:t>
      </w:r>
      <w:r>
        <w:rPr>
          <w:spacing w:val="1"/>
        </w:rPr>
        <w:t> </w:t>
      </w:r>
      <w:r>
        <w:rPr/>
        <w:t>aminophenol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(NaNO</w:t>
      </w:r>
      <w:r>
        <w:rPr>
          <w:vertAlign w:val="subscript"/>
        </w:rPr>
        <w:t>3</w:t>
      </w:r>
      <w:r>
        <w:rPr>
          <w:vertAlign w:val="baseline"/>
        </w:rPr>
        <w:t>-HCl)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coloured</w:t>
      </w:r>
      <w:r>
        <w:rPr>
          <w:spacing w:val="1"/>
          <w:vertAlign w:val="baseline"/>
        </w:rPr>
        <w:t> </w:t>
      </w:r>
      <w:r>
        <w:rPr>
          <w:vertAlign w:val="baseline"/>
        </w:rPr>
        <w:t>2-nitro-p-</w:t>
      </w:r>
      <w:r>
        <w:rPr>
          <w:spacing w:val="1"/>
          <w:vertAlign w:val="baseline"/>
        </w:rPr>
        <w:t> </w:t>
      </w:r>
      <w:r>
        <w:rPr>
          <w:vertAlign w:val="baseline"/>
        </w:rPr>
        <w:t>aminophenol</w:t>
      </w:r>
      <w:r>
        <w:rPr>
          <w:spacing w:val="19"/>
          <w:vertAlign w:val="baseline"/>
        </w:rPr>
        <w:t> </w:t>
      </w:r>
      <w:r>
        <w:rPr>
          <w:vertAlign w:val="baseline"/>
        </w:rPr>
        <w:t>(Glynn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Kendal,</w:t>
      </w:r>
      <w:r>
        <w:rPr>
          <w:spacing w:val="19"/>
          <w:vertAlign w:val="baseline"/>
        </w:rPr>
        <w:t> </w:t>
      </w:r>
      <w:r>
        <w:rPr>
          <w:vertAlign w:val="baseline"/>
        </w:rPr>
        <w:t>1975;</w:t>
      </w:r>
      <w:r>
        <w:rPr>
          <w:spacing w:val="21"/>
          <w:vertAlign w:val="baseline"/>
        </w:rPr>
        <w:t> </w:t>
      </w:r>
      <w:r>
        <w:rPr>
          <w:vertAlign w:val="baseline"/>
        </w:rPr>
        <w:t>Chambers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Jones,</w:t>
      </w:r>
      <w:r>
        <w:rPr>
          <w:spacing w:val="19"/>
          <w:vertAlign w:val="baseline"/>
        </w:rPr>
        <w:t> </w:t>
      </w:r>
      <w:r>
        <w:rPr>
          <w:vertAlign w:val="baseline"/>
        </w:rPr>
        <w:t>1976)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20"/>
          <w:vertAlign w:val="baseline"/>
        </w:rPr>
        <w:t> </w:t>
      </w:r>
      <w:r>
        <w:rPr>
          <w:vertAlign w:val="baseline"/>
        </w:rPr>
        <w:t>Vanillin</w:t>
      </w:r>
      <w:r>
        <w:rPr>
          <w:spacing w:val="-58"/>
          <w:vertAlign w:val="baseline"/>
        </w:rPr>
        <w:t> </w:t>
      </w:r>
      <w:r>
        <w:rPr>
          <w:vertAlign w:val="baseline"/>
        </w:rPr>
        <w:t>to a stable imine with an absorbance maximum at 395nm (Plankogiannis and Saad,</w:t>
      </w:r>
      <w:r>
        <w:rPr>
          <w:spacing w:val="1"/>
          <w:vertAlign w:val="baseline"/>
        </w:rPr>
        <w:t> </w:t>
      </w:r>
      <w:r>
        <w:rPr>
          <w:vertAlign w:val="baseline"/>
        </w:rPr>
        <w:t>1978). These procedures resulted in good selectivity for paracetamol and found no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interference from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sulphate and</w:t>
      </w:r>
      <w:r>
        <w:rPr>
          <w:spacing w:val="2"/>
          <w:vertAlign w:val="baseline"/>
        </w:rPr>
        <w:t> </w:t>
      </w:r>
      <w:r>
        <w:rPr>
          <w:vertAlign w:val="baseline"/>
        </w:rPr>
        <w:t>glucoronide</w:t>
      </w:r>
      <w:r>
        <w:rPr>
          <w:spacing w:val="-2"/>
          <w:vertAlign w:val="baseline"/>
        </w:rPr>
        <w:t> </w:t>
      </w:r>
      <w:r>
        <w:rPr>
          <w:vertAlign w:val="baseline"/>
        </w:rPr>
        <w:t>conjugate of paracetamol.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ListParagraph"/>
        <w:numPr>
          <w:ilvl w:val="2"/>
          <w:numId w:val="16"/>
        </w:numPr>
        <w:tabs>
          <w:tab w:pos="1866" w:val="left" w:leader="none"/>
        </w:tabs>
        <w:spacing w:line="240" w:lineRule="auto" w:before="0" w:after="0"/>
        <w:ind w:left="1865" w:right="0" w:hanging="541"/>
        <w:jc w:val="both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Vitro </w:t>
      </w:r>
      <w:r>
        <w:rPr>
          <w:sz w:val="24"/>
        </w:rPr>
        <w:t>bioavailability</w:t>
      </w:r>
      <w:r>
        <w:rPr>
          <w:spacing w:val="-8"/>
          <w:sz w:val="24"/>
        </w:rPr>
        <w:t> </w:t>
      </w:r>
      <w:r>
        <w:rPr>
          <w:sz w:val="24"/>
        </w:rPr>
        <w:t>test of paracetamol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325" w:right="1413"/>
        <w:jc w:val="both"/>
      </w:pPr>
      <w:r>
        <w:rPr/>
        <w:t>The pharmacokinetics of a drug product is very important in the formulation of solid</w:t>
      </w:r>
      <w:r>
        <w:rPr>
          <w:spacing w:val="1"/>
        </w:rPr>
        <w:t> </w:t>
      </w:r>
      <w:r>
        <w:rPr/>
        <w:t>dosages to ensure that a given dose of active ingredient is released at its site of action in</w:t>
      </w:r>
      <w:r>
        <w:rPr>
          <w:spacing w:val="1"/>
        </w:rPr>
        <w:t> </w:t>
      </w:r>
      <w:r>
        <w:rPr/>
        <w:t>amounts adequate to produce the desired effect after administration. Examples include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tests, hardness test and dissolution test.</w:t>
      </w:r>
    </w:p>
    <w:p>
      <w:pPr>
        <w:pStyle w:val="ListParagraph"/>
        <w:numPr>
          <w:ilvl w:val="3"/>
          <w:numId w:val="16"/>
        </w:numPr>
        <w:tabs>
          <w:tab w:pos="2046" w:val="left" w:leader="none"/>
        </w:tabs>
        <w:spacing w:line="240" w:lineRule="auto" w:before="203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Dissolution 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1325" w:right="1419"/>
        <w:jc w:val="both"/>
      </w:pPr>
      <w:r>
        <w:rPr/>
        <w:t>The 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for 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physiological</w:t>
      </w:r>
      <w:r>
        <w:rPr>
          <w:spacing w:val="60"/>
        </w:rPr>
        <w:t> </w:t>
      </w:r>
      <w:r>
        <w:rPr/>
        <w:t>availability</w:t>
      </w:r>
      <w:r>
        <w:rPr>
          <w:spacing w:val="-57"/>
        </w:rPr>
        <w:t> </w:t>
      </w:r>
      <w:r>
        <w:rPr/>
        <w:t>since the solid dosages have to be dissolved before absorption but it does not measure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or the effectiveness of the solid dosage</w:t>
      </w:r>
      <w:r>
        <w:rPr>
          <w:spacing w:val="-1"/>
        </w:rPr>
        <w:t> </w:t>
      </w:r>
      <w:r>
        <w:rPr/>
        <w:t>form.</w:t>
      </w:r>
    </w:p>
    <w:p>
      <w:pPr>
        <w:pStyle w:val="BodyText"/>
        <w:spacing w:line="480" w:lineRule="auto" w:before="200"/>
        <w:ind w:left="1325" w:right="1422"/>
        <w:jc w:val="both"/>
      </w:pPr>
      <w:r>
        <w:rPr/>
        <w:t>The physical characteristics and composition of a drug can have effect on the rate of</w:t>
      </w:r>
      <w:r>
        <w:rPr>
          <w:spacing w:val="1"/>
        </w:rPr>
        <w:t> </w:t>
      </w:r>
      <w:r>
        <w:rPr/>
        <w:t>disintegration,</w:t>
      </w:r>
      <w:r>
        <w:rPr>
          <w:spacing w:val="34"/>
        </w:rPr>
        <w:t> </w:t>
      </w:r>
      <w:r>
        <w:rPr/>
        <w:t>deaggregation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dissolution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drug</w:t>
      </w:r>
      <w:r>
        <w:rPr>
          <w:spacing w:val="34"/>
        </w:rPr>
        <w:t> </w:t>
      </w:r>
      <w:r>
        <w:rPr/>
        <w:t>which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turn</w:t>
      </w:r>
      <w:r>
        <w:rPr>
          <w:spacing w:val="36"/>
        </w:rPr>
        <w:t> </w:t>
      </w:r>
      <w:r>
        <w:rPr/>
        <w:t>affect</w:t>
      </w:r>
      <w:r>
        <w:rPr>
          <w:spacing w:val="37"/>
        </w:rPr>
        <w:t> </w:t>
      </w:r>
      <w:r>
        <w:rPr/>
        <w:t>rate</w:t>
      </w:r>
      <w:r>
        <w:rPr>
          <w:spacing w:val="3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6"/>
        <w:jc w:val="both"/>
      </w:pPr>
      <w:r>
        <w:rPr/>
        <w:t>absorption and resultant blood levels of the drug. Drugs administered as solid dosage</w:t>
      </w:r>
      <w:r>
        <w:rPr>
          <w:spacing w:val="1"/>
        </w:rPr>
        <w:t> </w:t>
      </w:r>
      <w:r>
        <w:rPr/>
        <w:t>forms are often slowly absorbed because of their dissolution properties which are a rate</w:t>
      </w:r>
      <w:r>
        <w:rPr>
          <w:spacing w:val="1"/>
        </w:rPr>
        <w:t> </w:t>
      </w:r>
      <w:r>
        <w:rPr/>
        <w:t>limiting step for absorption. Thus anything that affects dissolution can affect the overall</w:t>
      </w:r>
      <w:r>
        <w:rPr>
          <w:spacing w:val="1"/>
        </w:rPr>
        <w:t> </w:t>
      </w:r>
      <w:r>
        <w:rPr/>
        <w:t>bioavailability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drug.</w:t>
      </w:r>
    </w:p>
    <w:p>
      <w:pPr>
        <w:pStyle w:val="BodyText"/>
        <w:spacing w:line="480" w:lineRule="auto" w:before="199"/>
        <w:ind w:left="1325" w:right="1415"/>
        <w:jc w:val="both"/>
      </w:pPr>
      <w:r>
        <w:rPr/>
        <w:t>Dissolution rate test is used as a means of quality assurance of a good pharmaceutical</w:t>
      </w:r>
      <w:r>
        <w:rPr>
          <w:spacing w:val="1"/>
        </w:rPr>
        <w:t> </w:t>
      </w:r>
      <w:r>
        <w:rPr/>
        <w:t>dosage form. It is used to confirm that a product is uniform from batch to batch and</w:t>
      </w:r>
      <w:r>
        <w:rPr>
          <w:spacing w:val="1"/>
        </w:rPr>
        <w:t> </w:t>
      </w:r>
      <w:r>
        <w:rPr/>
        <w:t>within the same batch during in- process quality control. The characteristics of the pure</w:t>
      </w:r>
      <w:r>
        <w:rPr>
          <w:spacing w:val="1"/>
        </w:rPr>
        <w:t> </w:t>
      </w:r>
      <w:r>
        <w:rPr/>
        <w:t>drug or the effect of excipients, the method of processing and manufacturing variables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effectiveness</w:t>
      </w:r>
      <w:r>
        <w:rPr>
          <w:spacing w:val="21"/>
        </w:rPr>
        <w:t> </w:t>
      </w:r>
      <w:r>
        <w:rPr/>
        <w:t>during</w:t>
      </w:r>
      <w:r>
        <w:rPr>
          <w:spacing w:val="21"/>
        </w:rPr>
        <w:t> </w:t>
      </w:r>
      <w:r>
        <w:rPr/>
        <w:t>product</w:t>
      </w:r>
      <w:r>
        <w:rPr>
          <w:spacing w:val="21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stability</w:t>
      </w:r>
      <w:r>
        <w:rPr>
          <w:spacing w:val="16"/>
        </w:rPr>
        <w:t> </w:t>
      </w:r>
      <w:r>
        <w:rPr/>
        <w:t>assessment,</w:t>
      </w:r>
      <w:r>
        <w:rPr>
          <w:spacing w:val="23"/>
        </w:rPr>
        <w:t> </w:t>
      </w:r>
      <w:r>
        <w:rPr/>
        <w:t>assessment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line="482" w:lineRule="auto" w:before="1"/>
        <w:ind w:left="1325" w:right="1413"/>
        <w:jc w:val="both"/>
      </w:pPr>
      <w:r>
        <w:rPr/>
        <w:t>„bioequivalence‟, that is production of the same biological availability from discrete</w:t>
      </w:r>
      <w:r>
        <w:rPr>
          <w:spacing w:val="1"/>
        </w:rPr>
        <w:t> </w:t>
      </w:r>
      <w:r>
        <w:rPr/>
        <w:t>batches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in-vivo</w:t>
      </w:r>
      <w:r>
        <w:rPr>
          <w:i/>
          <w:spacing w:val="-57"/>
        </w:rPr>
        <w:t> </w:t>
      </w:r>
      <w:r>
        <w:rPr/>
        <w:t>availability,</w:t>
      </w:r>
      <w:r>
        <w:rPr>
          <w:spacing w:val="-1"/>
        </w:rPr>
        <w:t> </w:t>
      </w:r>
      <w:r>
        <w:rPr/>
        <w:t>i.e. bioavailability.</w:t>
      </w:r>
    </w:p>
    <w:p>
      <w:pPr>
        <w:pStyle w:val="BodyText"/>
        <w:spacing w:line="480" w:lineRule="auto" w:before="192"/>
        <w:ind w:left="1325" w:right="1416"/>
        <w:jc w:val="both"/>
      </w:pPr>
      <w:r>
        <w:rPr/>
        <w:t>The dissolution rate depends on the surface area of the solid, and in turn depends on the</w:t>
      </w:r>
      <w:r>
        <w:rPr>
          <w:spacing w:val="1"/>
        </w:rPr>
        <w:t> </w:t>
      </w:r>
      <w:r>
        <w:rPr/>
        <w:t>particle size. It also depends on the energy and energy states within the crystals of the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Noyes and Whitney in 1897 put into an equation the factors that affect dissolution</w:t>
      </w:r>
      <w:r>
        <w:rPr>
          <w:spacing w:val="-57"/>
        </w:rPr>
        <w:t> </w:t>
      </w:r>
      <w:r>
        <w:rPr/>
        <w:t>rate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205"/>
        <w:ind w:left="1325"/>
        <w:jc w:val="both"/>
      </w:pPr>
      <w:r>
        <w:rPr/>
        <w:t>ds/dt</w:t>
      </w:r>
      <w:r>
        <w:rPr>
          <w:spacing w:val="-2"/>
        </w:rPr>
        <w:t> </w:t>
      </w:r>
      <w:r>
        <w:rPr/>
        <w:t>=ks</w:t>
      </w:r>
      <w:r>
        <w:rPr>
          <w:spacing w:val="-2"/>
        </w:rPr>
        <w:t> </w:t>
      </w:r>
      <w:r>
        <w:rPr/>
        <w:t>(cs-ct)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325"/>
        <w:jc w:val="both"/>
      </w:pPr>
      <w:r>
        <w:rPr/>
        <w:t>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surface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particles,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6"/>
        <w:ind w:left="1325" w:right="2006"/>
        <w:jc w:val="both"/>
      </w:pPr>
      <w:r>
        <w:rPr/>
        <w:t>k is a constant specific to a substance and incorporates energy and entropy factors,</w:t>
      </w:r>
      <w:r>
        <w:rPr>
          <w:spacing w:val="-58"/>
        </w:rPr>
        <w:t> </w:t>
      </w:r>
      <w:r>
        <w:rPr/>
        <w:t>cs</w:t>
      </w:r>
      <w:r>
        <w:rPr>
          <w:spacing w:val="-1"/>
        </w:rPr>
        <w:t> </w:t>
      </w:r>
      <w:r>
        <w:rPr/>
        <w:t>is the concentration at</w:t>
      </w:r>
      <w:r>
        <w:rPr>
          <w:spacing w:val="4"/>
        </w:rPr>
        <w:t> </w:t>
      </w:r>
      <w:r>
        <w:rPr/>
        <w:t>saturation, and</w:t>
      </w:r>
    </w:p>
    <w:p>
      <w:pPr>
        <w:pStyle w:val="BodyText"/>
        <w:spacing w:before="4"/>
        <w:ind w:left="1325"/>
        <w:jc w:val="both"/>
      </w:pPr>
      <w:r>
        <w:rPr/>
        <w:t>ct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t.</w:t>
      </w:r>
    </w:p>
    <w:p>
      <w:pPr>
        <w:spacing w:after="0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22"/>
        <w:jc w:val="both"/>
      </w:pPr>
      <w:r>
        <w:rPr/>
        <w:t>K varies from drug to drug where some drugs have slow dissolution rate, some drugs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exist in more</w:t>
      </w:r>
      <w:r>
        <w:rPr>
          <w:spacing w:val="-1"/>
        </w:rPr>
        <w:t> </w:t>
      </w:r>
      <w:r>
        <w:rPr/>
        <w:t>than one</w:t>
      </w:r>
      <w:r>
        <w:rPr>
          <w:spacing w:val="-2"/>
        </w:rPr>
        <w:t> </w:t>
      </w:r>
      <w:r>
        <w:rPr/>
        <w:t>crystal form.</w:t>
      </w:r>
    </w:p>
    <w:p>
      <w:pPr>
        <w:pStyle w:val="BodyText"/>
        <w:spacing w:line="480" w:lineRule="auto" w:before="194"/>
        <w:ind w:left="1325" w:right="1416"/>
        <w:jc w:val="both"/>
      </w:pPr>
      <w:r>
        <w:rPr/>
        <w:t>The rate of dissolution of an active drug ingredient can be altered by improper choice of</w:t>
      </w:r>
      <w:r>
        <w:rPr>
          <w:spacing w:val="-57"/>
        </w:rPr>
        <w:t> </w:t>
      </w:r>
      <w:r>
        <w:rPr/>
        <w:t>ingredients and other formulation factors. This could be due to the effect of compaction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tableting, hydrophobicity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tablet lubricants</w:t>
      </w:r>
      <w:r>
        <w:rPr>
          <w:spacing w:val="3"/>
        </w:rPr>
        <w:t> </w:t>
      </w:r>
      <w:r>
        <w:rPr/>
        <w:t>and adsorption of air particles.</w:t>
      </w:r>
    </w:p>
    <w:p>
      <w:pPr>
        <w:pStyle w:val="BodyText"/>
        <w:spacing w:line="480" w:lineRule="auto" w:before="200"/>
        <w:ind w:left="1325" w:right="1415"/>
        <w:jc w:val="both"/>
      </w:pPr>
      <w:r>
        <w:rPr/>
        <w:t>A solid drug when</w:t>
      </w:r>
      <w:r>
        <w:rPr>
          <w:spacing w:val="1"/>
        </w:rPr>
        <w:t> </w:t>
      </w:r>
      <w:r>
        <w:rPr/>
        <w:t>administered has to</w:t>
      </w:r>
      <w:r>
        <w:rPr>
          <w:spacing w:val="1"/>
        </w:rPr>
        <w:t> </w:t>
      </w:r>
      <w:r>
        <w:rPr/>
        <w:t>be dispersed into</w:t>
      </w:r>
      <w:r>
        <w:rPr>
          <w:spacing w:val="1"/>
        </w:rPr>
        <w:t> </w:t>
      </w:r>
      <w:r>
        <w:rPr/>
        <w:t>a solution. This solution</w:t>
      </w:r>
      <w:r>
        <w:rPr>
          <w:spacing w:val="1"/>
        </w:rPr>
        <w:t> </w:t>
      </w:r>
      <w:r>
        <w:rPr/>
        <w:t>surrounds the surface of the solid and moving where the particle moves. The rate at</w:t>
      </w:r>
      <w:r>
        <w:rPr>
          <w:spacing w:val="1"/>
        </w:rPr>
        <w:t> </w:t>
      </w:r>
      <w:r>
        <w:rPr/>
        <w:t>which the drug goes into solution can be explained by Fick‟s law of diffusion. The drug</w:t>
      </w:r>
      <w:r>
        <w:rPr>
          <w:spacing w:val="-57"/>
        </w:rPr>
        <w:t> </w:t>
      </w:r>
      <w:r>
        <w:rPr/>
        <w:t>moves</w:t>
      </w:r>
      <w:r>
        <w:rPr>
          <w:spacing w:val="-1"/>
        </w:rPr>
        <w:t> </w:t>
      </w:r>
      <w:r>
        <w:rPr/>
        <w:t>from 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higher concentration to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lower concentration.</w:t>
      </w:r>
    </w:p>
    <w:p>
      <w:pPr>
        <w:pStyle w:val="BodyText"/>
        <w:spacing w:before="204"/>
        <w:ind w:left="2045"/>
        <w:jc w:val="both"/>
      </w:pPr>
      <w:r>
        <w:rPr/>
        <w:t>Rate of</w:t>
      </w:r>
      <w:r>
        <w:rPr>
          <w:spacing w:val="-1"/>
        </w:rPr>
        <w:t> </w:t>
      </w:r>
      <w:r>
        <w:rPr/>
        <w:t>diffusion =DA/L</w:t>
      </w:r>
      <w:r>
        <w:rPr>
          <w:spacing w:val="-2"/>
        </w:rPr>
        <w:t> </w:t>
      </w:r>
      <w:r>
        <w:rPr/>
        <w:t>(C</w:t>
      </w:r>
      <w:r>
        <w:rPr>
          <w:vertAlign w:val="subscript"/>
        </w:rPr>
        <w:t>1</w:t>
      </w:r>
      <w:r>
        <w:rPr>
          <w:vertAlign w:val="baseline"/>
        </w:rPr>
        <w:t>-C</w:t>
      </w:r>
      <w:r>
        <w:rPr>
          <w:vertAlign w:val="sub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480" w:lineRule="auto"/>
        <w:ind w:left="1325" w:right="1420"/>
        <w:jc w:val="both"/>
      </w:pPr>
      <w:r>
        <w:rPr/>
        <w:t>According to Fick‟s law the rate of solution is directly proportional to the area of solid</w:t>
      </w:r>
      <w:r>
        <w:rPr>
          <w:spacing w:val="1"/>
        </w:rPr>
        <w:t> </w:t>
      </w:r>
      <w:r>
        <w:rPr/>
        <w:t>(Acm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inversely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path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solute</w:t>
      </w:r>
      <w:r>
        <w:rPr>
          <w:spacing w:val="-1"/>
          <w:vertAlign w:val="baseline"/>
        </w:rPr>
        <w:t> </w:t>
      </w:r>
      <w:r>
        <w:rPr>
          <w:vertAlign w:val="baseline"/>
        </w:rPr>
        <w:t>must diffuse.</w:t>
      </w:r>
    </w:p>
    <w:p>
      <w:pPr>
        <w:pStyle w:val="BodyText"/>
        <w:spacing w:line="655" w:lineRule="auto" w:before="201"/>
        <w:ind w:left="1325" w:right="4726"/>
      </w:pPr>
      <w:r>
        <w:rPr/>
        <w:t>D is a constant called diffusion coefficient in cm</w:t>
      </w:r>
      <w:r>
        <w:rPr>
          <w:vertAlign w:val="superscript"/>
        </w:rPr>
        <w:t>2</w:t>
      </w:r>
      <w:r>
        <w:rPr>
          <w:vertAlign w:val="baseline"/>
        </w:rPr>
        <w:t>/sec.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1</w:t>
      </w:r>
      <w:r>
        <w:rPr>
          <w:vertAlign w:val="baseline"/>
        </w:rPr>
        <w:t> 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saturation concentration;</w:t>
      </w:r>
    </w:p>
    <w:p>
      <w:pPr>
        <w:pStyle w:val="BodyText"/>
        <w:spacing w:line="652" w:lineRule="auto"/>
        <w:ind w:left="1385" w:right="4165" w:hanging="60"/>
      </w:pPr>
      <w:r>
        <w:rPr/>
        <w:t>C</w:t>
      </w:r>
      <w:r>
        <w:rPr>
          <w:vertAlign w:val="subscript"/>
        </w:rPr>
        <w:t>2</w:t>
      </w:r>
      <w:r>
        <w:rPr>
          <w:vertAlign w:val="baseline"/>
        </w:rPr>
        <w:t> is the dissolution medium (lower concentration than C</w:t>
      </w:r>
      <w:r>
        <w:rPr>
          <w:vertAlign w:val="subscript"/>
        </w:rPr>
        <w:t>1</w:t>
      </w:r>
      <w:r>
        <w:rPr>
          <w:vertAlign w:val="baseline"/>
        </w:rPr>
        <w:t>).</w:t>
      </w:r>
      <w:r>
        <w:rPr>
          <w:spacing w:val="-57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affect Dissolution Rate</w:t>
      </w:r>
    </w:p>
    <w:p>
      <w:pPr>
        <w:pStyle w:val="BodyText"/>
        <w:spacing w:line="480" w:lineRule="auto"/>
        <w:ind w:left="1325" w:right="1413"/>
        <w:jc w:val="both"/>
      </w:pPr>
      <w:r>
        <w:rPr/>
        <w:t>The rate of dissolution of a solid dosage form can be affected by its particle size,</w:t>
      </w:r>
      <w:r>
        <w:rPr>
          <w:spacing w:val="1"/>
        </w:rPr>
        <w:t> </w:t>
      </w:r>
      <w:r>
        <w:rPr/>
        <w:t>solubility,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surface 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The 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apparatus should be standardized in such a</w:t>
      </w:r>
      <w:r>
        <w:rPr>
          <w:spacing w:val="1"/>
        </w:rPr>
        <w:t> </w:t>
      </w:r>
      <w:r>
        <w:rPr/>
        <w:t>way as to simulate in vivo dissolution</w:t>
      </w:r>
      <w:r>
        <w:rPr>
          <w:spacing w:val="1"/>
        </w:rPr>
        <w:t> </w:t>
      </w:r>
      <w:r>
        <w:rPr/>
        <w:t>processes. The British Pharmacopoeia requires the stimer shaft eccentricity to be an</w:t>
      </w:r>
      <w:r>
        <w:rPr>
          <w:spacing w:val="1"/>
        </w:rPr>
        <w:t> </w:t>
      </w:r>
      <w:r>
        <w:rPr/>
        <w:t>imperceptible</w:t>
      </w:r>
      <w:r>
        <w:rPr>
          <w:spacing w:val="3"/>
        </w:rPr>
        <w:t> </w:t>
      </w:r>
      <w:r>
        <w:rPr/>
        <w:t>wobble;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sampling</w:t>
      </w:r>
      <w:r>
        <w:rPr>
          <w:spacing w:val="2"/>
        </w:rPr>
        <w:t> </w:t>
      </w:r>
      <w:r>
        <w:rPr/>
        <w:t>position</w:t>
      </w:r>
      <w:r>
        <w:rPr>
          <w:spacing w:val="3"/>
        </w:rPr>
        <w:t> </w:t>
      </w:r>
      <w:r>
        <w:rPr/>
        <w:t>should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half</w:t>
      </w:r>
      <w:r>
        <w:rPr>
          <w:spacing w:val="3"/>
        </w:rPr>
        <w:t> </w:t>
      </w:r>
      <w:r>
        <w:rPr/>
        <w:t>way</w:t>
      </w:r>
      <w:r>
        <w:rPr>
          <w:spacing w:val="-3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basket</w:t>
      </w:r>
      <w:r>
        <w:rPr>
          <w:spacing w:val="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7"/>
        <w:jc w:val="both"/>
      </w:pPr>
      <w:r>
        <w:rPr/>
        <w:t>the wall and half way up the basket while the speed of the drive motor should be kept</w:t>
      </w:r>
      <w:r>
        <w:rPr>
          <w:spacing w:val="1"/>
        </w:rPr>
        <w:t> </w:t>
      </w:r>
      <w:r>
        <w:rPr/>
        <w:t>constant. The use of deaerated dissolution medium is specified (B.P 2009). Aerated</w:t>
      </w:r>
      <w:r>
        <w:rPr>
          <w:spacing w:val="1"/>
        </w:rPr>
        <w:t> </w:t>
      </w:r>
      <w:r>
        <w:rPr/>
        <w:t>medium contains air bubbles which can form on the surface of the basket mesh thereby</w:t>
      </w:r>
      <w:r>
        <w:rPr>
          <w:spacing w:val="1"/>
        </w:rPr>
        <w:t> </w:t>
      </w:r>
      <w:r>
        <w:rPr/>
        <w:t>altering the flow of the medium from the basket. Samples should be filtered to remove</w:t>
      </w:r>
      <w:r>
        <w:rPr>
          <w:spacing w:val="1"/>
        </w:rPr>
        <w:t> </w:t>
      </w:r>
      <w:r>
        <w:rPr/>
        <w:t>solid</w:t>
      </w:r>
      <w:r>
        <w:rPr>
          <w:spacing w:val="33"/>
        </w:rPr>
        <w:t> </w:t>
      </w:r>
      <w:r>
        <w:rPr/>
        <w:t>particles</w:t>
      </w:r>
      <w:r>
        <w:rPr>
          <w:spacing w:val="34"/>
        </w:rPr>
        <w:t> </w:t>
      </w:r>
      <w:r>
        <w:rPr/>
        <w:t>which</w:t>
      </w:r>
      <w:r>
        <w:rPr>
          <w:spacing w:val="34"/>
        </w:rPr>
        <w:t> </w:t>
      </w:r>
      <w:r>
        <w:rPr/>
        <w:t>will</w:t>
      </w:r>
      <w:r>
        <w:rPr>
          <w:spacing w:val="34"/>
        </w:rPr>
        <w:t> </w:t>
      </w:r>
      <w:r>
        <w:rPr/>
        <w:t>give</w:t>
      </w:r>
      <w:r>
        <w:rPr>
          <w:spacing w:val="34"/>
        </w:rPr>
        <w:t> </w:t>
      </w:r>
      <w:r>
        <w:rPr/>
        <w:t>false</w:t>
      </w:r>
      <w:r>
        <w:rPr>
          <w:spacing w:val="33"/>
        </w:rPr>
        <w:t> </w:t>
      </w:r>
      <w:r>
        <w:rPr/>
        <w:t>spectrophotometric</w:t>
      </w:r>
      <w:r>
        <w:rPr>
          <w:spacing w:val="33"/>
        </w:rPr>
        <w:t> </w:t>
      </w:r>
      <w:r>
        <w:rPr/>
        <w:t>readings.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temperature</w:t>
      </w:r>
      <w:r>
        <w:rPr>
          <w:spacing w:val="33"/>
        </w:rPr>
        <w:t> </w:t>
      </w:r>
      <w:r>
        <w:rPr/>
        <w:t>of</w:t>
      </w:r>
      <w:r>
        <w:rPr>
          <w:spacing w:val="-58"/>
        </w:rPr>
        <w:t> </w:t>
      </w:r>
      <w:r>
        <w:rPr/>
        <w:t>the dissolution medium is important and it is the only </w:t>
      </w:r>
      <w:r>
        <w:rPr>
          <w:i/>
        </w:rPr>
        <w:t>in vivo </w:t>
      </w:r>
      <w:r>
        <w:rPr/>
        <w:t>parameter that can be</w:t>
      </w:r>
      <w:r>
        <w:rPr>
          <w:spacing w:val="1"/>
        </w:rPr>
        <w:t> </w:t>
      </w:r>
      <w:r>
        <w:rPr/>
        <w:t>reproduced with ease in the laboratory since the dissolution strongly depends on the</w:t>
      </w:r>
      <w:r>
        <w:rPr>
          <w:spacing w:val="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medium.</w:t>
      </w:r>
    </w:p>
    <w:p>
      <w:pPr>
        <w:pStyle w:val="ListParagraph"/>
        <w:numPr>
          <w:ilvl w:val="3"/>
          <w:numId w:val="16"/>
        </w:numPr>
        <w:tabs>
          <w:tab w:pos="2046" w:val="left" w:leader="none"/>
        </w:tabs>
        <w:spacing w:line="240" w:lineRule="auto" w:before="203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Disintegration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1325" w:right="1415"/>
        <w:jc w:val="both"/>
      </w:pPr>
      <w:r>
        <w:rPr/>
        <w:t>This test is performed as per the pharmacopoeia standards. Disintegration is a 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capsules.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USP,</w:t>
      </w:r>
      <w:r>
        <w:rPr>
          <w:spacing w:val="1"/>
        </w:rPr>
        <w:t> </w:t>
      </w:r>
      <w:r>
        <w:rPr/>
        <w:t>BP,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specification. The British Pharmacopoeia was the first, in 1945, to adopt an official</w:t>
      </w:r>
      <w:r>
        <w:rPr>
          <w:spacing w:val="1"/>
        </w:rPr>
        <w:t> </w:t>
      </w:r>
      <w:r>
        <w:rPr/>
        <w:t>disintegration test.</w:t>
      </w:r>
      <w:r>
        <w:rPr>
          <w:spacing w:val="1"/>
        </w:rPr>
        <w:t> </w:t>
      </w:r>
      <w:r>
        <w:rPr/>
        <w:t>It was in the</w:t>
      </w:r>
      <w:r>
        <w:rPr>
          <w:spacing w:val="1"/>
        </w:rPr>
        <w:t> </w:t>
      </w:r>
      <w:r>
        <w:rPr/>
        <w:t>year 1970 that the first</w:t>
      </w:r>
      <w:r>
        <w:rPr>
          <w:spacing w:val="1"/>
        </w:rPr>
        <w:t> </w:t>
      </w:r>
      <w:r>
        <w:rPr/>
        <w:t>dissolution apparatus,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rotating</w:t>
      </w:r>
      <w:r>
        <w:rPr>
          <w:spacing w:val="-4"/>
        </w:rPr>
        <w:t> </w:t>
      </w:r>
      <w:r>
        <w:rPr/>
        <w:t>basket was designed and</w:t>
      </w:r>
      <w:r>
        <w:rPr>
          <w:spacing w:val="-1"/>
        </w:rPr>
        <w:t> </w:t>
      </w:r>
      <w:r>
        <w:rPr/>
        <w:t>adopted in the</w:t>
      </w:r>
      <w:r>
        <w:rPr>
          <w:spacing w:val="1"/>
        </w:rPr>
        <w:t> </w:t>
      </w:r>
      <w:r>
        <w:rPr/>
        <w:t>USA</w:t>
      </w:r>
      <w:r>
        <w:rPr>
          <w:spacing w:val="-1"/>
        </w:rPr>
        <w:t> </w:t>
      </w:r>
      <w:r>
        <w:rPr/>
        <w:t>(Wagner, 1971).</w:t>
      </w:r>
    </w:p>
    <w:p>
      <w:pPr>
        <w:pStyle w:val="BodyText"/>
        <w:spacing w:line="480" w:lineRule="auto" w:before="203"/>
        <w:ind w:left="1325" w:right="1416"/>
        <w:jc w:val="both"/>
      </w:pPr>
      <w:r>
        <w:rPr/>
        <w:t>The disintegration test prescribed in the individual monograph of a product is to be</w:t>
      </w:r>
      <w:r>
        <w:rPr>
          <w:spacing w:val="1"/>
        </w:rPr>
        <w:t> </w:t>
      </w:r>
      <w:r>
        <w:rPr/>
        <w:t>followed. If the monograph does not specify any specific test, the general test for the</w:t>
      </w:r>
      <w:r>
        <w:rPr>
          <w:spacing w:val="1"/>
        </w:rPr>
        <w:t> </w:t>
      </w:r>
      <w:r>
        <w:rPr/>
        <w:t>specific dosage form may be employed. Some of the types of dosage forms and their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tests are:</w:t>
      </w:r>
    </w:p>
    <w:p>
      <w:pPr>
        <w:pStyle w:val="BodyText"/>
        <w:spacing w:line="480" w:lineRule="auto" w:before="200"/>
        <w:ind w:left="1325" w:right="1417" w:firstLine="59"/>
        <w:jc w:val="both"/>
      </w:pPr>
      <w:r>
        <w:rPr/>
        <w:t>Uncoated</w:t>
      </w:r>
      <w:r>
        <w:rPr>
          <w:spacing w:val="26"/>
        </w:rPr>
        <w:t> </w:t>
      </w:r>
      <w:r>
        <w:rPr/>
        <w:t>tablets:</w:t>
      </w:r>
      <w:r>
        <w:rPr>
          <w:spacing w:val="28"/>
        </w:rPr>
        <w:t> </w:t>
      </w:r>
      <w:r>
        <w:rPr/>
        <w:t>Tested</w:t>
      </w:r>
      <w:r>
        <w:rPr>
          <w:spacing w:val="27"/>
        </w:rPr>
        <w:t> </w:t>
      </w:r>
      <w:r>
        <w:rPr/>
        <w:t>using</w:t>
      </w:r>
      <w:r>
        <w:rPr>
          <w:spacing w:val="28"/>
        </w:rPr>
        <w:t> </w:t>
      </w:r>
      <w:r>
        <w:rPr/>
        <w:t>distilled</w:t>
      </w:r>
      <w:r>
        <w:rPr>
          <w:spacing w:val="26"/>
        </w:rPr>
        <w:t> </w:t>
      </w:r>
      <w:r>
        <w:rPr/>
        <w:t>water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medium</w:t>
      </w:r>
      <w:r>
        <w:rPr>
          <w:spacing w:val="28"/>
        </w:rPr>
        <w:t> </w:t>
      </w:r>
      <w:r>
        <w:rPr/>
        <w:t>at</w:t>
      </w:r>
      <w:r>
        <w:rPr>
          <w:spacing w:val="27"/>
        </w:rPr>
        <w:t> </w:t>
      </w:r>
      <w:r>
        <w:rPr/>
        <w:t>37±2</w:t>
      </w:r>
      <w:r>
        <w:rPr>
          <w:spacing w:val="27"/>
        </w:rPr>
        <w:t> </w:t>
      </w:r>
      <w:r>
        <w:rPr/>
        <w:t>ºC</w:t>
      </w:r>
      <w:r>
        <w:rPr>
          <w:spacing w:val="28"/>
        </w:rPr>
        <w:t> </w:t>
      </w:r>
      <w:r>
        <w:rPr/>
        <w:t>at</w:t>
      </w:r>
      <w:r>
        <w:rPr>
          <w:spacing w:val="25"/>
        </w:rPr>
        <w:t> </w:t>
      </w:r>
      <w:r>
        <w:rPr/>
        <w:t>29-32</w:t>
      </w:r>
      <w:r>
        <w:rPr>
          <w:spacing w:val="27"/>
        </w:rPr>
        <w:t> </w:t>
      </w:r>
      <w:r>
        <w:rPr/>
        <w:t>cycles</w:t>
      </w:r>
      <w:r>
        <w:rPr>
          <w:spacing w:val="-58"/>
        </w:rPr>
        <w:t> </w:t>
      </w:r>
      <w:r>
        <w:rPr/>
        <w:t>per minute; test is completed after 15 minutes. It is acceptable when there is no palpable</w:t>
      </w:r>
      <w:r>
        <w:rPr>
          <w:spacing w:val="-57"/>
        </w:rPr>
        <w:t> </w:t>
      </w:r>
      <w:r>
        <w:rPr/>
        <w:t>core at the end of the cycle (for at least 5 tablets or capsules) and if the mass does not</w:t>
      </w:r>
      <w:r>
        <w:rPr>
          <w:spacing w:val="1"/>
        </w:rPr>
        <w:t> </w:t>
      </w:r>
      <w:r>
        <w:rPr/>
        <w:t>stick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immersion disc.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19" w:firstLine="59"/>
        <w:jc w:val="both"/>
      </w:pPr>
      <w:r>
        <w:rPr/>
        <w:t>Coated</w:t>
      </w:r>
      <w:r>
        <w:rPr>
          <w:spacing w:val="17"/>
        </w:rPr>
        <w:t> </w:t>
      </w:r>
      <w:r>
        <w:rPr/>
        <w:t>tablets: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17"/>
        </w:rPr>
        <w:t> </w:t>
      </w:r>
      <w:r>
        <w:rPr/>
        <w:t>test</w:t>
      </w:r>
      <w:r>
        <w:rPr>
          <w:spacing w:val="18"/>
        </w:rPr>
        <w:t> </w:t>
      </w:r>
      <w:r>
        <w:rPr/>
        <w:t>procedure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adapted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uncoated</w:t>
      </w:r>
      <w:r>
        <w:rPr>
          <w:spacing w:val="17"/>
        </w:rPr>
        <w:t> </w:t>
      </w:r>
      <w:r>
        <w:rPr/>
        <w:t>tablets</w:t>
      </w:r>
      <w:r>
        <w:rPr>
          <w:spacing w:val="18"/>
        </w:rPr>
        <w:t> </w:t>
      </w:r>
      <w:r>
        <w:rPr/>
        <w:t>but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time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 is 30 minutes.</w:t>
      </w:r>
    </w:p>
    <w:p>
      <w:pPr>
        <w:pStyle w:val="BodyText"/>
        <w:spacing w:line="480" w:lineRule="auto" w:before="194"/>
        <w:ind w:left="1325" w:right="1414" w:firstLine="119"/>
        <w:jc w:val="both"/>
      </w:pPr>
      <w:r>
        <w:rPr/>
        <w:t>Enteric coated/ Gastric resistant tablets: The test is carried out first in distilled water at</w:t>
      </w:r>
      <w:r>
        <w:rPr>
          <w:spacing w:val="1"/>
        </w:rPr>
        <w:t> </w:t>
      </w:r>
      <w:r>
        <w:rPr/>
        <w:t>room</w:t>
      </w:r>
      <w:r>
        <w:rPr>
          <w:spacing w:val="9"/>
        </w:rPr>
        <w:t> </w:t>
      </w:r>
      <w:r>
        <w:rPr/>
        <w:t>temperature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min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per</w:t>
      </w:r>
      <w:r>
        <w:rPr>
          <w:spacing w:val="10"/>
        </w:rPr>
        <w:t> </w:t>
      </w:r>
      <w:r>
        <w:rPr/>
        <w:t>USP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without</w:t>
      </w:r>
      <w:r>
        <w:rPr>
          <w:spacing w:val="11"/>
        </w:rPr>
        <w:t> </w:t>
      </w:r>
      <w:r>
        <w:rPr/>
        <w:t>distilled</w:t>
      </w:r>
      <w:r>
        <w:rPr>
          <w:spacing w:val="9"/>
        </w:rPr>
        <w:t> </w:t>
      </w:r>
      <w:r>
        <w:rPr/>
        <w:t>water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BP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IP,</w:t>
      </w:r>
      <w:r>
        <w:rPr>
          <w:spacing w:val="9"/>
        </w:rPr>
        <w:t> </w:t>
      </w:r>
      <w:r>
        <w:rPr/>
        <w:t>then</w:t>
      </w:r>
      <w:r>
        <w:rPr>
          <w:spacing w:val="-57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tested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0.1</w:t>
      </w:r>
      <w:r>
        <w:rPr>
          <w:spacing w:val="11"/>
        </w:rPr>
        <w:t> </w:t>
      </w:r>
      <w:r>
        <w:rPr/>
        <w:t>M</w:t>
      </w:r>
      <w:r>
        <w:rPr>
          <w:spacing w:val="8"/>
        </w:rPr>
        <w:t> </w:t>
      </w:r>
      <w:r>
        <w:rPr/>
        <w:t>HCL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up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2</w:t>
      </w:r>
      <w:r>
        <w:rPr>
          <w:spacing w:val="10"/>
        </w:rPr>
        <w:t> </w:t>
      </w:r>
      <w:r>
        <w:rPr/>
        <w:t>hours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per</w:t>
      </w:r>
      <w:r>
        <w:rPr>
          <w:spacing w:val="10"/>
        </w:rPr>
        <w:t> </w:t>
      </w:r>
      <w:r>
        <w:rPr/>
        <w:t>BP</w:t>
      </w:r>
      <w:r>
        <w:rPr>
          <w:spacing w:val="12"/>
        </w:rPr>
        <w:t> </w:t>
      </w:r>
      <w:r>
        <w:rPr/>
        <w:t>or</w:t>
      </w:r>
      <w:r>
        <w:rPr>
          <w:spacing w:val="10"/>
        </w:rPr>
        <w:t> </w:t>
      </w:r>
      <w:r>
        <w:rPr/>
        <w:t>Stimulated</w:t>
      </w:r>
      <w:r>
        <w:rPr>
          <w:spacing w:val="10"/>
        </w:rPr>
        <w:t> </w:t>
      </w:r>
      <w:r>
        <w:rPr/>
        <w:t>gastric</w:t>
      </w:r>
      <w:r>
        <w:rPr>
          <w:spacing w:val="9"/>
        </w:rPr>
        <w:t> </w:t>
      </w:r>
      <w:r>
        <w:rPr/>
        <w:t>fluid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hour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USP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buffer,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6.8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BP)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Stimulated</w:t>
      </w:r>
      <w:r>
        <w:rPr>
          <w:spacing w:val="-57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fluid without enzymes (1 hour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 USP).</w:t>
      </w:r>
    </w:p>
    <w:p>
      <w:pPr>
        <w:pStyle w:val="BodyText"/>
        <w:spacing w:line="480" w:lineRule="auto" w:before="200"/>
        <w:ind w:left="1325" w:right="1418"/>
        <w:jc w:val="both"/>
      </w:pPr>
      <w:r>
        <w:rPr/>
        <w:t>Chewable tablets:</w:t>
      </w:r>
      <w:r>
        <w:rPr>
          <w:spacing w:val="1"/>
        </w:rPr>
        <w:t> </w:t>
      </w:r>
      <w:r>
        <w:rPr/>
        <w:t>this is exempted from disintegration test (BP and IP), 4 hours (USP).</w:t>
      </w:r>
      <w:r>
        <w:rPr>
          <w:spacing w:val="1"/>
        </w:rPr>
        <w:t> </w:t>
      </w:r>
      <w:r>
        <w:rPr/>
        <w:t>These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few</w:t>
      </w:r>
      <w:r>
        <w:rPr>
          <w:spacing w:val="36"/>
        </w:rPr>
        <w:t> </w:t>
      </w:r>
      <w:r>
        <w:rPr/>
        <w:t>examples</w:t>
      </w:r>
      <w:r>
        <w:rPr>
          <w:spacing w:val="38"/>
        </w:rPr>
        <w:t> </w:t>
      </w:r>
      <w:r>
        <w:rPr/>
        <w:t>for</w:t>
      </w:r>
      <w:r>
        <w:rPr>
          <w:spacing w:val="35"/>
        </w:rPr>
        <w:t> </w:t>
      </w:r>
      <w:r>
        <w:rPr/>
        <w:t>illustration.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disintegration</w:t>
      </w:r>
      <w:r>
        <w:rPr>
          <w:spacing w:val="38"/>
        </w:rPr>
        <w:t> </w:t>
      </w:r>
      <w:r>
        <w:rPr/>
        <w:t>tests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capsules,</w:t>
      </w:r>
      <w:r>
        <w:rPr>
          <w:spacing w:val="37"/>
        </w:rPr>
        <w:t> </w:t>
      </w:r>
      <w:r>
        <w:rPr/>
        <w:t>both</w:t>
      </w:r>
      <w:r>
        <w:rPr>
          <w:spacing w:val="-57"/>
        </w:rPr>
        <w:t> </w:t>
      </w:r>
      <w:r>
        <w:rPr/>
        <w:t>hard and soft gelatin capsules are also performed in a similar manner. The USP also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disintegration tests for</w:t>
      </w:r>
      <w:r>
        <w:rPr>
          <w:spacing w:val="-1"/>
        </w:rPr>
        <w:t> </w:t>
      </w:r>
      <w:r>
        <w:rPr/>
        <w:t>suppositories, pessaries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202"/>
        <w:ind w:left="1325" w:right="1413"/>
        <w:jc w:val="both"/>
      </w:pPr>
      <w:r>
        <w:rPr/>
        <w:t>Advantages of Disintegration test: Disintegration test is a simple test which helps in the</w:t>
      </w:r>
      <w:r>
        <w:rPr>
          <w:spacing w:val="1"/>
        </w:rPr>
        <w:t> </w:t>
      </w:r>
      <w:r>
        <w:rPr/>
        <w:t>preformulation stage to the formulator, It helps in the optimisation of manufacturing</w:t>
      </w:r>
      <w:r>
        <w:rPr>
          <w:spacing w:val="1"/>
        </w:rPr>
        <w:t> </w:t>
      </w:r>
      <w:r>
        <w:rPr/>
        <w:t>variables, such as compressional force and dwell time, this test is also a simple in-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uniformity from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tablets and it is also an important test in the quality control of tablets and hard gelatine</w:t>
      </w:r>
      <w:r>
        <w:rPr>
          <w:spacing w:val="1"/>
        </w:rPr>
        <w:t> </w:t>
      </w:r>
      <w:r>
        <w:rPr/>
        <w:t>capsules.</w:t>
      </w:r>
    </w:p>
    <w:p>
      <w:pPr>
        <w:pStyle w:val="ListParagraph"/>
        <w:numPr>
          <w:ilvl w:val="3"/>
          <w:numId w:val="16"/>
        </w:numPr>
        <w:tabs>
          <w:tab w:pos="2046" w:val="left" w:leader="none"/>
        </w:tabs>
        <w:spacing w:line="240" w:lineRule="auto" w:before="203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Friability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1325" w:right="1417"/>
        <w:jc w:val="both"/>
      </w:pPr>
      <w:r>
        <w:rPr/>
        <w:t>The ability of a solid dosage form to withstand mechanical abrasions and handling is</w:t>
      </w:r>
      <w:r>
        <w:rPr>
          <w:spacing w:val="1"/>
        </w:rPr>
        <w:t> </w:t>
      </w:r>
      <w:r>
        <w:rPr/>
        <w:t>determined by this test. It is expressed as percentage of friability. These abrasions could</w:t>
      </w:r>
      <w:r>
        <w:rPr>
          <w:spacing w:val="1"/>
        </w:rPr>
        <w:t> </w:t>
      </w:r>
      <w:r>
        <w:rPr/>
        <w:t>lead to capping, aberration or breakage of the tablets. Thus it is important to monitor the</w:t>
      </w:r>
      <w:r>
        <w:rPr>
          <w:spacing w:val="-57"/>
        </w:rPr>
        <w:t> </w:t>
      </w:r>
      <w:r>
        <w:rPr/>
        <w:t>resistance of these tablets to decide their suitability for further distribution and handling</w:t>
      </w:r>
      <w:r>
        <w:rPr>
          <w:spacing w:val="1"/>
        </w:rPr>
        <w:t> </w:t>
      </w:r>
      <w:r>
        <w:rPr/>
        <w:t>(Jacob,</w:t>
      </w:r>
      <w:r>
        <w:rPr>
          <w:spacing w:val="-1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3"/>
          <w:numId w:val="16"/>
        </w:numPr>
        <w:tabs>
          <w:tab w:pos="2046" w:val="left" w:leader="none"/>
        </w:tabs>
        <w:spacing w:line="240" w:lineRule="auto" w:before="74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Content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weight uniformity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325" w:right="1507"/>
      </w:pPr>
      <w:r>
        <w:rPr/>
        <w:t>These tests are performed on any solid dosage forms to ensure an individual receives in</w:t>
      </w:r>
      <w:r>
        <w:rPr>
          <w:spacing w:val="-57"/>
        </w:rPr>
        <w:t> </w:t>
      </w:r>
      <w:r>
        <w:rPr/>
        <w:t>the dose an amount of that drug close to the label claim (Zaid </w:t>
      </w:r>
      <w:r>
        <w:rPr>
          <w:i/>
        </w:rPr>
        <w:t>et al</w:t>
      </w:r>
      <w:r>
        <w:rPr/>
        <w:t>., 2013 ; Vranic and</w:t>
      </w:r>
      <w:r>
        <w:rPr>
          <w:spacing w:val="1"/>
        </w:rPr>
        <w:t> </w:t>
      </w:r>
      <w:r>
        <w:rPr/>
        <w:t>Uzunovic, 2007). The B.P standards have provided limits for permissible variation in</w:t>
      </w:r>
      <w:r>
        <w:rPr>
          <w:spacing w:val="1"/>
        </w:rPr>
        <w:t> </w:t>
      </w:r>
      <w:r>
        <w:rPr/>
        <w:t>the amount of active ingredient of individual dose units. Its advantage is to assess the</w:t>
      </w:r>
      <w:r>
        <w:rPr>
          <w:spacing w:val="1"/>
        </w:rPr>
        <w:t> </w:t>
      </w:r>
      <w:r>
        <w:rPr/>
        <w:t>quality of a batch and helps to ensure that the strength of a product remains within the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limits.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2"/>
          <w:numId w:val="16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721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-1"/>
          <w:sz w:val="24"/>
        </w:rPr>
        <w:t> </w:t>
      </w:r>
      <w:r>
        <w:rPr>
          <w:sz w:val="24"/>
        </w:rPr>
        <w:t>bioavailability</w:t>
      </w:r>
      <w:r>
        <w:rPr>
          <w:spacing w:val="-4"/>
          <w:sz w:val="24"/>
        </w:rPr>
        <w:t> </w:t>
      </w:r>
      <w:r>
        <w:rPr>
          <w:sz w:val="24"/>
        </w:rPr>
        <w:t>testing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paracetamol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9"/>
        <w:jc w:val="both"/>
      </w:pPr>
      <w:r>
        <w:rPr/>
        <w:t>Bioavailability has been defined as the rate and extent to which an active ingredient or</w:t>
      </w:r>
      <w:r>
        <w:rPr>
          <w:spacing w:val="1"/>
        </w:rPr>
        <w:t> </w:t>
      </w:r>
      <w:r>
        <w:rPr/>
        <w:t>therapeutic moiety is absorbed from a drug product into systemic circulation which is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fluids,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(Skelly, 1976). Based on this definition the absorption of a drug administered through</w:t>
      </w:r>
      <w:r>
        <w:rPr>
          <w:spacing w:val="1"/>
        </w:rPr>
        <w:t> </w:t>
      </w:r>
      <w:r>
        <w:rPr/>
        <w:t>the intravenous route is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complete. However most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orally</w:t>
      </w:r>
      <w:r>
        <w:rPr>
          <w:spacing w:val="16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convenience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stability</w:t>
      </w:r>
      <w:r>
        <w:rPr>
          <w:spacing w:val="14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bioavailablity</w:t>
      </w:r>
      <w:r>
        <w:rPr>
          <w:spacing w:val="14"/>
        </w:rPr>
        <w:t> </w:t>
      </w:r>
      <w:r>
        <w:rPr/>
        <w:t>becomes</w:t>
      </w:r>
      <w:r>
        <w:rPr>
          <w:spacing w:val="21"/>
        </w:rPr>
        <w:t> </w:t>
      </w:r>
      <w:r>
        <w:rPr/>
        <w:t>incomplete</w:t>
      </w:r>
      <w:r>
        <w:rPr>
          <w:spacing w:val="18"/>
        </w:rPr>
        <w:t> </w:t>
      </w:r>
      <w:r>
        <w:rPr/>
        <w:t>due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individual differences</w:t>
      </w:r>
      <w:r>
        <w:rPr>
          <w:spacing w:val="2"/>
        </w:rPr>
        <w:t> </w:t>
      </w:r>
      <w:r>
        <w:rPr/>
        <w:t>thus</w:t>
      </w:r>
      <w:r>
        <w:rPr>
          <w:spacing w:val="-1"/>
        </w:rPr>
        <w:t> </w:t>
      </w:r>
      <w:r>
        <w:rPr/>
        <w:t>not precise (Blanchard and</w:t>
      </w:r>
      <w:r>
        <w:rPr>
          <w:spacing w:val="-1"/>
        </w:rPr>
        <w:t> </w:t>
      </w:r>
      <w:r>
        <w:rPr/>
        <w:t>Sawchuk, 1979).</w:t>
      </w:r>
    </w:p>
    <w:p>
      <w:pPr>
        <w:pStyle w:val="BodyText"/>
        <w:spacing w:line="480" w:lineRule="auto" w:before="200"/>
        <w:ind w:left="1325" w:right="1413"/>
        <w:jc w:val="both"/>
      </w:pPr>
      <w:r>
        <w:rPr/>
        <w:t>Bioequivalence or bioavailability studies are usually based on the measurement of the</w:t>
      </w:r>
      <w:r>
        <w:rPr>
          <w:spacing w:val="1"/>
        </w:rPr>
        <w:t> </w:t>
      </w:r>
      <w:r>
        <w:rPr/>
        <w:t>active drug moiety and or its metabolites in biological fluids as a function of time.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 </w:t>
      </w:r>
      <w:r>
        <w:rPr/>
        <w:t>testing in humans usually dictates that the biological fluid sampled is limited to</w:t>
      </w:r>
      <w:r>
        <w:rPr>
          <w:spacing w:val="1"/>
        </w:rPr>
        <w:t> </w:t>
      </w:r>
      <w:r>
        <w:rPr/>
        <w:t>blood,</w:t>
      </w:r>
      <w:r>
        <w:rPr>
          <w:spacing w:val="-1"/>
        </w:rPr>
        <w:t> </w:t>
      </w:r>
      <w:r>
        <w:rPr/>
        <w:t>urine and saliva.</w:t>
      </w:r>
    </w:p>
    <w:p>
      <w:pPr>
        <w:pStyle w:val="BodyText"/>
        <w:spacing w:line="480" w:lineRule="auto" w:before="200"/>
        <w:ind w:left="1325" w:right="1417"/>
        <w:jc w:val="both"/>
      </w:pPr>
      <w:r>
        <w:rPr/>
        <w:t>Drug is administered to volunteers who are usually in fasted state (approximately 12</w:t>
      </w:r>
      <w:r>
        <w:rPr>
          <w:spacing w:val="1"/>
        </w:rPr>
        <w:t> </w:t>
      </w:r>
      <w:r>
        <w:rPr/>
        <w:t>hours),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 permitted</w:t>
      </w:r>
      <w:r>
        <w:rPr>
          <w:spacing w:val="1"/>
        </w:rPr>
        <w:t> </w:t>
      </w:r>
      <w:r>
        <w:rPr/>
        <w:t>food after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 drug till</w:t>
      </w:r>
      <w:r>
        <w:rPr>
          <w:spacing w:val="1"/>
        </w:rPr>
        <w:t> </w:t>
      </w:r>
      <w:r>
        <w:rPr/>
        <w:t>last</w:t>
      </w:r>
      <w:r>
        <w:rPr>
          <w:spacing w:val="60"/>
        </w:rPr>
        <w:t> </w:t>
      </w:r>
      <w:r>
        <w:rPr/>
        <w:t>sample is</w:t>
      </w:r>
      <w:r>
        <w:rPr>
          <w:spacing w:val="1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have not taken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at least two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</w:t>
      </w:r>
      <w:r>
        <w:rPr/>
        <w:t>weeks.</w:t>
      </w:r>
      <w:r>
        <w:rPr>
          <w:spacing w:val="2"/>
        </w:rPr>
        <w:t> </w:t>
      </w:r>
      <w:r>
        <w:rPr/>
        <w:t>Blood</w:t>
      </w:r>
      <w:r>
        <w:rPr>
          <w:spacing w:val="-1"/>
        </w:rPr>
        <w:t> </w:t>
      </w:r>
      <w:r>
        <w:rPr/>
        <w:t>or saliva</w:t>
      </w:r>
      <w:r>
        <w:rPr>
          <w:spacing w:val="-2"/>
        </w:rPr>
        <w:t> </w:t>
      </w:r>
      <w:r>
        <w:rPr/>
        <w:t>samples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20"/>
        <w:jc w:val="both"/>
      </w:pPr>
      <w:r>
        <w:rPr/>
        <w:t>are collected at a frequency sufficient to permit the estimation of peak concentration in</w:t>
      </w:r>
      <w:r>
        <w:rPr>
          <w:spacing w:val="1"/>
        </w:rPr>
        <w:t> </w:t>
      </w:r>
      <w:r>
        <w:rPr/>
        <w:t>the sampled body fluid and the total area under the concentration time curve. In many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 will be identical and concentration time curves may be obtained after</w:t>
      </w:r>
      <w:r>
        <w:rPr>
          <w:spacing w:val="1"/>
        </w:rPr>
        <w:t> </w:t>
      </w:r>
      <w:r>
        <w:rPr/>
        <w:t>administration.</w:t>
      </w:r>
    </w:p>
    <w:p>
      <w:pPr>
        <w:pStyle w:val="BodyText"/>
        <w:spacing w:line="480" w:lineRule="auto" w:before="199"/>
        <w:ind w:left="1325" w:right="1415"/>
        <w:jc w:val="both"/>
      </w:pPr>
      <w:r>
        <w:rPr/>
        <w:t>The bioavailability parameters include: peak plasma concentration (C</w:t>
      </w:r>
      <w:r>
        <w:rPr>
          <w:vertAlign w:val="subscript"/>
        </w:rPr>
        <w:t>max</w:t>
      </w:r>
      <w:r>
        <w:rPr>
          <w:vertAlign w:val="baseline"/>
        </w:rPr>
        <w:t>), time to reach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max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curve</w:t>
      </w:r>
      <w:r>
        <w:rPr>
          <w:spacing w:val="-57"/>
          <w:vertAlign w:val="baseline"/>
        </w:rPr>
        <w:t> </w:t>
      </w:r>
      <w:r>
        <w:rPr>
          <w:vertAlign w:val="baseline"/>
        </w:rPr>
        <w:t>(AUC). The C</w:t>
      </w:r>
      <w:r>
        <w:rPr>
          <w:vertAlign w:val="subscript"/>
        </w:rPr>
        <w:t>max</w:t>
      </w:r>
      <w:r>
        <w:rPr>
          <w:vertAlign w:val="baseline"/>
        </w:rPr>
        <w:t> and t</w:t>
      </w:r>
      <w:r>
        <w:rPr>
          <w:vertAlign w:val="subscript"/>
        </w:rPr>
        <w:t>max</w:t>
      </w:r>
      <w:r>
        <w:rPr>
          <w:vertAlign w:val="baseline"/>
        </w:rPr>
        <w:t> are used to measure the rate of bioavailability of the drug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AUC defines the extent of drug absorption. Therefore bioequivalent studies is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to determine if the tested drug is equivalent to the reference form or demonstrate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there is no statistically significant difference between two products at a 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sampling</w:t>
      </w:r>
      <w:r>
        <w:rPr>
          <w:spacing w:val="-3"/>
          <w:vertAlign w:val="baseline"/>
        </w:rPr>
        <w:t> </w:t>
      </w:r>
      <w:r>
        <w:rPr>
          <w:vertAlign w:val="baseline"/>
        </w:rPr>
        <w:t>time or</w:t>
      </w:r>
      <w:r>
        <w:rPr>
          <w:spacing w:val="-2"/>
          <w:vertAlign w:val="baseline"/>
        </w:rPr>
        <w:t> </w:t>
      </w:r>
      <w:r>
        <w:rPr>
          <w:vertAlign w:val="baseline"/>
        </w:rPr>
        <w:t>interval.</w:t>
      </w:r>
    </w:p>
    <w:p>
      <w:pPr>
        <w:pStyle w:val="BodyText"/>
        <w:spacing w:line="480" w:lineRule="auto" w:before="201"/>
        <w:ind w:left="1325" w:right="1418"/>
        <w:jc w:val="both"/>
      </w:pPr>
      <w:r>
        <w:rPr/>
        <w:t>The „absolute‟ bioavailability of a drug is usually a comparism of the area under the</w:t>
      </w:r>
      <w:r>
        <w:rPr>
          <w:spacing w:val="1"/>
        </w:rPr>
        <w:t> </w:t>
      </w:r>
      <w:r>
        <w:rPr/>
        <w:t>plasma concentration – time curve (AUC) from oral and intravenous administration of</w:t>
      </w:r>
      <w:r>
        <w:rPr>
          <w:spacing w:val="1"/>
        </w:rPr>
        <w:t> </w:t>
      </w:r>
      <w:r>
        <w:rPr/>
        <w:t>the drug. For practical purposes intravenous administration is not often possible, as such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„relative‟</w:t>
      </w:r>
      <w:r>
        <w:rPr>
          <w:spacing w:val="-3"/>
        </w:rPr>
        <w:t> </w:t>
      </w:r>
      <w:r>
        <w:rPr/>
        <w:t>bioavailability</w:t>
      </w:r>
      <w:r>
        <w:rPr>
          <w:spacing w:val="-7"/>
        </w:rPr>
        <w:t> </w:t>
      </w:r>
      <w:r>
        <w:rPr/>
        <w:t>is</w:t>
      </w:r>
      <w:r>
        <w:rPr>
          <w:spacing w:val="-1"/>
        </w:rPr>
        <w:t> </w:t>
      </w:r>
      <w:r>
        <w:rPr/>
        <w:t>determined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comparing</w:t>
      </w:r>
      <w:r>
        <w:rPr>
          <w:spacing w:val="3"/>
        </w:rPr>
        <w:t> </w:t>
      </w:r>
      <w:r>
        <w:rPr/>
        <w:t>the AUC‟s</w:t>
      </w:r>
      <w:r>
        <w:rPr>
          <w:spacing w:val="-2"/>
        </w:rPr>
        <w:t> </w:t>
      </w:r>
      <w:r>
        <w:rPr/>
        <w:t>of the test</w:t>
      </w:r>
      <w:r>
        <w:rPr>
          <w:spacing w:val="-2"/>
        </w:rPr>
        <w:t> </w:t>
      </w:r>
      <w:r>
        <w:rPr/>
        <w:t>drug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a secondary reference standard such as an orally administered solution which has been</w:t>
      </w:r>
      <w:r>
        <w:rPr>
          <w:spacing w:val="1"/>
        </w:rPr>
        <w:t> </w:t>
      </w:r>
      <w:r>
        <w:rPr/>
        <w:t>accepted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(Gilbaldi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Perrier, 1975c;</w:t>
      </w:r>
      <w:r>
        <w:rPr>
          <w:spacing w:val="-1"/>
        </w:rPr>
        <w:t> </w:t>
      </w:r>
      <w:r>
        <w:rPr/>
        <w:t>Blanchard</w:t>
      </w:r>
      <w:r>
        <w:rPr>
          <w:spacing w:val="-1"/>
        </w:rPr>
        <w:t> </w:t>
      </w:r>
      <w:r>
        <w:rPr/>
        <w:t>and Sawchuk,</w:t>
      </w:r>
      <w:r>
        <w:rPr>
          <w:spacing w:val="-1"/>
        </w:rPr>
        <w:t> </w:t>
      </w:r>
      <w:r>
        <w:rPr/>
        <w:t>1979).</w:t>
      </w:r>
    </w:p>
    <w:p>
      <w:pPr>
        <w:pStyle w:val="BodyText"/>
        <w:spacing w:line="480" w:lineRule="auto" w:before="200"/>
        <w:ind w:left="1325" w:right="1415"/>
        <w:jc w:val="both"/>
      </w:pP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following the administration of a single dose. The plasma levels of certain drugs may be</w:t>
      </w:r>
      <w:r>
        <w:rPr>
          <w:spacing w:val="-57"/>
        </w:rPr>
        <w:t> </w:t>
      </w:r>
      <w:r>
        <w:rPr/>
        <w:t>very low such that an assay method sensitive enough to measure these levels may not be</w:t>
      </w:r>
      <w:r>
        <w:rPr>
          <w:spacing w:val="-57"/>
        </w:rPr>
        <w:t> </w:t>
      </w:r>
      <w:r>
        <w:rPr/>
        <w:t>available.</w:t>
      </w:r>
      <w:r>
        <w:rPr>
          <w:spacing w:val="22"/>
        </w:rPr>
        <w:t> </w:t>
      </w:r>
      <w:r>
        <w:rPr/>
        <w:t>Other</w:t>
      </w:r>
      <w:r>
        <w:rPr>
          <w:spacing w:val="23"/>
        </w:rPr>
        <w:t> </w:t>
      </w:r>
      <w:r>
        <w:rPr/>
        <w:t>drugs</w:t>
      </w:r>
      <w:r>
        <w:rPr>
          <w:spacing w:val="24"/>
        </w:rPr>
        <w:t> </w:t>
      </w:r>
      <w:r>
        <w:rPr/>
        <w:t>which</w:t>
      </w:r>
      <w:r>
        <w:rPr>
          <w:spacing w:val="23"/>
        </w:rPr>
        <w:t> </w:t>
      </w:r>
      <w:r>
        <w:rPr/>
        <w:t>have</w:t>
      </w:r>
      <w:r>
        <w:rPr>
          <w:spacing w:val="22"/>
        </w:rPr>
        <w:t> </w:t>
      </w:r>
      <w:r>
        <w:rPr/>
        <w:t>longer</w:t>
      </w:r>
      <w:r>
        <w:rPr>
          <w:spacing w:val="23"/>
        </w:rPr>
        <w:t> </w:t>
      </w:r>
      <w:r>
        <w:rPr/>
        <w:t>half-</w:t>
      </w:r>
      <w:r>
        <w:rPr>
          <w:spacing w:val="23"/>
        </w:rPr>
        <w:t> </w:t>
      </w:r>
      <w:r>
        <w:rPr/>
        <w:t>lives</w:t>
      </w:r>
      <w:r>
        <w:rPr>
          <w:spacing w:val="24"/>
        </w:rPr>
        <w:t> </w:t>
      </w:r>
      <w:r>
        <w:rPr/>
        <w:t>require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their</w:t>
      </w:r>
      <w:r>
        <w:rPr>
          <w:spacing w:val="22"/>
        </w:rPr>
        <w:t> </w:t>
      </w:r>
      <w:r>
        <w:rPr/>
        <w:t>plasma</w:t>
      </w:r>
      <w:r>
        <w:rPr>
          <w:spacing w:val="23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be</w:t>
      </w:r>
      <w:r>
        <w:rPr>
          <w:spacing w:val="5"/>
        </w:rPr>
        <w:t> </w:t>
      </w:r>
      <w:r>
        <w:rPr/>
        <w:t>obtained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longer</w:t>
      </w:r>
      <w:r>
        <w:rPr>
          <w:spacing w:val="9"/>
        </w:rPr>
        <w:t> </w:t>
      </w:r>
      <w:r>
        <w:rPr/>
        <w:t>periods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time.</w:t>
      </w:r>
      <w:r>
        <w:rPr>
          <w:spacing w:val="10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thus</w:t>
      </w:r>
      <w:r>
        <w:rPr>
          <w:spacing w:val="6"/>
        </w:rPr>
        <w:t> </w:t>
      </w:r>
      <w:r>
        <w:rPr/>
        <w:t>sometimes</w:t>
      </w:r>
      <w:r>
        <w:rPr>
          <w:spacing w:val="5"/>
        </w:rPr>
        <w:t> </w:t>
      </w:r>
      <w:r>
        <w:rPr/>
        <w:t>desirable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determine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23"/>
        <w:jc w:val="both"/>
      </w:pPr>
      <w:r>
        <w:rPr/>
        <w:t>availability based on steady state plasma drug levels following multiple dosing (Gilbaldi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Perrirer, 1975b).</w:t>
      </w:r>
    </w:p>
    <w:p>
      <w:pPr>
        <w:pStyle w:val="BodyText"/>
        <w:spacing w:line="480" w:lineRule="auto" w:before="194"/>
        <w:ind w:left="1325" w:right="1419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(AUC)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curve,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“cut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weigh”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employment of plane meter and application of trapezoidal rule (Gibaldi and Perrier,</w:t>
      </w:r>
      <w:r>
        <w:rPr>
          <w:spacing w:val="1"/>
        </w:rPr>
        <w:t> </w:t>
      </w:r>
      <w:r>
        <w:rPr/>
        <w:t>1975c).</w:t>
      </w:r>
    </w:p>
    <w:p>
      <w:pPr>
        <w:spacing w:before="202"/>
        <w:ind w:left="1325" w:right="0" w:firstLine="0"/>
        <w:jc w:val="both"/>
        <w:rPr>
          <w:i/>
          <w:sz w:val="24"/>
        </w:rPr>
      </w:pPr>
      <w:r>
        <w:rPr>
          <w:i/>
          <w:sz w:val="24"/>
        </w:rPr>
        <w:t>2.3.2.1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affecting 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bioavailability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1325" w:right="1417" w:firstLine="59"/>
        <w:jc w:val="both"/>
      </w:pPr>
      <w:r>
        <w:rPr/>
        <w:t>The</w:t>
      </w:r>
      <w:r>
        <w:rPr>
          <w:spacing w:val="31"/>
        </w:rPr>
        <w:t> </w:t>
      </w:r>
      <w:r>
        <w:rPr/>
        <w:t>most</w:t>
      </w:r>
      <w:r>
        <w:rPr>
          <w:spacing w:val="33"/>
        </w:rPr>
        <w:t> </w:t>
      </w:r>
      <w:r>
        <w:rPr/>
        <w:t>common</w:t>
      </w:r>
      <w:r>
        <w:rPr>
          <w:spacing w:val="33"/>
        </w:rPr>
        <w:t> </w:t>
      </w:r>
      <w:r>
        <w:rPr/>
        <w:t>route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administration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drugs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orally</w:t>
      </w:r>
      <w:r>
        <w:rPr>
          <w:spacing w:val="27"/>
        </w:rPr>
        <w:t> </w:t>
      </w:r>
      <w:r>
        <w:rPr/>
        <w:t>due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its</w:t>
      </w:r>
      <w:r>
        <w:rPr>
          <w:spacing w:val="33"/>
        </w:rPr>
        <w:t> </w:t>
      </w:r>
      <w:r>
        <w:rPr/>
        <w:t>convenience.</w:t>
      </w:r>
      <w:r>
        <w:rPr>
          <w:spacing w:val="-58"/>
        </w:rPr>
        <w:t> </w:t>
      </w:r>
      <w:r>
        <w:rPr/>
        <w:t>The compressed tablet is widely used and mostly involved in drug bioavailability and</w:t>
      </w:r>
      <w:r>
        <w:rPr>
          <w:spacing w:val="1"/>
        </w:rPr>
        <w:t> </w:t>
      </w:r>
      <w:r>
        <w:rPr/>
        <w:t>bioequivalent problems. This is due to the reduction in surface area of the drug in the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tabletting</w:t>
      </w:r>
      <w:r>
        <w:rPr>
          <w:spacing w:val="1"/>
        </w:rPr>
        <w:t> </w:t>
      </w:r>
      <w:r>
        <w:rPr/>
        <w:t>methodologies,</w:t>
      </w:r>
      <w:r>
        <w:rPr>
          <w:spacing w:val="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and coating</w:t>
      </w:r>
      <w:r>
        <w:rPr>
          <w:spacing w:val="-3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 formulation.</w:t>
      </w:r>
    </w:p>
    <w:p>
      <w:pPr>
        <w:pStyle w:val="BodyText"/>
        <w:spacing w:line="480" w:lineRule="auto" w:before="200"/>
        <w:ind w:left="1325" w:right="1418"/>
        <w:jc w:val="both"/>
      </w:pPr>
      <w:r>
        <w:rPr/>
        <w:t>Absorption may be affected not only by the different dosage forms but also by similar</w:t>
      </w:r>
      <w:r>
        <w:rPr>
          <w:spacing w:val="1"/>
        </w:rPr>
        <w:t> </w:t>
      </w:r>
      <w:r>
        <w:rPr/>
        <w:t>dosage forms from different manufacturers and different batches of a dosage form from</w:t>
      </w:r>
      <w:r>
        <w:rPr>
          <w:spacing w:val="1"/>
        </w:rPr>
        <w:t> </w:t>
      </w:r>
      <w:r>
        <w:rPr/>
        <w:t>a single manufacturer. The most common conventional oral dosage forms in their 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suspensions,</w:t>
      </w:r>
      <w:r>
        <w:rPr>
          <w:spacing w:val="-1"/>
        </w:rPr>
        <w:t> </w:t>
      </w:r>
      <w:r>
        <w:rPr/>
        <w:t>capsules, tablets, coated</w:t>
      </w:r>
      <w:r>
        <w:rPr>
          <w:spacing w:val="-1"/>
        </w:rPr>
        <w:t> </w:t>
      </w:r>
      <w:r>
        <w:rPr/>
        <w:t>tablets and sustained-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preparations.</w:t>
      </w:r>
    </w:p>
    <w:p>
      <w:pPr>
        <w:pStyle w:val="BodyText"/>
        <w:spacing w:line="480" w:lineRule="auto" w:before="192"/>
        <w:ind w:left="1325" w:right="1413"/>
        <w:jc w:val="both"/>
      </w:pPr>
      <w:r>
        <w:rPr/>
        <w:t>Factors which can produce significant differences in bioavailability include formulation</w:t>
      </w:r>
      <w:r>
        <w:rPr>
          <w:spacing w:val="1"/>
        </w:rPr>
        <w:t> </w:t>
      </w:r>
      <w:r>
        <w:rPr/>
        <w:t>and manufacturing variables such as particle sizes, chemical form and the solubility of</w:t>
      </w:r>
      <w:r>
        <w:rPr>
          <w:spacing w:val="1"/>
        </w:rPr>
        <w:t> </w:t>
      </w:r>
      <w:r>
        <w:rPr/>
        <w:t>the drug; the type and quantity of excipients used, compaction pressure (Blanchard and</w:t>
      </w:r>
      <w:r>
        <w:rPr>
          <w:spacing w:val="1"/>
        </w:rPr>
        <w:t> </w:t>
      </w:r>
      <w:r>
        <w:rPr/>
        <w:t>Sawuck, 1979). The various formulation and dosage form related factors which have</w:t>
      </w:r>
      <w:r>
        <w:rPr>
          <w:spacing w:val="1"/>
        </w:rPr>
        <w:t> </w:t>
      </w:r>
      <w:r>
        <w:rPr/>
        <w:t>been extensively discussed by Poole (1979), and many writers in this field include:</w:t>
      </w:r>
      <w:r>
        <w:rPr>
          <w:spacing w:val="1"/>
        </w:rPr>
        <w:t> </w:t>
      </w:r>
      <w:r>
        <w:rPr/>
        <w:t>particle size, crystal form, salt, complex, pH and solubility. Other factors are excipients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adjuvants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manufacturing</w:t>
      </w:r>
      <w:r>
        <w:rPr>
          <w:spacing w:val="9"/>
        </w:rPr>
        <w:t> </w:t>
      </w:r>
      <w:r>
        <w:rPr/>
        <w:t>methods</w:t>
      </w:r>
      <w:r>
        <w:rPr>
          <w:spacing w:val="12"/>
        </w:rPr>
        <w:t> </w:t>
      </w:r>
      <w:r>
        <w:rPr/>
        <w:t>(Poole,</w:t>
      </w:r>
      <w:r>
        <w:rPr>
          <w:spacing w:val="10"/>
        </w:rPr>
        <w:t> </w:t>
      </w:r>
      <w:r>
        <w:rPr/>
        <w:t>1979).</w:t>
      </w:r>
      <w:r>
        <w:rPr>
          <w:spacing w:val="11"/>
        </w:rPr>
        <w:t> </w:t>
      </w: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Poole,</w:t>
      </w:r>
      <w:r>
        <w:rPr>
          <w:spacing w:val="13"/>
        </w:rPr>
        <w:t> </w:t>
      </w:r>
      <w:r>
        <w:rPr/>
        <w:t>he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4"/>
        <w:jc w:val="both"/>
      </w:pPr>
      <w:r>
        <w:rPr/>
        <w:t>proved that bioavailability of some drugs has been improved by particle size reduction,</w:t>
      </w:r>
      <w:r>
        <w:rPr>
          <w:spacing w:val="1"/>
        </w:rPr>
        <w:t> </w:t>
      </w:r>
      <w:r>
        <w:rPr/>
        <w:t>and how the particle size reduction in recent years has been achieved. This is by the</w:t>
      </w:r>
      <w:r>
        <w:rPr>
          <w:spacing w:val="1"/>
        </w:rPr>
        <w:t> </w:t>
      </w:r>
      <w:r>
        <w:rPr/>
        <w:t>preparation of microcrystalline molecular dispersions of poorly soluble drugs in solid</w:t>
      </w:r>
      <w:r>
        <w:rPr>
          <w:spacing w:val="1"/>
        </w:rPr>
        <w:t> </w:t>
      </w:r>
      <w:r>
        <w:rPr/>
        <w:t>matrices</w:t>
      </w:r>
      <w:r>
        <w:rPr>
          <w:spacing w:val="-1"/>
        </w:rPr>
        <w:t> </w:t>
      </w:r>
      <w:r>
        <w:rPr/>
        <w:t>of water</w:t>
      </w:r>
      <w:r>
        <w:rPr>
          <w:spacing w:val="-2"/>
        </w:rPr>
        <w:t> </w:t>
      </w:r>
      <w:r>
        <w:rPr/>
        <w:t>soluble</w:t>
      </w:r>
      <w:r>
        <w:rPr>
          <w:spacing w:val="1"/>
        </w:rPr>
        <w:t> </w:t>
      </w:r>
      <w:r>
        <w:rPr/>
        <w:t>carriers.</w:t>
      </w:r>
    </w:p>
    <w:p>
      <w:pPr>
        <w:pStyle w:val="BodyText"/>
        <w:spacing w:line="480" w:lineRule="auto" w:before="199"/>
        <w:ind w:left="1325" w:right="1414"/>
        <w:jc w:val="both"/>
      </w:pPr>
      <w:r>
        <w:rPr/>
        <w:t>The crystal form in which a drug is presented for administration is an important factor</w:t>
      </w:r>
      <w:r>
        <w:rPr>
          <w:spacing w:val="1"/>
        </w:rPr>
        <w:t> </w:t>
      </w:r>
      <w:r>
        <w:rPr/>
        <w:t>influencing the bioavailability of drugs. The crystal form of a drug may change because</w:t>
      </w:r>
      <w:r>
        <w:rPr>
          <w:spacing w:val="1"/>
        </w:rPr>
        <w:t> </w:t>
      </w:r>
      <w:r>
        <w:rPr/>
        <w:t>the substance exhibits polymorphism. This has been reported to be relatively common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one-third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polymorphic forms which these substances exist, they can also occur in non-crystalline</w:t>
      </w:r>
      <w:r>
        <w:rPr>
          <w:spacing w:val="1"/>
        </w:rPr>
        <w:t> </w:t>
      </w:r>
      <w:r>
        <w:rPr/>
        <w:t>or amorphous form. The energy required to remove a molecule of drug from the crystal</w:t>
      </w:r>
      <w:r>
        <w:rPr>
          <w:spacing w:val="1"/>
        </w:rPr>
        <w:t> </w:t>
      </w:r>
      <w:r>
        <w:rPr/>
        <w:t>which it is located is greater than that required to escape from an amorphous powder.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(Poole, 1979).</w:t>
      </w:r>
      <w:r>
        <w:rPr>
          <w:spacing w:val="2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drug</w:t>
      </w:r>
      <w:r>
        <w:rPr>
          <w:spacing w:val="-1"/>
        </w:rPr>
        <w:t> </w:t>
      </w:r>
      <w:r>
        <w:rPr/>
        <w:t>with this property</w:t>
      </w:r>
      <w:r>
        <w:rPr>
          <w:spacing w:val="-5"/>
        </w:rPr>
        <w:t> </w:t>
      </w:r>
      <w:r>
        <w:rPr/>
        <w:t>is chloramphenicol.</w:t>
      </w:r>
    </w:p>
    <w:p>
      <w:pPr>
        <w:pStyle w:val="BodyText"/>
        <w:spacing w:line="480" w:lineRule="auto" w:before="201"/>
        <w:ind w:left="1325" w:right="1422"/>
        <w:jc w:val="both"/>
      </w:pPr>
      <w:r>
        <w:rPr/>
        <w:t>Complex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reversibly with</w:t>
      </w:r>
      <w:r>
        <w:rPr>
          <w:spacing w:val="1"/>
        </w:rPr>
        <w:t> </w:t>
      </w:r>
      <w:r>
        <w:rPr/>
        <w:t>substances present in the body, with other drugs or with pharmacologically inactive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membranes will be hindered thus become pharmacologically inactive since dissolution</w:t>
      </w:r>
      <w:r>
        <w:rPr>
          <w:spacing w:val="1"/>
        </w:rPr>
        <w:t> </w:t>
      </w:r>
      <w:r>
        <w:rPr/>
        <w:t>prior to absorption fails to occur (Poole, 1979). The effect of complexation of a drug on</w:t>
      </w:r>
      <w:r>
        <w:rPr>
          <w:spacing w:val="1"/>
        </w:rPr>
        <w:t> </w:t>
      </w:r>
      <w:r>
        <w:rPr/>
        <w:t>absorption depends on the</w:t>
      </w:r>
      <w:r>
        <w:rPr>
          <w:spacing w:val="-1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stability</w:t>
      </w:r>
      <w:r>
        <w:rPr>
          <w:spacing w:val="-5"/>
        </w:rPr>
        <w:t> </w:t>
      </w:r>
      <w:r>
        <w:rPr/>
        <w:t>of the complex.</w:t>
      </w:r>
    </w:p>
    <w:p>
      <w:pPr>
        <w:pStyle w:val="BodyText"/>
        <w:spacing w:line="480" w:lineRule="auto" w:before="200"/>
        <w:ind w:left="1325" w:right="1417"/>
        <w:jc w:val="both"/>
      </w:pP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absorption and subsequently bioavailability. These excipients may either facilitate or</w:t>
      </w:r>
      <w:r>
        <w:rPr>
          <w:spacing w:val="1"/>
        </w:rPr>
        <w:t> </w:t>
      </w:r>
      <w:r>
        <w:rPr/>
        <w:t>inhibit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absorption</w:t>
      </w:r>
      <w:r>
        <w:rPr>
          <w:spacing w:val="42"/>
        </w:rPr>
        <w:t> </w:t>
      </w:r>
      <w:r>
        <w:rPr/>
        <w:t>process.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importance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excipients</w:t>
      </w:r>
      <w:r>
        <w:rPr>
          <w:spacing w:val="45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determination</w:t>
      </w:r>
      <w:r>
        <w:rPr>
          <w:spacing w:val="4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9"/>
        <w:jc w:val="both"/>
      </w:pPr>
      <w:r>
        <w:rPr/>
        <w:t>final drug effect was demonstrated by the outbreak of phenytoin toxicity in Australia.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„Dilantin‟</w:t>
      </w:r>
      <w:r>
        <w:rPr>
          <w:spacing w:val="1"/>
        </w:rPr>
        <w:t> </w:t>
      </w:r>
      <w:r>
        <w:rPr/>
        <w:t>capsules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inert</w:t>
      </w:r>
      <w:r>
        <w:rPr>
          <w:spacing w:val="1"/>
        </w:rPr>
        <w:t> </w:t>
      </w:r>
      <w:r>
        <w:rPr/>
        <w:t>excipient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given</w:t>
      </w:r>
      <w:r>
        <w:rPr>
          <w:spacing w:val="1"/>
        </w:rPr>
        <w:t> </w:t>
      </w:r>
      <w:r>
        <w:rPr/>
        <w:t>capsules containing some quantity of active compound but with the calcium sulphate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inert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complexed</w:t>
      </w:r>
      <w:r>
        <w:rPr>
          <w:spacing w:val="-1"/>
        </w:rPr>
        <w:t> </w:t>
      </w:r>
      <w:r>
        <w:rPr/>
        <w:t>with phenytoin reducing</w:t>
      </w:r>
      <w:r>
        <w:rPr>
          <w:spacing w:val="-3"/>
        </w:rPr>
        <w:t> </w:t>
      </w:r>
      <w:r>
        <w:rPr/>
        <w:t>absorption.</w:t>
      </w:r>
    </w:p>
    <w:p>
      <w:pPr>
        <w:pStyle w:val="BodyText"/>
        <w:spacing w:line="480" w:lineRule="auto" w:before="200"/>
        <w:ind w:left="1325" w:right="1412"/>
        <w:jc w:val="both"/>
      </w:pPr>
      <w:r>
        <w:rPr/>
        <w:t>Interaction between drugs and dosage forms may influence the bioavailability of a drug.</w:t>
      </w:r>
      <w:r>
        <w:rPr>
          <w:spacing w:val="-57"/>
        </w:rPr>
        <w:t> </w:t>
      </w:r>
      <w:r>
        <w:rPr/>
        <w:t>Such interactions may be directly as in the chelation of tetracycline by polyvalent metal</w:t>
      </w:r>
      <w:r>
        <w:rPr>
          <w:spacing w:val="1"/>
        </w:rPr>
        <w:t> </w:t>
      </w:r>
      <w:r>
        <w:rPr/>
        <w:t>ions or indirectly as with the increased rate of acetaminophen (paracetamol) absorption</w:t>
      </w:r>
      <w:r>
        <w:rPr>
          <w:spacing w:val="1"/>
        </w:rPr>
        <w:t> </w:t>
      </w:r>
      <w:r>
        <w:rPr/>
        <w:t>due to the stimulating effect of metoclopromide on the stomach emptying rate. However</w:t>
      </w:r>
      <w:r>
        <w:rPr>
          <w:spacing w:val="-57"/>
        </w:rPr>
        <w:t> </w:t>
      </w:r>
      <w:r>
        <w:rPr/>
        <w:t>propantheline reduced the rate of acetaminophen absorption by delaying the stomach</w:t>
      </w:r>
      <w:r>
        <w:rPr>
          <w:spacing w:val="1"/>
        </w:rPr>
        <w:t> </w:t>
      </w:r>
      <w:r>
        <w:rPr/>
        <w:t>emptying</w:t>
      </w:r>
      <w:r>
        <w:rPr>
          <w:spacing w:val="-4"/>
        </w:rPr>
        <w:t> </w:t>
      </w:r>
      <w:r>
        <w:rPr/>
        <w:t>rate</w:t>
      </w:r>
      <w:r>
        <w:rPr>
          <w:spacing w:val="-1"/>
        </w:rPr>
        <w:t> </w:t>
      </w:r>
      <w:r>
        <w:rPr/>
        <w:t>(Welling,</w:t>
      </w:r>
      <w:r>
        <w:rPr>
          <w:spacing w:val="2"/>
        </w:rPr>
        <w:t> </w:t>
      </w:r>
      <w:r>
        <w:rPr/>
        <w:t>1980).</w:t>
      </w:r>
    </w:p>
    <w:p>
      <w:pPr>
        <w:pStyle w:val="BodyText"/>
        <w:spacing w:line="480" w:lineRule="auto" w:before="200"/>
        <w:ind w:left="1325" w:right="1411"/>
        <w:jc w:val="both"/>
      </w:pPr>
      <w:r>
        <w:rPr/>
        <w:t>Influence of food and specific dietary components on drug absorption was extensively</w:t>
      </w:r>
      <w:r>
        <w:rPr>
          <w:spacing w:val="1"/>
        </w:rPr>
        <w:t> </w:t>
      </w:r>
      <w:r>
        <w:rPr/>
        <w:t>reviewed (Welling, 1977). It reflects the complex and unpredictable nature of drug-food</w:t>
      </w:r>
      <w:r>
        <w:rPr>
          <w:spacing w:val="-57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difficulty of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optimum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decrease,</w:t>
      </w:r>
      <w:r>
        <w:rPr>
          <w:spacing w:val="60"/>
        </w:rPr>
        <w:t> </w:t>
      </w:r>
      <w:r>
        <w:rPr/>
        <w:t>delay,</w:t>
      </w:r>
      <w:r>
        <w:rPr>
          <w:spacing w:val="1"/>
        </w:rPr>
        <w:t> </w:t>
      </w:r>
      <w:r>
        <w:rPr/>
        <w:t>increase and often not to affect drug absorption. Observed effects have been influenced</w:t>
      </w:r>
      <w:r>
        <w:rPr>
          <w:spacing w:val="1"/>
        </w:rPr>
        <w:t> </w:t>
      </w:r>
      <w:r>
        <w:rPr/>
        <w:t>by the type of drug and dosage form, the nature and size of meal, fluid intake, the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subject and the</w:t>
      </w:r>
      <w:r>
        <w:rPr>
          <w:spacing w:val="-2"/>
        </w:rPr>
        <w:t> </w:t>
      </w:r>
      <w:r>
        <w:rPr/>
        <w:t>time sequence</w:t>
      </w:r>
      <w:r>
        <w:rPr>
          <w:spacing w:val="-2"/>
        </w:rPr>
        <w:t> </w:t>
      </w:r>
      <w:r>
        <w:rPr/>
        <w:t>between eating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administration.</w:t>
      </w:r>
    </w:p>
    <w:p>
      <w:pPr>
        <w:pStyle w:val="BodyText"/>
        <w:spacing w:line="480" w:lineRule="auto" w:before="200"/>
        <w:ind w:left="1325" w:right="1421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volunteers, drugs are administered in practice to patients who may be suffering from</w:t>
      </w:r>
      <w:r>
        <w:rPr>
          <w:spacing w:val="1"/>
        </w:rPr>
        <w:t> </w:t>
      </w:r>
      <w:r>
        <w:rPr/>
        <w:t>various ailments. Diseases concerning the gastrointestinal tract, cardiovascular system</w:t>
      </w:r>
      <w:r>
        <w:rPr>
          <w:spacing w:val="1"/>
        </w:rPr>
        <w:t> </w:t>
      </w:r>
      <w:r>
        <w:rPr/>
        <w:t>and liver may alter the circulating drug or metabolite level after oral dosing. Surgical</w:t>
      </w:r>
      <w:r>
        <w:rPr>
          <w:spacing w:val="1"/>
        </w:rPr>
        <w:t> </w:t>
      </w:r>
      <w:r>
        <w:rPr/>
        <w:t>removal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parts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gastrointestinal</w:t>
      </w:r>
      <w:r>
        <w:rPr>
          <w:spacing w:val="4"/>
        </w:rPr>
        <w:t> </w:t>
      </w:r>
      <w:r>
        <w:rPr/>
        <w:t>tract</w:t>
      </w:r>
      <w:r>
        <w:rPr>
          <w:spacing w:val="6"/>
        </w:rPr>
        <w:t> </w:t>
      </w:r>
      <w:r>
        <w:rPr/>
        <w:t>reduces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absorption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most</w:t>
      </w:r>
      <w:r>
        <w:rPr>
          <w:spacing w:val="5"/>
        </w:rPr>
        <w:t> </w:t>
      </w:r>
      <w:r>
        <w:rPr/>
        <w:t>compounds,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17"/>
      </w:pP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patients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have</w:t>
      </w:r>
      <w:r>
        <w:rPr>
          <w:spacing w:val="5"/>
        </w:rPr>
        <w:t> </w:t>
      </w:r>
      <w:r>
        <w:rPr/>
        <w:t>undergone</w:t>
      </w:r>
      <w:r>
        <w:rPr>
          <w:spacing w:val="2"/>
        </w:rPr>
        <w:t> </w:t>
      </w:r>
      <w:r>
        <w:rPr/>
        <w:t>such</w:t>
      </w:r>
      <w:r>
        <w:rPr>
          <w:spacing w:val="6"/>
        </w:rPr>
        <w:t> </w:t>
      </w:r>
      <w:r>
        <w:rPr/>
        <w:t>procedures</w:t>
      </w:r>
      <w:r>
        <w:rPr>
          <w:spacing w:val="4"/>
        </w:rPr>
        <w:t> </w:t>
      </w:r>
      <w:r>
        <w:rPr/>
        <w:t>may</w:t>
      </w:r>
      <w:r>
        <w:rPr>
          <w:spacing w:val="1"/>
        </w:rPr>
        <w:t> </w:t>
      </w:r>
      <w:r>
        <w:rPr/>
        <w:t>need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3"/>
        </w:rPr>
        <w:t> </w:t>
      </w:r>
      <w:r>
        <w:rPr/>
        <w:t>monitored</w:t>
      </w:r>
      <w:r>
        <w:rPr>
          <w:spacing w:val="-57"/>
        </w:rPr>
        <w:t> </w:t>
      </w:r>
      <w:r>
        <w:rPr/>
        <w:t>carefully</w:t>
      </w:r>
      <w:r>
        <w:rPr>
          <w:spacing w:val="-4"/>
        </w:rPr>
        <w:t> </w:t>
      </w:r>
      <w:r>
        <w:rPr/>
        <w:t>when taking</w:t>
      </w:r>
      <w:r>
        <w:rPr>
          <w:spacing w:val="-3"/>
        </w:rPr>
        <w:t> </w:t>
      </w:r>
      <w:r>
        <w:rPr/>
        <w:t>drugs while</w:t>
      </w:r>
      <w:r>
        <w:rPr>
          <w:spacing w:val="1"/>
        </w:rPr>
        <w:t> </w:t>
      </w:r>
      <w:r>
        <w:rPr/>
        <w:t>absorption efficiency</w:t>
      </w:r>
      <w:r>
        <w:rPr>
          <w:spacing w:val="-5"/>
        </w:rPr>
        <w:t> </w:t>
      </w:r>
      <w:r>
        <w:rPr/>
        <w:t>is critical.</w:t>
      </w:r>
    </w:p>
    <w:p>
      <w:pPr>
        <w:spacing w:after="0" w:line="482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1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7"/>
        </w:numPr>
        <w:tabs>
          <w:tab w:pos="4163" w:val="left" w:leader="none"/>
        </w:tabs>
        <w:spacing w:line="240" w:lineRule="auto" w:before="176" w:after="0"/>
        <w:ind w:left="4162" w:right="0" w:hanging="361"/>
        <w:jc w:val="left"/>
      </w:pPr>
      <w:bookmarkStart w:name="_TOC_250019" w:id="23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3"/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7"/>
        </w:numPr>
        <w:tabs>
          <w:tab w:pos="5265" w:val="left" w:leader="none"/>
        </w:tabs>
        <w:spacing w:line="240" w:lineRule="auto" w:before="177" w:after="0"/>
        <w:ind w:left="5264" w:right="0" w:hanging="361"/>
        <w:jc w:val="left"/>
      </w:pPr>
      <w:bookmarkStart w:name="_TOC_250018" w:id="24"/>
      <w:bookmarkEnd w:id="24"/>
      <w:r>
        <w:rPr/>
        <w:t>Materials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046" w:val="left" w:leader="none"/>
        </w:tabs>
        <w:spacing w:line="240" w:lineRule="auto" w:before="0" w:after="0"/>
        <w:ind w:left="2045" w:right="0" w:hanging="721"/>
        <w:jc w:val="both"/>
        <w:rPr>
          <w:sz w:val="24"/>
        </w:rPr>
      </w:pP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site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6"/>
        <w:jc w:val="both"/>
      </w:pPr>
      <w:r>
        <w:rPr/>
        <w:t>The Faculty is located opposite the University sick bay and adjacent to</w:t>
      </w:r>
      <w:r>
        <w:rPr>
          <w:spacing w:val="1"/>
        </w:rPr>
        <w:t> </w:t>
      </w:r>
      <w:r>
        <w:rPr/>
        <w:t>Faculty of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comprises of five (5) Departments and five (5) tiers of classes with a population of 854</w:t>
      </w:r>
      <w:r>
        <w:rPr>
          <w:spacing w:val="1"/>
        </w:rPr>
        <w:t> </w:t>
      </w:r>
      <w:r>
        <w:rPr/>
        <w:t>undergraduate</w:t>
      </w:r>
      <w:r>
        <w:rPr>
          <w:spacing w:val="-1"/>
        </w:rPr>
        <w:t> </w:t>
      </w:r>
      <w:r>
        <w:rPr/>
        <w:t>students.</w:t>
      </w:r>
    </w:p>
    <w:p>
      <w:pPr>
        <w:pStyle w:val="ListParagraph"/>
        <w:numPr>
          <w:ilvl w:val="2"/>
          <w:numId w:val="18"/>
        </w:numPr>
        <w:tabs>
          <w:tab w:pos="2046" w:val="left" w:leader="none"/>
        </w:tabs>
        <w:spacing w:line="240" w:lineRule="auto" w:before="202" w:after="0"/>
        <w:ind w:left="2045" w:right="0" w:hanging="721"/>
        <w:jc w:val="both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volunteers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7"/>
        <w:ind w:left="1325" w:right="1415"/>
        <w:jc w:val="both"/>
      </w:pPr>
      <w:r>
        <w:rPr/>
        <w:t>Twelve</w:t>
      </w:r>
      <w:r>
        <w:rPr>
          <w:spacing w:val="1"/>
        </w:rPr>
        <w:t> </w:t>
      </w:r>
      <w:r>
        <w:rPr/>
        <w:t>(12)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volunteers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20-29</w:t>
      </w:r>
      <w:r>
        <w:rPr>
          <w:spacing w:val="1"/>
        </w:rPr>
        <w:t> </w:t>
      </w:r>
      <w:r>
        <w:rPr/>
        <w:t>years,</w:t>
      </w:r>
      <w:r>
        <w:rPr>
          <w:spacing w:val="60"/>
        </w:rPr>
        <w:t> </w:t>
      </w:r>
      <w:r>
        <w:rPr/>
        <w:t>seven</w:t>
      </w:r>
      <w:r>
        <w:rPr>
          <w:spacing w:val="60"/>
        </w:rPr>
        <w:t> </w:t>
      </w:r>
      <w:r>
        <w:rPr/>
        <w:t>(7)</w:t>
      </w:r>
      <w:r>
        <w:rPr>
          <w:spacing w:val="1"/>
        </w:rPr>
        <w:t> </w:t>
      </w:r>
      <w:r>
        <w:rPr/>
        <w:t>females and five (5) males participated in the study. They were undergraduate students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</w:t>
      </w:r>
      <w:r>
        <w:rPr>
          <w:spacing w:val="2"/>
        </w:rPr>
        <w:t> </w:t>
      </w:r>
      <w:r>
        <w:rPr/>
        <w:t>Sciences of</w:t>
      </w:r>
      <w:r>
        <w:rPr>
          <w:spacing w:val="-1"/>
        </w:rPr>
        <w:t> </w:t>
      </w:r>
      <w:r>
        <w:rPr/>
        <w:t>Ahmadu Bello University,</w:t>
      </w:r>
      <w:r>
        <w:rPr>
          <w:spacing w:val="1"/>
        </w:rPr>
        <w:t> </w:t>
      </w:r>
      <w:r>
        <w:rPr/>
        <w:t>Zaria.</w:t>
      </w:r>
    </w:p>
    <w:p>
      <w:pPr>
        <w:pStyle w:val="ListParagraph"/>
        <w:numPr>
          <w:ilvl w:val="3"/>
          <w:numId w:val="18"/>
        </w:numPr>
        <w:tabs>
          <w:tab w:pos="2046" w:val="left" w:leader="none"/>
        </w:tabs>
        <w:spacing w:line="240" w:lineRule="auto" w:before="193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Recruitment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volunteers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325" w:right="1416" w:firstLine="59"/>
        <w:jc w:val="both"/>
      </w:pPr>
      <w:r>
        <w:rPr/>
        <w:t>Prior to the study,</w:t>
      </w:r>
      <w:r>
        <w:rPr>
          <w:spacing w:val="1"/>
        </w:rPr>
        <w:t> </w:t>
      </w:r>
      <w:r>
        <w:rPr/>
        <w:t>the 400L and 500L undergraduate classes were briefed on the study,</w:t>
      </w:r>
      <w:r>
        <w:rPr>
          <w:spacing w:val="-57"/>
        </w:rPr>
        <w:t> </w:t>
      </w:r>
      <w:r>
        <w:rPr/>
        <w:t>about 20 students showed interest in the exercise but after complete orientation on 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 protocol,</w:t>
      </w:r>
      <w:r>
        <w:rPr>
          <w:spacing w:val="1"/>
        </w:rPr>
        <w:t> </w:t>
      </w:r>
      <w:r>
        <w:rPr/>
        <w:t>they were subjected to the</w:t>
      </w:r>
      <w:r>
        <w:rPr>
          <w:spacing w:val="60"/>
        </w:rPr>
        <w:t> </w:t>
      </w:r>
      <w:r>
        <w:rPr/>
        <w:t>inclusion and exclusion criteria, we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able to</w:t>
      </w:r>
      <w:r>
        <w:rPr>
          <w:spacing w:val="2"/>
        </w:rPr>
        <w:t> </w:t>
      </w:r>
      <w:r>
        <w:rPr/>
        <w:t>get</w:t>
      </w:r>
      <w:r>
        <w:rPr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volunteers</w:t>
      </w:r>
      <w:r>
        <w:rPr>
          <w:spacing w:val="-1"/>
        </w:rPr>
        <w:t> </w:t>
      </w:r>
      <w:r>
        <w:rPr/>
        <w:t>that satisfied the</w:t>
      </w:r>
      <w:r>
        <w:rPr>
          <w:spacing w:val="-1"/>
        </w:rPr>
        <w:t> </w:t>
      </w:r>
      <w:r>
        <w:rPr/>
        <w:t>inclusion criteria.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18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Inclusion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criteria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pStyle w:val="BodyText"/>
        <w:ind w:left="1385"/>
        <w:jc w:val="both"/>
      </w:pPr>
      <w:r>
        <w:rPr/>
        <w:t>Students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able</w:t>
      </w:r>
      <w:r>
        <w:rPr>
          <w:spacing w:val="1"/>
        </w:rPr>
        <w:t> </w:t>
      </w:r>
      <w:r>
        <w:rPr/>
        <w:t>to satisfy</w:t>
      </w:r>
      <w:r>
        <w:rPr>
          <w:spacing w:val="-5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enrolled: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240" w:lineRule="auto" w:before="1" w:after="0"/>
        <w:ind w:left="2045" w:right="0" w:hanging="488"/>
        <w:jc w:val="left"/>
        <w:rPr>
          <w:sz w:val="24"/>
        </w:rPr>
      </w:pPr>
      <w:r>
        <w:rPr>
          <w:sz w:val="24"/>
        </w:rPr>
        <w:t>Non</w:t>
      </w:r>
      <w:r>
        <w:rPr>
          <w:spacing w:val="58"/>
          <w:sz w:val="24"/>
        </w:rPr>
        <w:t> </w:t>
      </w:r>
      <w:r>
        <w:rPr>
          <w:sz w:val="24"/>
        </w:rPr>
        <w:t>smokers or</w:t>
      </w:r>
      <w:r>
        <w:rPr>
          <w:spacing w:val="-2"/>
          <w:sz w:val="24"/>
        </w:rPr>
        <w:t> </w:t>
      </w:r>
      <w:r>
        <w:rPr>
          <w:sz w:val="24"/>
        </w:rPr>
        <w:t>non alcoholics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480" w:lineRule="auto" w:before="72" w:after="0"/>
        <w:ind w:left="2045" w:right="1417" w:hanging="555"/>
        <w:jc w:val="left"/>
        <w:rPr>
          <w:sz w:val="24"/>
        </w:rPr>
      </w:pPr>
      <w:r>
        <w:rPr>
          <w:sz w:val="24"/>
        </w:rPr>
        <w:t>Not</w:t>
      </w:r>
      <w:r>
        <w:rPr>
          <w:spacing w:val="43"/>
          <w:sz w:val="24"/>
        </w:rPr>
        <w:t> </w:t>
      </w:r>
      <w:r>
        <w:rPr>
          <w:sz w:val="24"/>
        </w:rPr>
        <w:t>taken</w:t>
      </w:r>
      <w:r>
        <w:rPr>
          <w:spacing w:val="44"/>
          <w:sz w:val="24"/>
        </w:rPr>
        <w:t> </w:t>
      </w:r>
      <w:r>
        <w:rPr>
          <w:sz w:val="24"/>
        </w:rPr>
        <w:t>Paracetamol</w:t>
      </w:r>
      <w:r>
        <w:rPr>
          <w:spacing w:val="46"/>
          <w:sz w:val="24"/>
        </w:rPr>
        <w:t> </w:t>
      </w:r>
      <w:r>
        <w:rPr>
          <w:sz w:val="24"/>
        </w:rPr>
        <w:t>or</w:t>
      </w:r>
      <w:r>
        <w:rPr>
          <w:spacing w:val="42"/>
          <w:sz w:val="24"/>
        </w:rPr>
        <w:t> </w:t>
      </w:r>
      <w:r>
        <w:rPr>
          <w:sz w:val="24"/>
        </w:rPr>
        <w:t>any</w:t>
      </w:r>
      <w:r>
        <w:rPr>
          <w:spacing w:val="41"/>
          <w:sz w:val="24"/>
        </w:rPr>
        <w:t> </w:t>
      </w:r>
      <w:r>
        <w:rPr>
          <w:sz w:val="24"/>
        </w:rPr>
        <w:t>drug</w:t>
      </w:r>
      <w:r>
        <w:rPr>
          <w:spacing w:val="41"/>
          <w:sz w:val="24"/>
        </w:rPr>
        <w:t> </w:t>
      </w:r>
      <w:r>
        <w:rPr>
          <w:sz w:val="24"/>
        </w:rPr>
        <w:t>with</w:t>
      </w:r>
      <w:r>
        <w:rPr>
          <w:spacing w:val="43"/>
          <w:sz w:val="24"/>
        </w:rPr>
        <w:t> </w:t>
      </w:r>
      <w:r>
        <w:rPr>
          <w:sz w:val="24"/>
        </w:rPr>
        <w:t>paracetamol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preceeding</w:t>
      </w:r>
      <w:r>
        <w:rPr>
          <w:spacing w:val="41"/>
          <w:sz w:val="24"/>
        </w:rPr>
        <w:t> </w:t>
      </w:r>
      <w:r>
        <w:rPr>
          <w:sz w:val="24"/>
        </w:rPr>
        <w:t>two</w:t>
      </w:r>
      <w:r>
        <w:rPr>
          <w:spacing w:val="-57"/>
          <w:sz w:val="24"/>
        </w:rPr>
        <w:t> </w:t>
      </w:r>
      <w:r>
        <w:rPr>
          <w:sz w:val="24"/>
        </w:rPr>
        <w:t>weeks</w:t>
      </w: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620"/>
        <w:jc w:val="left"/>
        <w:rPr>
          <w:sz w:val="24"/>
        </w:rPr>
      </w:pP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apparent liver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480" w:lineRule="auto" w:before="0" w:after="0"/>
        <w:ind w:left="2045" w:right="1418" w:hanging="608"/>
        <w:jc w:val="left"/>
        <w:rPr>
          <w:sz w:val="24"/>
        </w:rPr>
      </w:pPr>
      <w:r>
        <w:rPr>
          <w:sz w:val="24"/>
        </w:rPr>
        <w:t>Agreed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fast</w:t>
      </w:r>
      <w:r>
        <w:rPr>
          <w:spacing w:val="16"/>
          <w:sz w:val="24"/>
        </w:rPr>
        <w:t> </w:t>
      </w:r>
      <w:r>
        <w:rPr>
          <w:sz w:val="24"/>
        </w:rPr>
        <w:t>over</w:t>
      </w:r>
      <w:r>
        <w:rPr>
          <w:spacing w:val="18"/>
          <w:sz w:val="24"/>
        </w:rPr>
        <w:t> </w:t>
      </w:r>
      <w:r>
        <w:rPr>
          <w:sz w:val="24"/>
        </w:rPr>
        <w:t>night</w:t>
      </w:r>
      <w:r>
        <w:rPr>
          <w:spacing w:val="16"/>
          <w:sz w:val="24"/>
        </w:rPr>
        <w:t> </w:t>
      </w:r>
      <w:r>
        <w:rPr>
          <w:sz w:val="24"/>
        </w:rPr>
        <w:t>before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exercise</w:t>
      </w:r>
      <w:r>
        <w:rPr>
          <w:spacing w:val="16"/>
          <w:sz w:val="24"/>
        </w:rPr>
        <w:t> </w:t>
      </w:r>
      <w:r>
        <w:rPr>
          <w:sz w:val="24"/>
        </w:rPr>
        <w:t>begins;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throughout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period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sample collection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8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Exclusion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criteria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ind w:left="1385"/>
      </w:pP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excluded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if</w:t>
      </w:r>
      <w:r>
        <w:rPr>
          <w:spacing w:val="-1"/>
        </w:rPr>
        <w:t> </w:t>
      </w:r>
      <w:r>
        <w:rPr/>
        <w:t>they: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488"/>
        <w:jc w:val="left"/>
        <w:rPr>
          <w:sz w:val="24"/>
        </w:rPr>
      </w:pPr>
      <w:r>
        <w:rPr>
          <w:sz w:val="24"/>
        </w:rPr>
        <w:t>Smoke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drink alcohol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480" w:lineRule="auto" w:before="0" w:after="0"/>
        <w:ind w:left="2045" w:right="1412" w:hanging="555"/>
        <w:jc w:val="left"/>
        <w:rPr>
          <w:sz w:val="24"/>
        </w:rPr>
      </w:pPr>
      <w:r>
        <w:rPr>
          <w:sz w:val="24"/>
        </w:rPr>
        <w:t>Had</w:t>
      </w:r>
      <w:r>
        <w:rPr>
          <w:spacing w:val="37"/>
          <w:sz w:val="24"/>
        </w:rPr>
        <w:t> </w:t>
      </w:r>
      <w:r>
        <w:rPr>
          <w:sz w:val="24"/>
        </w:rPr>
        <w:t>taken</w:t>
      </w:r>
      <w:r>
        <w:rPr>
          <w:spacing w:val="38"/>
          <w:sz w:val="24"/>
        </w:rPr>
        <w:t> </w:t>
      </w:r>
      <w:r>
        <w:rPr>
          <w:sz w:val="24"/>
        </w:rPr>
        <w:t>paracetamol</w:t>
      </w:r>
      <w:r>
        <w:rPr>
          <w:spacing w:val="40"/>
          <w:sz w:val="24"/>
        </w:rPr>
        <w:t> </w:t>
      </w:r>
      <w:r>
        <w:rPr>
          <w:sz w:val="24"/>
        </w:rPr>
        <w:t>or</w:t>
      </w:r>
      <w:r>
        <w:rPr>
          <w:spacing w:val="37"/>
          <w:sz w:val="24"/>
        </w:rPr>
        <w:t> </w:t>
      </w:r>
      <w:r>
        <w:rPr>
          <w:sz w:val="24"/>
        </w:rPr>
        <w:t>any</w:t>
      </w:r>
      <w:r>
        <w:rPr>
          <w:spacing w:val="33"/>
          <w:sz w:val="24"/>
        </w:rPr>
        <w:t> </w:t>
      </w:r>
      <w:r>
        <w:rPr>
          <w:sz w:val="24"/>
        </w:rPr>
        <w:t>drug</w:t>
      </w:r>
      <w:r>
        <w:rPr>
          <w:spacing w:val="37"/>
          <w:sz w:val="24"/>
        </w:rPr>
        <w:t> </w:t>
      </w:r>
      <w:r>
        <w:rPr>
          <w:sz w:val="24"/>
        </w:rPr>
        <w:t>containing</w:t>
      </w:r>
      <w:r>
        <w:rPr>
          <w:spacing w:val="41"/>
          <w:sz w:val="24"/>
        </w:rPr>
        <w:t> </w:t>
      </w:r>
      <w:r>
        <w:rPr>
          <w:sz w:val="24"/>
        </w:rPr>
        <w:t>paracetamol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preceeding</w:t>
      </w:r>
      <w:r>
        <w:rPr>
          <w:spacing w:val="-57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weeks</w:t>
      </w: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240" w:lineRule="auto" w:before="1" w:after="0"/>
        <w:ind w:left="2045" w:right="0" w:hanging="620"/>
        <w:jc w:val="left"/>
        <w:rPr>
          <w:sz w:val="24"/>
        </w:rPr>
      </w:pPr>
      <w:r>
        <w:rPr>
          <w:sz w:val="24"/>
        </w:rPr>
        <w:t>Could</w:t>
      </w:r>
      <w:r>
        <w:rPr>
          <w:spacing w:val="-2"/>
          <w:sz w:val="24"/>
        </w:rPr>
        <w:t> </w:t>
      </w:r>
      <w:r>
        <w:rPr>
          <w:sz w:val="24"/>
        </w:rPr>
        <w:t>not fast</w:t>
      </w:r>
      <w:r>
        <w:rPr>
          <w:spacing w:val="-1"/>
          <w:sz w:val="24"/>
        </w:rPr>
        <w:t> </w:t>
      </w:r>
      <w:r>
        <w:rPr>
          <w:sz w:val="24"/>
        </w:rPr>
        <w:t>overnight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105" w:val="left" w:leader="none"/>
          <w:tab w:pos="2106" w:val="left" w:leader="none"/>
        </w:tabs>
        <w:spacing w:line="240" w:lineRule="auto" w:before="0" w:after="0"/>
        <w:ind w:left="2105" w:right="0" w:hanging="781"/>
        <w:jc w:val="left"/>
        <w:rPr>
          <w:sz w:val="24"/>
        </w:rPr>
      </w:pPr>
      <w:r>
        <w:rPr>
          <w:sz w:val="24"/>
        </w:rPr>
        <w:t>Drugs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325" w:right="2386"/>
      </w:pPr>
      <w:r>
        <w:rPr/>
        <w:t>Panadol</w:t>
      </w:r>
      <w:r>
        <w:rPr>
          <w:vertAlign w:val="superscript"/>
        </w:rPr>
        <w:t>®</w:t>
      </w:r>
      <w:r>
        <w:rPr>
          <w:vertAlign w:val="baseline"/>
        </w:rPr>
        <w:t> tablets (GlaxoSmithkline Ltd); Batch No. 093U, 084U, 067U.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 (GlaxoSmithKline</w:t>
      </w:r>
      <w:r>
        <w:rPr>
          <w:spacing w:val="1"/>
          <w:vertAlign w:val="baseline"/>
        </w:rPr>
        <w:t> </w:t>
      </w:r>
      <w:r>
        <w:rPr>
          <w:vertAlign w:val="baseline"/>
        </w:rPr>
        <w:t>Ltd);</w:t>
      </w:r>
      <w:r>
        <w:rPr>
          <w:spacing w:val="-1"/>
          <w:vertAlign w:val="baseline"/>
        </w:rPr>
        <w:t> </w:t>
      </w:r>
      <w:r>
        <w:rPr>
          <w:vertAlign w:val="baseline"/>
        </w:rPr>
        <w:t>Batch</w:t>
      </w:r>
      <w:r>
        <w:rPr>
          <w:spacing w:val="-1"/>
          <w:vertAlign w:val="baseline"/>
        </w:rPr>
        <w:t> </w:t>
      </w:r>
      <w:r>
        <w:rPr>
          <w:vertAlign w:val="baseline"/>
        </w:rPr>
        <w:t>No.</w:t>
      </w:r>
      <w:r>
        <w:rPr>
          <w:spacing w:val="-1"/>
          <w:vertAlign w:val="baseline"/>
        </w:rPr>
        <w:t> </w:t>
      </w:r>
      <w:r>
        <w:rPr>
          <w:vertAlign w:val="baseline"/>
        </w:rPr>
        <w:t>196U,</w:t>
      </w:r>
      <w:r>
        <w:rPr>
          <w:spacing w:val="-1"/>
          <w:vertAlign w:val="baseline"/>
        </w:rPr>
        <w:t> </w:t>
      </w:r>
      <w:r>
        <w:rPr>
          <w:vertAlign w:val="baseline"/>
        </w:rPr>
        <w:t>134U,</w:t>
      </w:r>
      <w:r>
        <w:rPr>
          <w:spacing w:val="-1"/>
          <w:vertAlign w:val="baseline"/>
        </w:rPr>
        <w:t> </w:t>
      </w:r>
      <w:r>
        <w:rPr>
          <w:vertAlign w:val="baseline"/>
        </w:rPr>
        <w:t>004U.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8"/>
        </w:numPr>
        <w:tabs>
          <w:tab w:pos="1926" w:val="left" w:leader="none"/>
        </w:tabs>
        <w:spacing w:line="240" w:lineRule="auto" w:before="0" w:after="0"/>
        <w:ind w:left="1925" w:right="0" w:hanging="541"/>
        <w:jc w:val="left"/>
        <w:rPr>
          <w:sz w:val="24"/>
        </w:rPr>
      </w:pPr>
      <w:r>
        <w:rPr>
          <w:sz w:val="24"/>
        </w:rPr>
        <w:t>Chemicals</w:t>
      </w:r>
    </w:p>
    <w:p>
      <w:pPr>
        <w:pStyle w:val="BodyText"/>
        <w:spacing w:before="6"/>
      </w:pPr>
    </w:p>
    <w:p>
      <w:pPr>
        <w:pStyle w:val="BodyText"/>
        <w:spacing w:line="460" w:lineRule="auto"/>
        <w:ind w:left="2045" w:right="1410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15%</w:t>
      </w:r>
      <w:r>
        <w:rPr>
          <w:spacing w:val="1"/>
        </w:rPr>
        <w:t> </w:t>
      </w:r>
      <w:r>
        <w:rPr/>
        <w:t>Trichloroacetic</w:t>
      </w:r>
      <w:r>
        <w:rPr>
          <w:spacing w:val="1"/>
        </w:rPr>
        <w:t> </w:t>
      </w:r>
      <w:r>
        <w:rPr/>
        <w:t>Acid</w:t>
      </w:r>
      <w:r>
        <w:rPr>
          <w:spacing w:val="4"/>
        </w:rPr>
        <w:t> </w:t>
      </w:r>
      <w:r>
        <w:rPr/>
        <w:t>(C</w:t>
      </w:r>
      <w:r>
        <w:rPr>
          <w:vertAlign w:val="subscript"/>
        </w:rPr>
        <w:t>2</w:t>
      </w:r>
      <w:r>
        <w:rPr>
          <w:vertAlign w:val="baseline"/>
        </w:rPr>
        <w:t>HCl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MW</w:t>
      </w:r>
      <w:r>
        <w:rPr>
          <w:spacing w:val="4"/>
          <w:vertAlign w:val="baseline"/>
        </w:rPr>
        <w:t> </w:t>
      </w:r>
      <w:r>
        <w:rPr>
          <w:vertAlign w:val="baseline"/>
        </w:rPr>
        <w:t>163.39)</w:t>
      </w:r>
      <w:r>
        <w:rPr>
          <w:spacing w:val="2"/>
          <w:vertAlign w:val="baseline"/>
        </w:rPr>
        <w:t> </w:t>
      </w:r>
      <w:r>
        <w:rPr>
          <w:vertAlign w:val="baseline"/>
        </w:rPr>
        <w:t>(BDH</w:t>
      </w:r>
      <w:r>
        <w:rPr>
          <w:spacing w:val="3"/>
          <w:vertAlign w:val="baseline"/>
        </w:rPr>
        <w:t> </w:t>
      </w:r>
      <w:r>
        <w:rPr>
          <w:vertAlign w:val="baseline"/>
        </w:rPr>
        <w:t>Chemicals</w:t>
      </w:r>
      <w:r>
        <w:rPr>
          <w:spacing w:val="5"/>
          <w:vertAlign w:val="baseline"/>
        </w:rPr>
        <w:t> </w:t>
      </w:r>
      <w:r>
        <w:rPr>
          <w:vertAlign w:val="baseline"/>
        </w:rPr>
        <w:t>Ltd,</w:t>
      </w:r>
      <w:r>
        <w:rPr>
          <w:spacing w:val="5"/>
          <w:vertAlign w:val="baseline"/>
        </w:rPr>
        <w:t> </w:t>
      </w:r>
      <w:r>
        <w:rPr>
          <w:vertAlign w:val="baseline"/>
        </w:rPr>
        <w:t>Poole</w:t>
      </w:r>
      <w:r>
        <w:rPr>
          <w:spacing w:val="-57"/>
          <w:vertAlign w:val="baseline"/>
        </w:rPr>
        <w:t> </w:t>
      </w:r>
      <w:r>
        <w:rPr>
          <w:vertAlign w:val="baseline"/>
        </w:rPr>
        <w:t>England)</w:t>
      </w:r>
    </w:p>
    <w:p>
      <w:pPr>
        <w:pStyle w:val="BodyText"/>
        <w:rPr>
          <w:sz w:val="13"/>
        </w:rPr>
      </w:pPr>
    </w:p>
    <w:p>
      <w:pPr>
        <w:pStyle w:val="BodyText"/>
        <w:spacing w:line="463" w:lineRule="auto" w:before="74"/>
        <w:ind w:left="2045" w:right="1417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15%</w:t>
      </w:r>
      <w:r>
        <w:rPr>
          <w:spacing w:val="20"/>
        </w:rPr>
        <w:t> </w:t>
      </w:r>
      <w:r>
        <w:rPr/>
        <w:t>Sulfamic</w:t>
      </w:r>
      <w:r>
        <w:rPr>
          <w:spacing w:val="20"/>
        </w:rPr>
        <w:t> </w:t>
      </w:r>
      <w:r>
        <w:rPr/>
        <w:t>Acid</w:t>
      </w:r>
      <w:r>
        <w:rPr>
          <w:spacing w:val="24"/>
        </w:rPr>
        <w:t> </w:t>
      </w:r>
      <w:r>
        <w:rPr/>
        <w:t>(NH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3</w:t>
      </w:r>
      <w:r>
        <w:rPr>
          <w:vertAlign w:val="baseline"/>
        </w:rPr>
        <w:t>H,</w:t>
      </w:r>
      <w:r>
        <w:rPr>
          <w:spacing w:val="20"/>
          <w:vertAlign w:val="baseline"/>
        </w:rPr>
        <w:t> </w:t>
      </w:r>
      <w:r>
        <w:rPr>
          <w:vertAlign w:val="baseline"/>
        </w:rPr>
        <w:t>MW</w:t>
      </w:r>
      <w:r>
        <w:rPr>
          <w:spacing w:val="22"/>
          <w:vertAlign w:val="baseline"/>
        </w:rPr>
        <w:t> </w:t>
      </w:r>
      <w:r>
        <w:rPr>
          <w:vertAlign w:val="baseline"/>
        </w:rPr>
        <w:t>97.09)</w:t>
      </w:r>
      <w:r>
        <w:rPr>
          <w:spacing w:val="22"/>
          <w:vertAlign w:val="baseline"/>
        </w:rPr>
        <w:t> </w:t>
      </w:r>
      <w:r>
        <w:rPr>
          <w:vertAlign w:val="baseline"/>
        </w:rPr>
        <w:t>(BDH</w:t>
      </w:r>
      <w:r>
        <w:rPr>
          <w:spacing w:val="22"/>
          <w:vertAlign w:val="baseline"/>
        </w:rPr>
        <w:t> </w:t>
      </w:r>
      <w:r>
        <w:rPr>
          <w:vertAlign w:val="baseline"/>
        </w:rPr>
        <w:t>Chemicals</w:t>
      </w:r>
      <w:r>
        <w:rPr>
          <w:spacing w:val="24"/>
          <w:vertAlign w:val="baseline"/>
        </w:rPr>
        <w:t> </w:t>
      </w:r>
      <w:r>
        <w:rPr>
          <w:vertAlign w:val="baseline"/>
        </w:rPr>
        <w:t>Ltd,</w:t>
      </w:r>
      <w:r>
        <w:rPr>
          <w:spacing w:val="26"/>
          <w:vertAlign w:val="baseline"/>
        </w:rPr>
        <w:t> </w:t>
      </w:r>
      <w:r>
        <w:rPr>
          <w:vertAlign w:val="baseline"/>
        </w:rPr>
        <w:t>Poole</w:t>
      </w:r>
      <w:r>
        <w:rPr>
          <w:spacing w:val="-57"/>
          <w:vertAlign w:val="baseline"/>
        </w:rPr>
        <w:t> </w:t>
      </w:r>
      <w:r>
        <w:rPr>
          <w:vertAlign w:val="baseline"/>
        </w:rPr>
        <w:t>England)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638" w:lineRule="auto" w:before="74"/>
        <w:ind w:left="2045" w:right="3659" w:hanging="360"/>
      </w:pPr>
      <w:r>
        <w:rPr/>
        <w:drawing>
          <wp:anchor distT="0" distB="0" distL="0" distR="0" allowOverlap="1" layoutInCell="1" locked="0" behindDoc="1" simplePos="0" relativeHeight="485702656">
            <wp:simplePos x="0" y="0"/>
            <wp:positionH relativeFrom="page">
              <wp:posOffset>1489202</wp:posOffset>
            </wp:positionH>
            <wp:positionV relativeFrom="paragraph">
              <wp:posOffset>534669</wp:posOffset>
            </wp:positionV>
            <wp:extent cx="140208" cy="187452"/>
            <wp:effectExtent l="0" t="0" r="0" b="0"/>
            <wp:wrapNone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15% Sodium Hydroxide (NaOH, MW 40.0) Analar grade</w:t>
      </w:r>
      <w:r>
        <w:rPr>
          <w:spacing w:val="-57"/>
        </w:rPr>
        <w:t> </w:t>
      </w:r>
      <w:r>
        <w:rPr/>
        <w:t>6N</w:t>
      </w:r>
      <w:r>
        <w:rPr>
          <w:spacing w:val="-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(HCl,</w:t>
      </w:r>
      <w:r>
        <w:rPr>
          <w:spacing w:val="-1"/>
        </w:rPr>
        <w:t> </w:t>
      </w:r>
      <w:r>
        <w:rPr/>
        <w:t>MW 36.46)</w:t>
      </w:r>
      <w:r>
        <w:rPr>
          <w:spacing w:val="-1"/>
        </w:rPr>
        <w:t> </w:t>
      </w:r>
      <w:r>
        <w:rPr/>
        <w:t>Analar</w:t>
      </w:r>
      <w:r>
        <w:rPr>
          <w:spacing w:val="-3"/>
        </w:rPr>
        <w:t> </w:t>
      </w:r>
      <w:r>
        <w:rPr/>
        <w:t>grade</w:t>
      </w:r>
    </w:p>
    <w:p>
      <w:pPr>
        <w:spacing w:after="0" w:line="638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before="55"/>
        <w:ind w:left="1685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15%</w:t>
      </w:r>
      <w:r>
        <w:rPr>
          <w:spacing w:val="-2"/>
        </w:rPr>
        <w:t> </w:t>
      </w:r>
      <w:r>
        <w:rPr/>
        <w:t>Sodium</w:t>
      </w:r>
      <w:r>
        <w:rPr>
          <w:spacing w:val="-1"/>
        </w:rPr>
        <w:t> </w:t>
      </w:r>
      <w:r>
        <w:rPr/>
        <w:t>Nitrite (NaNO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MW 69.0),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638" w:lineRule="auto" w:before="1"/>
        <w:ind w:left="2105" w:right="1986" w:hanging="420"/>
      </w:pPr>
      <w:r>
        <w:rPr/>
        <w:drawing>
          <wp:anchor distT="0" distB="0" distL="0" distR="0" allowOverlap="1" layoutInCell="1" locked="0" behindDoc="1" simplePos="0" relativeHeight="485703168">
            <wp:simplePos x="0" y="0"/>
            <wp:positionH relativeFrom="page">
              <wp:posOffset>1489202</wp:posOffset>
            </wp:positionH>
            <wp:positionV relativeFrom="paragraph">
              <wp:posOffset>489838</wp:posOffset>
            </wp:positionV>
            <wp:extent cx="140208" cy="187451"/>
            <wp:effectExtent l="0" t="0" r="0" b="0"/>
            <wp:wrapNone/>
            <wp:docPr id="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Paracetamol Powder B.P; MD: 07/12; ED: 06/17; Batch Number: 1307102</w:t>
      </w:r>
      <w:r>
        <w:rPr>
          <w:spacing w:val="-57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</w:p>
    <w:p>
      <w:pPr>
        <w:pStyle w:val="ListParagraph"/>
        <w:numPr>
          <w:ilvl w:val="2"/>
          <w:numId w:val="18"/>
        </w:numPr>
        <w:tabs>
          <w:tab w:pos="2045" w:val="left" w:leader="none"/>
          <w:tab w:pos="2046" w:val="left" w:leader="none"/>
        </w:tabs>
        <w:spacing w:line="240" w:lineRule="auto" w:before="18" w:after="0"/>
        <w:ind w:left="2045" w:right="0" w:hanging="721"/>
        <w:jc w:val="left"/>
        <w:rPr>
          <w:sz w:val="24"/>
        </w:rPr>
      </w:pPr>
      <w:r>
        <w:rPr>
          <w:sz w:val="24"/>
        </w:rPr>
        <w:t>Equipments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apparatus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2045" w:right="1412"/>
        <w:jc w:val="both"/>
      </w:pPr>
      <w:r>
        <w:rPr/>
        <w:t>Test tubes, Centrifuge tubes, Pipettes (1ml, 5 mls), volumetric flasks (10 ml, 50</w:t>
      </w:r>
      <w:r>
        <w:rPr>
          <w:spacing w:val="1"/>
        </w:rPr>
        <w:t> </w:t>
      </w:r>
      <w:r>
        <w:rPr/>
        <w:t>mls,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mls),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10ml,</w:t>
      </w:r>
      <w:r>
        <w:rPr>
          <w:spacing w:val="1"/>
        </w:rPr>
        <w:t> </w:t>
      </w:r>
      <w:r>
        <w:rPr/>
        <w:t>Measuring</w:t>
      </w:r>
      <w:r>
        <w:rPr>
          <w:spacing w:val="60"/>
        </w:rPr>
        <w:t> </w:t>
      </w:r>
      <w:r>
        <w:rPr/>
        <w:t>Scoop,</w:t>
      </w:r>
      <w:r>
        <w:rPr>
          <w:spacing w:val="1"/>
        </w:rPr>
        <w:t> </w:t>
      </w:r>
      <w:r>
        <w:rPr/>
        <w:t>Spatula,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bottles,</w:t>
      </w:r>
      <w:r>
        <w:rPr>
          <w:spacing w:val="1"/>
        </w:rPr>
        <w:t> </w:t>
      </w:r>
      <w:r>
        <w:rPr/>
        <w:t>Wash</w:t>
      </w:r>
      <w:r>
        <w:rPr>
          <w:spacing w:val="1"/>
        </w:rPr>
        <w:t> </w:t>
      </w:r>
      <w:r>
        <w:rPr/>
        <w:t>bottles,</w:t>
      </w:r>
      <w:r>
        <w:rPr>
          <w:spacing w:val="1"/>
        </w:rPr>
        <w:t> </w:t>
      </w:r>
      <w:r>
        <w:rPr/>
        <w:t>Testtube</w:t>
      </w:r>
      <w:r>
        <w:rPr>
          <w:spacing w:val="1"/>
        </w:rPr>
        <w:t> </w:t>
      </w:r>
      <w:r>
        <w:rPr/>
        <w:t>holders,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(Gallenkamp),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(Mc</w:t>
      </w:r>
      <w:r>
        <w:rPr>
          <w:spacing w:val="1"/>
        </w:rPr>
        <w:t> </w:t>
      </w:r>
      <w:r>
        <w:rPr/>
        <w:t>Donald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International),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(Hellious</w:t>
      </w:r>
      <w:r>
        <w:rPr>
          <w:spacing w:val="1"/>
        </w:rPr>
        <w:t> </w:t>
      </w:r>
      <w:r>
        <w:rPr/>
        <w:t>Zeta</w:t>
      </w:r>
      <w:r>
        <w:rPr>
          <w:spacing w:val="1"/>
        </w:rPr>
        <w:t> </w:t>
      </w:r>
      <w:r>
        <w:rPr/>
        <w:t>Thermo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Centrifuge</w:t>
      </w:r>
      <w:r>
        <w:rPr>
          <w:spacing w:val="1"/>
        </w:rPr>
        <w:t> </w:t>
      </w:r>
      <w:r>
        <w:rPr/>
        <w:t>Gallenkamp</w:t>
      </w:r>
      <w:r>
        <w:rPr>
          <w:spacing w:val="1"/>
        </w:rPr>
        <w:t> </w:t>
      </w:r>
      <w:r>
        <w:rPr/>
        <w:t>(England),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Shaker</w:t>
      </w:r>
      <w:r>
        <w:rPr>
          <w:spacing w:val="1"/>
        </w:rPr>
        <w:t> </w:t>
      </w:r>
      <w:r>
        <w:rPr/>
        <w:t>Gallenkamp</w:t>
      </w:r>
      <w:r>
        <w:rPr>
          <w:spacing w:val="1"/>
        </w:rPr>
        <w:t> </w:t>
      </w:r>
      <w:r>
        <w:rPr/>
        <w:t>(England),</w:t>
      </w:r>
      <w:r>
        <w:rPr>
          <w:spacing w:val="1"/>
        </w:rPr>
        <w:t> </w:t>
      </w:r>
      <w:r>
        <w:rPr/>
        <w:t>Isotemp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Fisher Scientific (England), Freezer Haier Thermacool HF- 299,</w:t>
      </w:r>
      <w:r>
        <w:rPr>
          <w:spacing w:val="1"/>
        </w:rPr>
        <w:t> </w:t>
      </w:r>
      <w:r>
        <w:rPr/>
        <w:t>Friabilator</w:t>
      </w:r>
      <w:r>
        <w:rPr>
          <w:spacing w:val="1"/>
        </w:rPr>
        <w:t> </w:t>
      </w:r>
      <w:r>
        <w:rPr/>
        <w:t>Erweka (England)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  <w:spacing w:before="1"/>
        <w:ind w:left="4949"/>
      </w:pPr>
      <w:bookmarkStart w:name="_TOC_250017" w:id="25"/>
      <w:r>
        <w:rPr/>
        <w:t>3.2</w:t>
      </w:r>
      <w:r>
        <w:rPr>
          <w:spacing w:val="-1"/>
        </w:rPr>
        <w:t> </w:t>
      </w:r>
      <w:bookmarkEnd w:id="25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2045" w:val="left" w:leader="none"/>
          <w:tab w:pos="2046" w:val="left" w:leader="none"/>
        </w:tabs>
        <w:spacing w:line="240" w:lineRule="auto" w:before="171" w:after="0"/>
        <w:ind w:left="2045" w:right="0" w:hanging="721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1"/>
          <w:sz w:val="24"/>
        </w:rPr>
        <w:t> </w:t>
      </w:r>
      <w:r>
        <w:rPr>
          <w:sz w:val="24"/>
        </w:rPr>
        <w:t>experiment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Chemical assay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paracetamol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480" w:lineRule="auto"/>
        <w:ind w:left="1325" w:right="1412"/>
        <w:jc w:val="both"/>
      </w:pPr>
      <w:r>
        <w:rPr/>
        <w:t>Twenty (20) tablets were weighed from each batch sampled and the average weight</w:t>
      </w:r>
      <w:r>
        <w:rPr>
          <w:spacing w:val="1"/>
        </w:rPr>
        <w:t> </w:t>
      </w:r>
      <w:r>
        <w:rPr/>
        <w:t>determined.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tablets</w:t>
      </w:r>
      <w:r>
        <w:rPr>
          <w:spacing w:val="11"/>
        </w:rPr>
        <w:t> </w:t>
      </w:r>
      <w:r>
        <w:rPr/>
        <w:t>were</w:t>
      </w:r>
      <w:r>
        <w:rPr>
          <w:spacing w:val="6"/>
        </w:rPr>
        <w:t> </w:t>
      </w:r>
      <w:r>
        <w:rPr/>
        <w:t>powdered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powder</w:t>
      </w:r>
      <w:r>
        <w:rPr>
          <w:spacing w:val="8"/>
        </w:rPr>
        <w:t> </w:t>
      </w:r>
      <w:r>
        <w:rPr/>
        <w:t>equivalent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0.15</w:t>
      </w:r>
      <w:r>
        <w:rPr>
          <w:spacing w:val="-58"/>
        </w:rPr>
        <w:t> </w:t>
      </w:r>
      <w:r>
        <w:rPr/>
        <w:t>g of paracetamol was weighed and dissolved into 50 ml of 0.1M NaOH solution in</w:t>
      </w:r>
      <w:r>
        <w:rPr>
          <w:spacing w:val="1"/>
        </w:rPr>
        <w:t> </w:t>
      </w:r>
      <w:r>
        <w:rPr/>
        <w:t>200ml flat bottom flask and diluted with 100 ml of water. This was shaken for 15</w:t>
      </w:r>
      <w:r>
        <w:rPr>
          <w:spacing w:val="1"/>
        </w:rPr>
        <w:t> </w:t>
      </w:r>
      <w:r>
        <w:rPr/>
        <w:t>minutes, and then sufficient water was added to produce 200 ml. The solution was</w:t>
      </w:r>
      <w:r>
        <w:rPr>
          <w:spacing w:val="1"/>
        </w:rPr>
        <w:t> </w:t>
      </w:r>
      <w:r>
        <w:rPr/>
        <w:t>filtered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10ml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filtrate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diluted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100</w:t>
      </w:r>
      <w:r>
        <w:rPr>
          <w:spacing w:val="26"/>
        </w:rPr>
        <w:t> </w:t>
      </w:r>
      <w:r>
        <w:rPr/>
        <w:t>ml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water.</w:t>
      </w:r>
      <w:r>
        <w:rPr>
          <w:spacing w:val="22"/>
        </w:rPr>
        <w:t> </w:t>
      </w:r>
      <w:r>
        <w:rPr/>
        <w:t>10</w:t>
      </w:r>
      <w:r>
        <w:rPr>
          <w:spacing w:val="24"/>
        </w:rPr>
        <w:t> </w:t>
      </w:r>
      <w:r>
        <w:rPr/>
        <w:t>ml</w:t>
      </w:r>
      <w:r>
        <w:rPr>
          <w:spacing w:val="21"/>
        </w:rPr>
        <w:t> </w:t>
      </w:r>
      <w:r>
        <w:rPr/>
        <w:t>was</w:t>
      </w:r>
      <w:r>
        <w:rPr>
          <w:spacing w:val="24"/>
        </w:rPr>
        <w:t> </w:t>
      </w:r>
      <w:r>
        <w:rPr/>
        <w:t>pipetted</w:t>
      </w:r>
    </w:p>
    <w:p>
      <w:pPr>
        <w:spacing w:after="0" w:line="480" w:lineRule="auto"/>
        <w:jc w:val="both"/>
        <w:sectPr>
          <w:pgSz w:w="11910" w:h="16840"/>
          <w:pgMar w:header="0" w:footer="1007" w:top="1340" w:bottom="1200" w:left="660" w:right="0"/>
        </w:sectPr>
      </w:pPr>
    </w:p>
    <w:p>
      <w:pPr>
        <w:pStyle w:val="BodyText"/>
        <w:spacing w:line="480" w:lineRule="auto" w:before="72"/>
        <w:ind w:left="1325" w:right="1415"/>
        <w:jc w:val="both"/>
      </w:pPr>
      <w:r>
        <w:rPr/>
        <w:t>from the resulting solution and   added to 10 ml of 0.1M NaOH, which was diluted to</w:t>
      </w:r>
      <w:r>
        <w:rPr>
          <w:spacing w:val="1"/>
        </w:rPr>
        <w:t> </w:t>
      </w:r>
      <w:r>
        <w:rPr/>
        <w:t>100 ml with water and</w:t>
      </w:r>
      <w:r>
        <w:rPr>
          <w:spacing w:val="1"/>
        </w:rPr>
        <w:t> </w:t>
      </w:r>
      <w:r>
        <w:rPr/>
        <w:t>the absorbance of</w:t>
      </w:r>
      <w:r>
        <w:rPr>
          <w:spacing w:val="60"/>
        </w:rPr>
        <w:t> </w:t>
      </w:r>
      <w:r>
        <w:rPr/>
        <w:t>the resulting solution measured at 257nm</w:t>
      </w:r>
      <w:r>
        <w:rPr>
          <w:spacing w:val="1"/>
        </w:rPr>
        <w:t> </w:t>
      </w:r>
      <w:r>
        <w:rPr/>
        <w:t>using a UV spectrophotometer. The percentage content of paracetamol was calculated</w:t>
      </w:r>
      <w:r>
        <w:rPr>
          <w:spacing w:val="1"/>
        </w:rPr>
        <w:t> </w:t>
      </w:r>
      <w:r>
        <w:rPr/>
        <w:t>taking 715 as the value of A (1%, 1cm) at the maximum of 257 nm B.P, 2009) using the</w:t>
      </w:r>
      <w:r>
        <w:rPr>
          <w:spacing w:val="-57"/>
        </w:rPr>
        <w:t> </w:t>
      </w:r>
      <w:r>
        <w:rPr/>
        <w:t>formula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3"/>
      </w:pPr>
    </w:p>
    <w:p>
      <w:pPr>
        <w:tabs>
          <w:tab w:pos="5346" w:val="left" w:leader="none"/>
          <w:tab w:pos="7386" w:val="left" w:leader="none"/>
        </w:tabs>
        <w:spacing w:before="0"/>
        <w:ind w:left="1385" w:right="0" w:firstLine="0"/>
        <w:jc w:val="both"/>
        <w:rPr>
          <w:i/>
          <w:sz w:val="24"/>
        </w:rPr>
      </w:pPr>
      <w:r>
        <w:rPr>
          <w:sz w:val="24"/>
        </w:rPr>
        <w:t>Percent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 Paracetamol</w:t>
      </w:r>
      <w:r>
        <w:rPr>
          <w:spacing w:val="-1"/>
          <w:sz w:val="24"/>
        </w:rPr>
        <w:t> </w:t>
      </w:r>
      <w:r>
        <w:rPr>
          <w:sz w:val="24"/>
        </w:rPr>
        <w:t>=</w:t>
        <w:tab/>
      </w:r>
      <w:r>
        <w:rPr>
          <w:i/>
          <w:sz w:val="24"/>
        </w:rPr>
        <w:t>Absorbance</w:t>
        <w:tab/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</w:t>
      </w:r>
    </w:p>
    <w:p>
      <w:pPr>
        <w:pStyle w:val="BodyText"/>
        <w:spacing w:before="7"/>
        <w:rPr>
          <w:i/>
          <w:sz w:val="9"/>
        </w:rPr>
      </w:pPr>
      <w:r>
        <w:rPr/>
        <w:pict>
          <v:shape style="position:absolute;margin-left:269.950012pt;margin-top:7.894063pt;width:111.5pt;height:.1pt;mso-position-horizontal-relative:page;mso-position-vertical-relative:paragraph;z-index:-15726080;mso-wrap-distance-left:0;mso-wrap-distance-right:0" coordorigin="5399,158" coordsize="2230,0" path="m5399,158l7629,15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23"/>
        </w:rPr>
      </w:pPr>
    </w:p>
    <w:p>
      <w:pPr>
        <w:spacing w:before="90"/>
        <w:ind w:left="4925" w:right="0" w:firstLine="0"/>
        <w:jc w:val="left"/>
        <w:rPr>
          <w:i/>
          <w:sz w:val="24"/>
        </w:rPr>
      </w:pPr>
      <w:r>
        <w:rPr>
          <w:i/>
          <w:sz w:val="24"/>
        </w:rPr>
        <w:t>[Weight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 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A]</w:t>
      </w:r>
    </w:p>
    <w:p>
      <w:pPr>
        <w:pStyle w:val="BodyText"/>
        <w:ind w:left="1325"/>
      </w:pPr>
      <w:r>
        <w:rPr/>
        <w:t>Where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90"/>
        <w:ind w:left="1325" w:right="1419"/>
        <w:jc w:val="both"/>
      </w:pPr>
      <w:r>
        <w:rPr/>
        <w:t>A (1%, 1cm) is the absorbance of a 1cm layer of a 1% w/v solution of the absorbing</w:t>
      </w:r>
      <w:r>
        <w:rPr>
          <w:spacing w:val="1"/>
        </w:rPr>
        <w:t> </w:t>
      </w:r>
      <w:r>
        <w:rPr/>
        <w:t>solute.</w:t>
      </w:r>
      <w:r>
        <w:rPr>
          <w:spacing w:val="1"/>
        </w:rPr>
        <w:t> </w:t>
      </w:r>
      <w:r>
        <w:rPr/>
        <w:t>It is also</w:t>
      </w:r>
      <w:r>
        <w:rPr>
          <w:spacing w:val="1"/>
        </w:rPr>
        <w:t> </w:t>
      </w:r>
      <w:r>
        <w:rPr/>
        <w:t>called the</w:t>
      </w:r>
      <w:r>
        <w:rPr>
          <w:spacing w:val="-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absorbance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1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Dissolution 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480" w:lineRule="auto"/>
        <w:ind w:left="1325" w:right="1417"/>
        <w:jc w:val="both"/>
      </w:pPr>
      <w:r>
        <w:rPr/>
        <w:t>The USP basket method was used for the dissolution tests.</w:t>
      </w:r>
      <w:r>
        <w:rPr>
          <w:spacing w:val="1"/>
        </w:rPr>
        <w:t> </w:t>
      </w:r>
      <w:r>
        <w:rPr/>
        <w:t>The dissolution medium is a</w:t>
      </w:r>
      <w:r>
        <w:rPr>
          <w:spacing w:val="-57"/>
        </w:rPr>
        <w:t> </w:t>
      </w:r>
      <w:r>
        <w:rPr/>
        <w:t>litre of 0.1M HCl, introduced into the vessel immersed in a water bath maintained at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o</w:t>
      </w:r>
      <w:r>
        <w:rPr>
          <w:vertAlign w:val="baseline"/>
        </w:rPr>
        <w:t>C. For each test, one tablet was placed in the basket and allowed to rotate at a speed</w:t>
      </w:r>
      <w:r>
        <w:rPr>
          <w:spacing w:val="1"/>
          <w:vertAlign w:val="baseline"/>
        </w:rPr>
        <w:t> </w:t>
      </w:r>
      <w:r>
        <w:rPr>
          <w:vertAlign w:val="baseline"/>
        </w:rPr>
        <w:t>of 100 rev/min and a sample of 5ml dissolution medium was withdrawn at 1, 5, 10, 20,</w:t>
      </w:r>
      <w:r>
        <w:rPr>
          <w:spacing w:val="1"/>
          <w:vertAlign w:val="baseline"/>
        </w:rPr>
        <w:t> </w:t>
      </w:r>
      <w:r>
        <w:rPr>
          <w:vertAlign w:val="baseline"/>
        </w:rPr>
        <w:t>40 and 60 minutes. These samples were withdrawn from half way between the basket</w:t>
      </w:r>
      <w:r>
        <w:rPr>
          <w:spacing w:val="1"/>
          <w:vertAlign w:val="baseline"/>
        </w:rPr>
        <w:t> </w:t>
      </w:r>
      <w:r>
        <w:rPr>
          <w:vertAlign w:val="baseline"/>
        </w:rPr>
        <w:t>wall and the wall of the vessel to ensure that the normal pattern of flow of 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 was not disturbed. An equivalent volume of 5ml of the dissolution medium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replaced after each withdrawal. These samples of the dissolved drug was filtered and its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-2"/>
          <w:vertAlign w:val="baseline"/>
        </w:rPr>
        <w:t> </w:t>
      </w:r>
      <w:r>
        <w:rPr>
          <w:vertAlign w:val="baseline"/>
        </w:rPr>
        <w:t>taken</w:t>
      </w:r>
      <w:r>
        <w:rPr>
          <w:spacing w:val="2"/>
          <w:vertAlign w:val="baseline"/>
        </w:rPr>
        <w:t> </w:t>
      </w:r>
      <w:r>
        <w:rPr>
          <w:vertAlign w:val="baseline"/>
        </w:rPr>
        <w:t>at 257nm.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3"/>
          <w:numId w:val="19"/>
        </w:numPr>
        <w:tabs>
          <w:tab w:pos="2137" w:val="left" w:leader="none"/>
        </w:tabs>
        <w:spacing w:line="240" w:lineRule="auto" w:before="72" w:after="0"/>
        <w:ind w:left="2136" w:right="0" w:hanging="721"/>
        <w:jc w:val="left"/>
        <w:rPr>
          <w:i/>
          <w:sz w:val="24"/>
        </w:rPr>
      </w:pPr>
      <w:r>
        <w:rPr>
          <w:i/>
          <w:sz w:val="24"/>
        </w:rPr>
        <w:t>Disintegration tests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pStyle w:val="BodyText"/>
        <w:spacing w:line="480" w:lineRule="auto" w:before="1"/>
        <w:ind w:left="1325" w:right="1413" w:firstLine="59"/>
        <w:jc w:val="both"/>
      </w:pPr>
      <w:r>
        <w:rPr/>
        <w:t>One tablet each was placed in all the tubes of the basket and a disc was added to each</w:t>
      </w:r>
      <w:r>
        <w:rPr>
          <w:spacing w:val="1"/>
        </w:rPr>
        <w:t> </w:t>
      </w:r>
      <w:r>
        <w:rPr/>
        <w:t>tube. The assembly was then suspended in a beaker containing distilled 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maintained at 37</w:t>
      </w:r>
      <w:r>
        <w:rPr>
          <w:vertAlign w:val="superscript"/>
        </w:rPr>
        <w:t>º</w:t>
      </w:r>
      <w:r>
        <w:rPr>
          <w:vertAlign w:val="baseline"/>
        </w:rPr>
        <w:t>C using a thermometer and the machine allowed running till the tablets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disintegrated.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1"/>
          <w:vertAlign w:val="baseline"/>
        </w:rPr>
        <w:t> </w:t>
      </w:r>
      <w:r>
        <w:rPr>
          <w:vertAlign w:val="baseline"/>
        </w:rPr>
        <w:t>time</w:t>
      </w:r>
      <w:r>
        <w:rPr>
          <w:spacing w:val="-2"/>
          <w:vertAlign w:val="baseline"/>
        </w:rPr>
        <w:t> </w:t>
      </w:r>
      <w:r>
        <w:rPr>
          <w:vertAlign w:val="baseline"/>
        </w:rPr>
        <w:t>taken to</w:t>
      </w:r>
      <w:r>
        <w:rPr>
          <w:spacing w:val="-1"/>
          <w:vertAlign w:val="baseline"/>
        </w:rPr>
        <w:t> </w:t>
      </w:r>
      <w:r>
        <w:rPr>
          <w:vertAlign w:val="baseline"/>
        </w:rPr>
        <w:t>disintegrate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each</w:t>
      </w:r>
      <w:r>
        <w:rPr>
          <w:spacing w:val="2"/>
          <w:vertAlign w:val="baseline"/>
        </w:rPr>
        <w:t> </w:t>
      </w:r>
      <w:r>
        <w:rPr>
          <w:vertAlign w:val="baseline"/>
        </w:rPr>
        <w:t>tablet.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Friability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480" w:lineRule="auto"/>
        <w:ind w:left="1325" w:right="1416"/>
        <w:jc w:val="both"/>
      </w:pPr>
      <w:r>
        <w:rPr/>
        <w:t>Twenty (20) tablets of each sample were weighed before transferring into a friability</w:t>
      </w:r>
      <w:r>
        <w:rPr>
          <w:spacing w:val="1"/>
        </w:rPr>
        <w:t> </w:t>
      </w:r>
      <w:r>
        <w:rPr/>
        <w:t>tester which was allowed to run at 25 revolutions per minute for 4 minutes. The tablets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then</w:t>
      </w:r>
      <w:r>
        <w:rPr>
          <w:spacing w:val="1"/>
        </w:rPr>
        <w:t> </w:t>
      </w:r>
      <w:r>
        <w:rPr/>
        <w:t>reweighed and</w:t>
      </w:r>
      <w:r>
        <w:rPr>
          <w:spacing w:val="1"/>
        </w:rPr>
        <w:t> </w:t>
      </w:r>
      <w:r>
        <w:rPr/>
        <w:t>recorded.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1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Weight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uniformity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480" w:lineRule="auto"/>
        <w:ind w:left="1325" w:right="1416" w:firstLine="59"/>
        <w:jc w:val="both"/>
      </w:pPr>
      <w:r>
        <w:rPr/>
        <w:t>Twenty (20) tablets of each formulation were weighed individually and the average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 percentage mean deviation determined.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19"/>
        </w:numPr>
        <w:tabs>
          <w:tab w:pos="1866" w:val="left" w:leader="none"/>
        </w:tabs>
        <w:spacing w:line="240" w:lineRule="auto" w:before="0" w:after="0"/>
        <w:ind w:left="1865" w:right="0" w:hanging="541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-2"/>
          <w:sz w:val="24"/>
        </w:rPr>
        <w:t> </w:t>
      </w:r>
      <w:r>
        <w:rPr>
          <w:sz w:val="24"/>
        </w:rPr>
        <w:t>experiments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176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Calibration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curve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5"/>
        <w:ind w:left="1325" w:right="1416"/>
        <w:jc w:val="both"/>
      </w:pPr>
      <w:r>
        <w:rPr/>
        <w:t>Paracetamol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/L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dissolving1000mg powder in 1000ml of warm distilled water. The stock solution was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prepare eight</w:t>
      </w:r>
      <w:r>
        <w:rPr>
          <w:spacing w:val="-1"/>
        </w:rPr>
        <w:t> </w:t>
      </w:r>
      <w:r>
        <w:rPr/>
        <w:t>series of</w:t>
      </w:r>
      <w:r>
        <w:rPr>
          <w:spacing w:val="-1"/>
        </w:rPr>
        <w:t> </w:t>
      </w:r>
      <w:r>
        <w:rPr/>
        <w:t>(25 mg/l</w:t>
      </w:r>
      <w:r>
        <w:rPr>
          <w:spacing w:val="2"/>
        </w:rPr>
        <w:t> </w:t>
      </w:r>
      <w:r>
        <w:rPr/>
        <w:t>– 500</w:t>
      </w:r>
      <w:r>
        <w:rPr>
          <w:spacing w:val="-1"/>
        </w:rPr>
        <w:t> </w:t>
      </w:r>
      <w:r>
        <w:rPr/>
        <w:t>mg/l) working</w:t>
      </w:r>
      <w:r>
        <w:rPr>
          <w:spacing w:val="-4"/>
        </w:rPr>
        <w:t> </w:t>
      </w:r>
      <w:r>
        <w:rPr/>
        <w:t>standards, 25, 50, 100,</w:t>
      </w:r>
      <w:r>
        <w:rPr>
          <w:spacing w:val="-1"/>
        </w:rPr>
        <w:t> </w:t>
      </w:r>
      <w:r>
        <w:rPr/>
        <w:t>150,</w:t>
      </w:r>
    </w:p>
    <w:p>
      <w:pPr>
        <w:pStyle w:val="BodyText"/>
        <w:spacing w:line="480" w:lineRule="auto"/>
        <w:ind w:left="1325" w:right="1416"/>
        <w:jc w:val="both"/>
      </w:pPr>
      <w:r>
        <w:rPr/>
        <w:t>200,</w:t>
      </w:r>
      <w:r>
        <w:rPr>
          <w:spacing w:val="1"/>
        </w:rPr>
        <w:t> </w:t>
      </w:r>
      <w:r>
        <w:rPr/>
        <w:t>250,</w:t>
      </w:r>
      <w:r>
        <w:rPr>
          <w:spacing w:val="1"/>
        </w:rPr>
        <w:t> </w:t>
      </w:r>
      <w:r>
        <w:rPr/>
        <w:t>300,</w:t>
      </w:r>
      <w:r>
        <w:rPr>
          <w:spacing w:val="1"/>
        </w:rPr>
        <w:t> </w:t>
      </w:r>
      <w:r>
        <w:rPr/>
        <w:t>350,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mg/l.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-57"/>
        </w:rPr>
        <w:t> </w:t>
      </w:r>
      <w:r>
        <w:rPr/>
        <w:t>water,then</w:t>
      </w:r>
      <w:r>
        <w:rPr>
          <w:spacing w:val="1"/>
        </w:rPr>
        <w:t> </w:t>
      </w:r>
      <w:r>
        <w:rPr/>
        <w:t>0.5ml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61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concentrations. All samples were treated as mentioned in the colorimetric assay method.</w:t>
      </w:r>
      <w:r>
        <w:rPr>
          <w:spacing w:val="-57"/>
        </w:rPr>
        <w:t> </w:t>
      </w:r>
      <w:r>
        <w:rPr/>
        <w:t>The absorbance was measured</w:t>
      </w:r>
      <w:r>
        <w:rPr>
          <w:spacing w:val="1"/>
        </w:rPr>
        <w:t> </w:t>
      </w:r>
      <w:r>
        <w:rPr/>
        <w:t>at 430nm against</w:t>
      </w:r>
      <w:r>
        <w:rPr>
          <w:spacing w:val="1"/>
        </w:rPr>
        <w:t> </w:t>
      </w:r>
      <w:r>
        <w:rPr/>
        <w:t>reagent blank of water. Graph of</w:t>
      </w:r>
      <w:r>
        <w:rPr>
          <w:spacing w:val="1"/>
        </w:rPr>
        <w:t> </w:t>
      </w:r>
      <w:r>
        <w:rPr/>
        <w:t>absorbance</w:t>
      </w:r>
      <w:r>
        <w:rPr>
          <w:spacing w:val="-2"/>
        </w:rPr>
        <w:t> </w:t>
      </w:r>
      <w:r>
        <w:rPr/>
        <w:t>versus</w:t>
      </w:r>
      <w:r>
        <w:rPr>
          <w:spacing w:val="1"/>
        </w:rPr>
        <w:t> </w:t>
      </w:r>
      <w:r>
        <w:rPr/>
        <w:t>concentration were</w:t>
      </w:r>
      <w:r>
        <w:rPr>
          <w:spacing w:val="-2"/>
        </w:rPr>
        <w:t> </w:t>
      </w:r>
      <w:r>
        <w:rPr/>
        <w:t>plotted.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74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validation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325" w:right="1417" w:firstLine="59"/>
        <w:jc w:val="both"/>
      </w:pPr>
      <w:r>
        <w:rPr/>
        <w:t>The paracetamol assay validation studies in aqueous solution were carried out using the</w:t>
      </w:r>
      <w:r>
        <w:rPr>
          <w:spacing w:val="-57"/>
        </w:rPr>
        <w:t> </w:t>
      </w:r>
      <w:r>
        <w:rPr/>
        <w:t>modified method to measure standard paracetamol concentrations 25, 50, 100, 150, 200,</w:t>
      </w:r>
      <w:r>
        <w:rPr>
          <w:spacing w:val="-57"/>
        </w:rPr>
        <w:t> </w:t>
      </w:r>
      <w:r>
        <w:rPr/>
        <w:t>250, 300 and 400 mg/l using a UV spectrophotometer. It was evaluated by assay of</w:t>
      </w:r>
      <w:r>
        <w:rPr>
          <w:spacing w:val="1"/>
        </w:rPr>
        <w:t> </w:t>
      </w:r>
      <w:r>
        <w:rPr/>
        <w:t>paracetamol</w:t>
      </w:r>
      <w:r>
        <w:rPr>
          <w:spacing w:val="22"/>
        </w:rPr>
        <w:t> </w:t>
      </w:r>
      <w:r>
        <w:rPr/>
        <w:t>standards,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absorbance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measured</w:t>
      </w:r>
      <w:r>
        <w:rPr>
          <w:spacing w:val="22"/>
        </w:rPr>
        <w:t> </w:t>
      </w:r>
      <w:r>
        <w:rPr/>
        <w:t>at</w:t>
      </w:r>
      <w:r>
        <w:rPr>
          <w:spacing w:val="22"/>
        </w:rPr>
        <w:t> </w:t>
      </w:r>
      <w:r>
        <w:rPr/>
        <w:t>430nm</w:t>
      </w:r>
      <w:r>
        <w:rPr>
          <w:spacing w:val="25"/>
        </w:rPr>
        <w:t> </w:t>
      </w:r>
      <w:r>
        <w:rPr/>
        <w:t>against</w:t>
      </w:r>
      <w:r>
        <w:rPr>
          <w:spacing w:val="26"/>
        </w:rPr>
        <w:t> </w:t>
      </w:r>
      <w:r>
        <w:rPr/>
        <w:t>reagent</w:t>
      </w:r>
      <w:r>
        <w:rPr>
          <w:spacing w:val="25"/>
        </w:rPr>
        <w:t> </w:t>
      </w:r>
      <w:r>
        <w:rPr/>
        <w:t>blank</w:t>
      </w:r>
      <w:r>
        <w:rPr>
          <w:spacing w:val="-58"/>
        </w:rPr>
        <w:t> </w:t>
      </w:r>
      <w:r>
        <w:rPr/>
        <w:t>of water. Graphs of absorbance versus concentration were plotted; the stability of the</w:t>
      </w:r>
      <w:r>
        <w:rPr>
          <w:spacing w:val="1"/>
        </w:rPr>
        <w:t> </w:t>
      </w:r>
      <w:r>
        <w:rPr/>
        <w:t>final</w:t>
      </w:r>
      <w:r>
        <w:rPr>
          <w:spacing w:val="-1"/>
        </w:rPr>
        <w:t> </w:t>
      </w:r>
      <w:r>
        <w:rPr/>
        <w:t>coloured solutions was also assessed up to 10 min.</w:t>
      </w: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203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Protocol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477" w:lineRule="auto" w:before="1"/>
        <w:ind w:left="1325" w:right="1419"/>
        <w:jc w:val="both"/>
      </w:pPr>
      <w:r>
        <w:rPr/>
        <w:t>Twelve (12)</w:t>
      </w:r>
      <w:r>
        <w:rPr>
          <w:spacing w:val="1"/>
        </w:rPr>
        <w:t> </w:t>
      </w:r>
      <w:r>
        <w:rPr/>
        <w:t>apparently healthy adult</w:t>
      </w:r>
      <w:r>
        <w:rPr>
          <w:spacing w:val="1"/>
        </w:rPr>
        <w:t> </w:t>
      </w:r>
      <w:r>
        <w:rPr/>
        <w:t>volunteers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part in</w:t>
      </w:r>
      <w:r>
        <w:rPr>
          <w:spacing w:val="1"/>
        </w:rPr>
        <w:t> </w:t>
      </w:r>
      <w:r>
        <w:rPr/>
        <w:t>the study.</w:t>
      </w:r>
      <w:r>
        <w:rPr>
          <w:spacing w:val="60"/>
        </w:rPr>
        <w:t> </w:t>
      </w:r>
      <w:r>
        <w:rPr/>
        <w:t>The protocol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explained to them and an informed consent</w:t>
      </w:r>
      <w:r>
        <w:rPr>
          <w:spacing w:val="-1"/>
        </w:rPr>
        <w:t> </w:t>
      </w:r>
      <w:r>
        <w:rPr/>
        <w:t>was obtained.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1325" w:right="1414"/>
        <w:jc w:val="both"/>
      </w:pPr>
      <w:r>
        <w:rPr/>
        <w:t>The study was single blind, cross over study with a wash out period of two weeks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administrations.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 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2ml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rubber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minute.</w:t>
      </w:r>
      <w:r>
        <w:rPr>
          <w:spacing w:val="60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stimulated salivary samples were collected into plain plastic containers at time 5, 10, 20,</w:t>
      </w:r>
      <w:r>
        <w:rPr>
          <w:spacing w:val="-57"/>
        </w:rPr>
        <w:t> </w:t>
      </w:r>
      <w:r>
        <w:rPr/>
        <w:t>30, 60, 120, 180, 240, 360 minutes after ingestion of 1g tablets of the study drug with</w:t>
      </w:r>
      <w:r>
        <w:rPr>
          <w:spacing w:val="1"/>
        </w:rPr>
        <w:t> </w:t>
      </w:r>
      <w:r>
        <w:rPr/>
        <w:t>water. All volunteers remained with no food or drink while samples were collected.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stored 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refridgerator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-10ºC until</w:t>
      </w:r>
      <w:r>
        <w:rPr>
          <w:spacing w:val="-1"/>
        </w:rPr>
        <w:t> </w:t>
      </w:r>
      <w:r>
        <w:rPr/>
        <w:t>analysed.</w:t>
      </w:r>
    </w:p>
    <w:p>
      <w:pPr>
        <w:pStyle w:val="BodyText"/>
        <w:spacing w:before="6"/>
      </w:pPr>
    </w:p>
    <w:p>
      <w:pPr>
        <w:spacing w:before="0"/>
        <w:ind w:left="1325" w:right="0" w:firstLine="0"/>
        <w:jc w:val="both"/>
        <w:rPr>
          <w:i/>
          <w:sz w:val="24"/>
        </w:rPr>
      </w:pPr>
      <w:r>
        <w:rPr>
          <w:b/>
          <w:i/>
          <w:sz w:val="24"/>
        </w:rPr>
        <w:t>3</w:t>
      </w:r>
      <w:r>
        <w:rPr>
          <w:i/>
          <w:sz w:val="24"/>
        </w:rPr>
        <w:t>.2.2.2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 of saliva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samples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2" w:lineRule="auto" w:before="174"/>
        <w:ind w:left="1325" w:right="1416"/>
        <w:jc w:val="both"/>
      </w:pPr>
      <w:r>
        <w:rPr/>
        <w:t>The paracetamol assay method used in this study is based on the Glynn and Kendal</w:t>
      </w:r>
      <w:r>
        <w:rPr>
          <w:spacing w:val="1"/>
        </w:rPr>
        <w:t> </w:t>
      </w:r>
      <w:r>
        <w:rPr/>
        <w:t>(1975) colorimetric method with a few modifications by Shihana (2010) which came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in order to decrease</w:t>
      </w:r>
      <w:r>
        <w:rPr>
          <w:spacing w:val="-1"/>
        </w:rPr>
        <w:t> </w:t>
      </w:r>
      <w:r>
        <w:rPr/>
        <w:t>the production of</w:t>
      </w:r>
      <w:r>
        <w:rPr>
          <w:spacing w:val="-1"/>
        </w:rPr>
        <w:t> </w:t>
      </w:r>
      <w:r>
        <w:rPr/>
        <w:t>nitrous</w:t>
      </w:r>
      <w:r>
        <w:rPr>
          <w:spacing w:val="-1"/>
        </w:rPr>
        <w:t> </w:t>
      </w:r>
      <w:r>
        <w:rPr/>
        <w:t>gas.</w:t>
      </w:r>
    </w:p>
    <w:p>
      <w:pPr>
        <w:spacing w:after="0" w:line="482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3"/>
        <w:jc w:val="both"/>
      </w:pPr>
      <w:r>
        <w:rPr/>
        <w:t>In the modified method, 0.5 ml of saliva was pipetted into a 15 ml centrifuge tube</w:t>
      </w:r>
      <w:r>
        <w:rPr>
          <w:spacing w:val="1"/>
        </w:rPr>
        <w:t> </w:t>
      </w:r>
      <w:r>
        <w:rPr/>
        <w:t>containing 1.0 ml of 15% trichloroacetic acid. After mixing, it was centrifuged for three</w:t>
      </w:r>
      <w:r>
        <w:rPr>
          <w:spacing w:val="1"/>
        </w:rPr>
        <w:t> </w:t>
      </w:r>
      <w:r>
        <w:rPr/>
        <w:t>minutes and the clear supernatant decanted into a 10 ml test tube containing 0.5 ml 6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hydrochloric acid. Nitrous acid was generated by adding 0.4 ml of sodium nitrite to the</w:t>
      </w:r>
      <w:r>
        <w:rPr>
          <w:spacing w:val="1"/>
        </w:rPr>
        <w:t> </w:t>
      </w:r>
      <w:r>
        <w:rPr/>
        <w:t>resulting solution.</w:t>
      </w:r>
      <w:r>
        <w:rPr>
          <w:spacing w:val="1"/>
        </w:rPr>
        <w:t> </w:t>
      </w:r>
      <w:r>
        <w:rPr/>
        <w:t>The contents were allowed to stand for two minutes, and then 1.0 ml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15%</w:t>
      </w:r>
      <w:r>
        <w:rPr>
          <w:spacing w:val="26"/>
        </w:rPr>
        <w:t> </w:t>
      </w:r>
      <w:r>
        <w:rPr/>
        <w:t>sulphamic</w:t>
      </w:r>
      <w:r>
        <w:rPr>
          <w:spacing w:val="27"/>
        </w:rPr>
        <w:t> </w:t>
      </w:r>
      <w:r>
        <w:rPr/>
        <w:t>acid</w:t>
      </w:r>
      <w:r>
        <w:rPr>
          <w:spacing w:val="25"/>
        </w:rPr>
        <w:t> </w:t>
      </w:r>
      <w:r>
        <w:rPr/>
        <w:t>was</w:t>
      </w:r>
      <w:r>
        <w:rPr>
          <w:spacing w:val="28"/>
        </w:rPr>
        <w:t> </w:t>
      </w:r>
      <w:r>
        <w:rPr/>
        <w:t>added</w:t>
      </w:r>
      <w:r>
        <w:rPr>
          <w:spacing w:val="27"/>
        </w:rPr>
        <w:t> </w:t>
      </w:r>
      <w:r>
        <w:rPr/>
        <w:t>carefully</w:t>
      </w:r>
      <w:r>
        <w:rPr>
          <w:spacing w:val="21"/>
        </w:rPr>
        <w:t> </w:t>
      </w:r>
      <w:r>
        <w:rPr/>
        <w:t>to</w:t>
      </w:r>
      <w:r>
        <w:rPr>
          <w:spacing w:val="30"/>
        </w:rPr>
        <w:t> </w:t>
      </w:r>
      <w:r>
        <w:rPr/>
        <w:t>neutralize</w:t>
      </w:r>
      <w:r>
        <w:rPr>
          <w:spacing w:val="27"/>
        </w:rPr>
        <w:t> </w:t>
      </w:r>
      <w:r>
        <w:rPr/>
        <w:t>excess</w:t>
      </w:r>
      <w:r>
        <w:rPr>
          <w:spacing w:val="28"/>
        </w:rPr>
        <w:t> </w:t>
      </w:r>
      <w:r>
        <w:rPr/>
        <w:t>nitrous</w:t>
      </w:r>
      <w:r>
        <w:rPr>
          <w:spacing w:val="24"/>
        </w:rPr>
        <w:t> </w:t>
      </w:r>
      <w:r>
        <w:rPr/>
        <w:t>acid.</w:t>
      </w:r>
      <w:r>
        <w:rPr>
          <w:spacing w:val="28"/>
        </w:rPr>
        <w:t> </w:t>
      </w:r>
      <w:r>
        <w:rPr/>
        <w:t>Finally,</w:t>
      </w:r>
    </w:p>
    <w:p>
      <w:pPr>
        <w:pStyle w:val="ListParagraph"/>
        <w:numPr>
          <w:ilvl w:val="1"/>
          <w:numId w:val="15"/>
        </w:numPr>
        <w:tabs>
          <w:tab w:pos="1717" w:val="left" w:leader="none"/>
        </w:tabs>
        <w:spacing w:line="482" w:lineRule="auto" w:before="1" w:after="0"/>
        <w:ind w:left="1325" w:right="1414" w:firstLine="0"/>
        <w:jc w:val="both"/>
        <w:rPr>
          <w:sz w:val="24"/>
        </w:rPr>
      </w:pPr>
      <w:r>
        <w:rPr>
          <w:sz w:val="24"/>
        </w:rPr>
        <w:t>ml of 15% sodium hydroxide was added and the absorbance of each sample was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at 430 nm, against a</w:t>
      </w:r>
      <w:r>
        <w:rPr>
          <w:spacing w:val="-1"/>
          <w:sz w:val="24"/>
        </w:rPr>
        <w:t> </w:t>
      </w:r>
      <w:r>
        <w:rPr>
          <w:sz w:val="24"/>
        </w:rPr>
        <w:t>reagent blank</w:t>
      </w:r>
      <w:r>
        <w:rPr>
          <w:spacing w:val="-1"/>
          <w:sz w:val="24"/>
        </w:rPr>
        <w:t> </w:t>
      </w:r>
      <w:r>
        <w:rPr>
          <w:sz w:val="24"/>
        </w:rPr>
        <w:t>of water.</w:t>
      </w:r>
    </w:p>
    <w:p>
      <w:pPr>
        <w:pStyle w:val="BodyText"/>
        <w:rPr>
          <w:sz w:val="26"/>
        </w:rPr>
      </w:pPr>
    </w:p>
    <w:p>
      <w:pPr>
        <w:pStyle w:val="Heading1"/>
        <w:spacing w:before="219"/>
        <w:ind w:left="4426"/>
      </w:pPr>
      <w:bookmarkStart w:name="_TOC_250016" w:id="26"/>
      <w:r>
        <w:rPr/>
        <w:t>3.3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bookmarkEnd w:id="26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5" w:right="1411"/>
        <w:jc w:val="both"/>
      </w:pPr>
      <w:r>
        <w:rPr/>
        <w:t>The results of the various studies were</w:t>
      </w:r>
      <w:r>
        <w:rPr>
          <w:spacing w:val="1"/>
        </w:rPr>
        <w:t> </w:t>
      </w:r>
      <w:r>
        <w:rPr/>
        <w:t>recorded as means ± SEM. The data were</w:t>
      </w:r>
      <w:r>
        <w:rPr>
          <w:spacing w:val="1"/>
        </w:rPr>
        <w:t> </w:t>
      </w:r>
      <w:r>
        <w:rPr/>
        <w:t>statistically analysed using Independent student‟s paired t test (IBM SPSS statistics 20)</w:t>
      </w:r>
      <w:r>
        <w:rPr>
          <w:spacing w:val="1"/>
        </w:rPr>
        <w:t> </w:t>
      </w:r>
      <w:r>
        <w:rPr/>
        <w:t>for all data except dissolution studies where analysis of variance (ANOVA) was used.</w:t>
      </w:r>
      <w:r>
        <w:rPr>
          <w:spacing w:val="1"/>
        </w:rPr>
        <w:t> </w:t>
      </w:r>
      <w:r>
        <w:rPr/>
        <w:t>Differences between sampled drugs of P ≤ 0.05 were considered to be statistically</w:t>
      </w:r>
      <w:r>
        <w:rPr>
          <w:spacing w:val="1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0"/>
        <w:jc w:val="center"/>
      </w:pPr>
      <w:bookmarkStart w:name="_TOC_250015" w:id="27"/>
      <w:r>
        <w:rPr/>
        <w:t>CHAPTER</w:t>
      </w:r>
      <w:r>
        <w:rPr>
          <w:spacing w:val="-3"/>
        </w:rPr>
        <w:t> </w:t>
      </w:r>
      <w:bookmarkEnd w:id="27"/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0"/>
        </w:numPr>
        <w:tabs>
          <w:tab w:pos="5241" w:val="left" w:leader="none"/>
        </w:tabs>
        <w:spacing w:line="240" w:lineRule="auto" w:before="216" w:after="0"/>
        <w:ind w:left="5240" w:right="0" w:hanging="421"/>
        <w:jc w:val="left"/>
      </w:pPr>
      <w:bookmarkStart w:name="_TOC_250014" w:id="28"/>
      <w:bookmarkEnd w:id="28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0"/>
        </w:numPr>
        <w:tabs>
          <w:tab w:pos="3297" w:val="left" w:leader="none"/>
        </w:tabs>
        <w:spacing w:line="240" w:lineRule="auto" w:before="176" w:after="0"/>
        <w:ind w:left="3296" w:right="0" w:hanging="361"/>
        <w:jc w:val="left"/>
      </w:pPr>
      <w:bookmarkStart w:name="_TOC_250013" w:id="29"/>
      <w:r>
        <w:rPr/>
        <w:t>Uniformity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weight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bookmarkEnd w:id="29"/>
      <w:r>
        <w:rPr/>
        <w:t>of Paracetamol 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325" w:right="1415"/>
        <w:jc w:val="both"/>
      </w:pPr>
      <w:r>
        <w:rPr/>
        <w:t>The result of uniformity of weight test is shown in table 4.1. It shows that in the weight</w:t>
      </w:r>
      <w:r>
        <w:rPr>
          <w:spacing w:val="1"/>
        </w:rPr>
        <w:t> </w:t>
      </w:r>
      <w:r>
        <w:rPr/>
        <w:t>uniformity</w:t>
      </w:r>
      <w:r>
        <w:rPr>
          <w:spacing w:val="30"/>
        </w:rPr>
        <w:t> </w:t>
      </w:r>
      <w:r>
        <w:rPr/>
        <w:t>test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deviation</w:t>
      </w:r>
      <w:r>
        <w:rPr>
          <w:spacing w:val="36"/>
        </w:rPr>
        <w:t> </w:t>
      </w:r>
      <w:r>
        <w:rPr/>
        <w:t>from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mean</w:t>
      </w:r>
      <w:r>
        <w:rPr>
          <w:spacing w:val="38"/>
        </w:rPr>
        <w:t> </w:t>
      </w:r>
      <w:r>
        <w:rPr/>
        <w:t>was</w:t>
      </w:r>
      <w:r>
        <w:rPr>
          <w:spacing w:val="36"/>
        </w:rPr>
        <w:t> </w:t>
      </w:r>
      <w:r>
        <w:rPr/>
        <w:t>1.5%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sample</w:t>
      </w:r>
      <w:r>
        <w:rPr>
          <w:spacing w:val="36"/>
        </w:rPr>
        <w:t> </w:t>
      </w:r>
      <w:r>
        <w:rPr/>
        <w:t>A1,</w:t>
      </w:r>
      <w:r>
        <w:rPr>
          <w:spacing w:val="38"/>
        </w:rPr>
        <w:t> </w:t>
      </w:r>
      <w:r>
        <w:rPr/>
        <w:t>2.4%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A2,</w:t>
      </w:r>
      <w:r>
        <w:rPr>
          <w:spacing w:val="-57"/>
        </w:rPr>
        <w:t> </w:t>
      </w:r>
      <w:r>
        <w:rPr/>
        <w:t>1.1%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A3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1.7%, 1.4%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1.7%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samples B1,</w:t>
      </w:r>
      <w:r>
        <w:rPr>
          <w:spacing w:val="-1"/>
        </w:rPr>
        <w:t> </w:t>
      </w:r>
      <w:r>
        <w:rPr/>
        <w:t>B2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B3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2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line="276" w:lineRule="auto" w:before="119"/>
        <w:ind w:left="2405" w:right="1417" w:hanging="1080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4.1:</w:t>
      </w:r>
      <w:r>
        <w:rPr/>
        <w:t> </w:t>
      </w:r>
      <w:r>
        <w:rPr>
          <w:spacing w:val="-1"/>
        </w:rPr>
        <w:t>Weight</w:t>
      </w:r>
      <w:r>
        <w:rPr>
          <w:spacing w:val="1"/>
        </w:rPr>
        <w:t> </w:t>
      </w:r>
      <w:r>
        <w:rPr>
          <w:spacing w:val="-1"/>
        </w:rPr>
        <w:t>Uniformity</w:t>
      </w:r>
      <w:r>
        <w:rPr/>
        <w:t> Test for 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19"/>
          <w:vertAlign w:val="baseline"/>
        </w:rPr>
        <w:t> </w:t>
      </w:r>
      <w:r>
        <w:rPr>
          <w:vertAlign w:val="baseline"/>
        </w:rPr>
        <w:t>and</w:t>
      </w:r>
      <w:r>
        <w:rPr>
          <w:spacing w:val="-18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9"/>
        <w:gridCol w:w="3171"/>
        <w:gridCol w:w="3012"/>
      </w:tblGrid>
      <w:tr>
        <w:trPr>
          <w:trHeight w:val="645" w:hRule="atLeast"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0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Paracetamol</w:t>
            </w:r>
          </w:p>
        </w:tc>
        <w:tc>
          <w:tcPr>
            <w:tcW w:w="3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22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SEM</w:t>
            </w: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464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</w:tr>
      <w:tr>
        <w:trPr>
          <w:trHeight w:val="474" w:hRule="atLeast"/>
        </w:trPr>
        <w:tc>
          <w:tcPr>
            <w:tcW w:w="3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30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3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0.65 ±0.03</w:t>
            </w:r>
          </w:p>
        </w:tc>
        <w:tc>
          <w:tcPr>
            <w:tcW w:w="3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1.5*</w:t>
            </w:r>
          </w:p>
        </w:tc>
      </w:tr>
      <w:tr>
        <w:trPr>
          <w:trHeight w:val="643" w:hRule="atLeast"/>
        </w:trPr>
        <w:tc>
          <w:tcPr>
            <w:tcW w:w="3129" w:type="dxa"/>
          </w:tcPr>
          <w:p>
            <w:pPr>
              <w:pStyle w:val="TableParagraph"/>
              <w:spacing w:before="165"/>
              <w:ind w:left="30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3171" w:type="dxa"/>
          </w:tcPr>
          <w:p>
            <w:pPr>
              <w:pStyle w:val="TableParagraph"/>
              <w:spacing w:before="160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0.62 ±0.03</w:t>
            </w:r>
          </w:p>
        </w:tc>
        <w:tc>
          <w:tcPr>
            <w:tcW w:w="3012" w:type="dxa"/>
          </w:tcPr>
          <w:p>
            <w:pPr>
              <w:pStyle w:val="TableParagraph"/>
              <w:spacing w:before="160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2.4*</w:t>
            </w:r>
          </w:p>
        </w:tc>
      </w:tr>
      <w:tr>
        <w:trPr>
          <w:trHeight w:val="707" w:hRule="atLeast"/>
        </w:trPr>
        <w:tc>
          <w:tcPr>
            <w:tcW w:w="3129" w:type="dxa"/>
          </w:tcPr>
          <w:p>
            <w:pPr>
              <w:pStyle w:val="TableParagraph"/>
              <w:spacing w:before="197"/>
              <w:ind w:left="30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3171" w:type="dxa"/>
          </w:tcPr>
          <w:p>
            <w:pPr>
              <w:pStyle w:val="TableParagraph"/>
              <w:spacing w:before="192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0.65 ±0.02</w:t>
            </w:r>
          </w:p>
        </w:tc>
        <w:tc>
          <w:tcPr>
            <w:tcW w:w="3012" w:type="dxa"/>
          </w:tcPr>
          <w:p>
            <w:pPr>
              <w:pStyle w:val="TableParagraph"/>
              <w:spacing w:before="192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1.1*</w:t>
            </w:r>
          </w:p>
        </w:tc>
      </w:tr>
      <w:tr>
        <w:trPr>
          <w:trHeight w:val="740" w:hRule="atLeast"/>
        </w:trPr>
        <w:tc>
          <w:tcPr>
            <w:tcW w:w="3129" w:type="dxa"/>
          </w:tcPr>
          <w:p>
            <w:pPr>
              <w:pStyle w:val="TableParagraph"/>
              <w:spacing w:before="229"/>
              <w:ind w:left="30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3171" w:type="dxa"/>
          </w:tcPr>
          <w:p>
            <w:pPr>
              <w:pStyle w:val="TableParagraph"/>
              <w:spacing w:before="224"/>
              <w:ind w:left="321" w:right="433"/>
              <w:jc w:val="center"/>
              <w:rPr>
                <w:sz w:val="24"/>
              </w:rPr>
            </w:pPr>
            <w:r>
              <w:rPr>
                <w:sz w:val="24"/>
              </w:rPr>
              <w:t>0.65 ± 0.01</w:t>
            </w:r>
          </w:p>
        </w:tc>
        <w:tc>
          <w:tcPr>
            <w:tcW w:w="3012" w:type="dxa"/>
          </w:tcPr>
          <w:p>
            <w:pPr>
              <w:pStyle w:val="TableParagraph"/>
              <w:spacing w:before="224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1.7*</w:t>
            </w:r>
          </w:p>
        </w:tc>
      </w:tr>
      <w:tr>
        <w:trPr>
          <w:trHeight w:val="754" w:hRule="atLeast"/>
        </w:trPr>
        <w:tc>
          <w:tcPr>
            <w:tcW w:w="3129" w:type="dxa"/>
          </w:tcPr>
          <w:p>
            <w:pPr>
              <w:pStyle w:val="TableParagraph"/>
              <w:spacing w:before="230"/>
              <w:ind w:left="30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3171" w:type="dxa"/>
          </w:tcPr>
          <w:p>
            <w:pPr>
              <w:pStyle w:val="TableParagraph"/>
              <w:spacing w:before="225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0.65 ±0.02</w:t>
            </w:r>
          </w:p>
        </w:tc>
        <w:tc>
          <w:tcPr>
            <w:tcW w:w="3012" w:type="dxa"/>
          </w:tcPr>
          <w:p>
            <w:pPr>
              <w:pStyle w:val="TableParagraph"/>
              <w:spacing w:before="225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1.4*</w:t>
            </w:r>
          </w:p>
        </w:tc>
      </w:tr>
      <w:tr>
        <w:trPr>
          <w:trHeight w:val="920" w:hRule="atLeast"/>
        </w:trPr>
        <w:tc>
          <w:tcPr>
            <w:tcW w:w="3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0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3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0.67 ±0.01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1.7*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before="1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0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2045" w:right="1417" w:hanging="240"/>
      </w:pPr>
      <w:r>
        <w:rPr/>
        <w:t>*</w:t>
      </w:r>
      <w:r>
        <w:rPr>
          <w:spacing w:val="29"/>
        </w:rPr>
        <w:t> </w:t>
      </w:r>
      <w:r>
        <w:rPr/>
        <w:t>passed</w:t>
      </w:r>
      <w:r>
        <w:rPr>
          <w:spacing w:val="30"/>
        </w:rPr>
        <w:t> </w:t>
      </w:r>
      <w:r>
        <w:rPr/>
        <w:t>(B.P</w:t>
      </w:r>
      <w:r>
        <w:rPr>
          <w:spacing w:val="31"/>
        </w:rPr>
        <w:t> </w:t>
      </w:r>
      <w:r>
        <w:rPr/>
        <w:t>2009</w:t>
      </w:r>
      <w:r>
        <w:rPr>
          <w:spacing w:val="32"/>
        </w:rPr>
        <w:t> </w:t>
      </w:r>
      <w:r>
        <w:rPr/>
        <w:t>stated</w:t>
      </w:r>
      <w:r>
        <w:rPr>
          <w:spacing w:val="29"/>
        </w:rPr>
        <w:t> </w:t>
      </w:r>
      <w:r>
        <w:rPr/>
        <w:t>that</w:t>
      </w:r>
      <w:r>
        <w:rPr>
          <w:spacing w:val="31"/>
        </w:rPr>
        <w:t> </w:t>
      </w:r>
      <w:r>
        <w:rPr/>
        <w:t>not</w:t>
      </w:r>
      <w:r>
        <w:rPr>
          <w:spacing w:val="30"/>
        </w:rPr>
        <w:t> </w:t>
      </w:r>
      <w:r>
        <w:rPr/>
        <w:t>more</w:t>
      </w:r>
      <w:r>
        <w:rPr>
          <w:spacing w:val="29"/>
        </w:rPr>
        <w:t> </w:t>
      </w:r>
      <w:r>
        <w:rPr/>
        <w:t>than</w:t>
      </w:r>
      <w:r>
        <w:rPr>
          <w:spacing w:val="29"/>
        </w:rPr>
        <w:t> </w:t>
      </w:r>
      <w:r>
        <w:rPr/>
        <w:t>two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individual</w:t>
      </w:r>
      <w:r>
        <w:rPr>
          <w:spacing w:val="60"/>
        </w:rPr>
        <w:t> </w:t>
      </w:r>
      <w:r>
        <w:rPr/>
        <w:t>weights</w:t>
      </w:r>
      <w:r>
        <w:rPr>
          <w:spacing w:val="31"/>
        </w:rPr>
        <w:t> </w:t>
      </w:r>
      <w:r>
        <w:rPr/>
        <w:t>for</w:t>
      </w:r>
      <w:r>
        <w:rPr>
          <w:spacing w:val="-57"/>
        </w:rPr>
        <w:t> </w:t>
      </w:r>
      <w:r>
        <w:rPr/>
        <w:t>tablet of average weight 250mg or more deviates from average weight 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 5%</w:t>
      </w:r>
      <w:r>
        <w:rPr>
          <w:spacing w:val="-2"/>
        </w:rPr>
        <w:t> </w:t>
      </w:r>
      <w:r>
        <w:rPr/>
        <w:t>and none</w:t>
      </w:r>
      <w:r>
        <w:rPr>
          <w:spacing w:val="-1"/>
        </w:rPr>
        <w:t> </w:t>
      </w:r>
      <w:r>
        <w:rPr/>
        <w:t>deviates by</w:t>
      </w:r>
      <w:r>
        <w:rPr>
          <w:spacing w:val="-5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 twice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percentage).</w:t>
      </w:r>
    </w:p>
    <w:p>
      <w:pPr>
        <w:spacing w:after="0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5022" w:val="left" w:leader="none"/>
        </w:tabs>
        <w:spacing w:line="240" w:lineRule="auto" w:before="79" w:after="0"/>
        <w:ind w:left="5021" w:right="0" w:hanging="361"/>
        <w:jc w:val="left"/>
      </w:pPr>
      <w:bookmarkStart w:name="_TOC_250012" w:id="30"/>
      <w:r>
        <w:rPr/>
        <w:t>Friability</w:t>
      </w:r>
      <w:r>
        <w:rPr>
          <w:spacing w:val="-2"/>
        </w:rPr>
        <w:t> </w:t>
      </w:r>
      <w:bookmarkEnd w:id="30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6"/>
        <w:jc w:val="both"/>
      </w:pPr>
      <w:r>
        <w:rPr/>
        <w:t>The percentage friability of Samples A1, A2 and</w:t>
      </w:r>
      <w:r>
        <w:rPr>
          <w:spacing w:val="60"/>
        </w:rPr>
        <w:t> </w:t>
      </w:r>
      <w:r>
        <w:rPr/>
        <w:t>A3 were found to be 0.17%, 0.42%</w:t>
      </w:r>
      <w:r>
        <w:rPr>
          <w:spacing w:val="1"/>
        </w:rPr>
        <w:t> </w:t>
      </w:r>
      <w:r>
        <w:rPr/>
        <w:t>and 0.43% respectively, while those of samples B1 and B2 had 0.74% and 0.33%</w:t>
      </w:r>
      <w:r>
        <w:rPr>
          <w:spacing w:val="1"/>
        </w:rPr>
        <w:t> </w:t>
      </w:r>
      <w:r>
        <w:rPr/>
        <w:t>respectively. However, Sample B3 had 5.83% which was greater than 1% and so had</w:t>
      </w:r>
      <w:r>
        <w:rPr>
          <w:spacing w:val="1"/>
        </w:rPr>
        <w:t> </w:t>
      </w:r>
      <w:r>
        <w:rPr/>
        <w:t>failed</w:t>
      </w:r>
      <w:r>
        <w:rPr>
          <w:spacing w:val="-1"/>
        </w:rPr>
        <w:t> </w:t>
      </w:r>
      <w:r>
        <w:rPr/>
        <w:t>the test (Table 4.2)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line="242" w:lineRule="auto" w:before="117"/>
        <w:ind w:left="2465" w:right="1410" w:hanging="1140"/>
      </w:pPr>
      <w:r>
        <w:rPr/>
        <w:t>Table</w:t>
      </w:r>
      <w:r>
        <w:rPr>
          <w:spacing w:val="46"/>
        </w:rPr>
        <w:t> </w:t>
      </w:r>
      <w:r>
        <w:rPr/>
        <w:t>4.2:</w:t>
      </w:r>
      <w:r>
        <w:rPr>
          <w:spacing w:val="46"/>
        </w:rPr>
        <w:t> </w:t>
      </w:r>
      <w:r>
        <w:rPr/>
        <w:t>Friability</w:t>
      </w:r>
      <w:r>
        <w:rPr>
          <w:spacing w:val="48"/>
        </w:rPr>
        <w:t> </w:t>
      </w:r>
      <w:r>
        <w:rPr/>
        <w:t>Test</w:t>
      </w:r>
      <w:r>
        <w:rPr>
          <w:spacing w:val="46"/>
        </w:rPr>
        <w:t> </w:t>
      </w:r>
      <w:r>
        <w:rPr/>
        <w:t>for</w:t>
      </w:r>
      <w:r>
        <w:rPr>
          <w:spacing w:val="46"/>
        </w:rPr>
        <w:t> </w:t>
      </w:r>
      <w:r>
        <w:rPr/>
        <w:t>Samples</w:t>
      </w:r>
      <w:r>
        <w:rPr>
          <w:spacing w:val="47"/>
        </w:rPr>
        <w:t> </w:t>
      </w:r>
      <w:r>
        <w:rPr/>
        <w:t>of</w:t>
      </w:r>
      <w:r>
        <w:rPr>
          <w:spacing w:val="50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46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49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5200"/>
      </w:tblGrid>
      <w:tr>
        <w:trPr>
          <w:trHeight w:val="599" w:hRule="atLeast"/>
        </w:trPr>
        <w:tc>
          <w:tcPr>
            <w:tcW w:w="4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599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Paracetamol</w:t>
            </w:r>
          </w:p>
        </w:tc>
        <w:tc>
          <w:tcPr>
            <w:tcW w:w="5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493" w:right="2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 Friability</w:t>
            </w:r>
          </w:p>
        </w:tc>
      </w:tr>
      <w:tr>
        <w:trPr>
          <w:trHeight w:val="752" w:hRule="atLeast"/>
        </w:trPr>
        <w:tc>
          <w:tcPr>
            <w:tcW w:w="4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599" w:right="1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5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7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0.17*</w:t>
            </w:r>
          </w:p>
        </w:tc>
      </w:tr>
      <w:tr>
        <w:trPr>
          <w:trHeight w:val="759" w:hRule="atLeast"/>
        </w:trPr>
        <w:tc>
          <w:tcPr>
            <w:tcW w:w="459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599" w:right="1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52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0.42*</w:t>
            </w:r>
          </w:p>
        </w:tc>
      </w:tr>
      <w:tr>
        <w:trPr>
          <w:trHeight w:val="751" w:hRule="atLeast"/>
        </w:trPr>
        <w:tc>
          <w:tcPr>
            <w:tcW w:w="4594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99" w:right="1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52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0.43*</w:t>
            </w:r>
          </w:p>
        </w:tc>
      </w:tr>
      <w:tr>
        <w:trPr>
          <w:trHeight w:val="744" w:hRule="atLeast"/>
        </w:trPr>
        <w:tc>
          <w:tcPr>
            <w:tcW w:w="4594" w:type="dxa"/>
          </w:tcPr>
          <w:p>
            <w:pPr>
              <w:pStyle w:val="TableParagraph"/>
              <w:spacing w:before="231"/>
              <w:ind w:left="599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5200" w:type="dxa"/>
          </w:tcPr>
          <w:p>
            <w:pPr>
              <w:pStyle w:val="TableParagraph"/>
              <w:spacing w:before="226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0.74*</w:t>
            </w:r>
          </w:p>
        </w:tc>
      </w:tr>
      <w:tr>
        <w:trPr>
          <w:trHeight w:val="751" w:hRule="atLeast"/>
        </w:trPr>
        <w:tc>
          <w:tcPr>
            <w:tcW w:w="4594" w:type="dxa"/>
          </w:tcPr>
          <w:p>
            <w:pPr>
              <w:pStyle w:val="TableParagraph"/>
              <w:spacing w:before="231"/>
              <w:ind w:left="599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5200" w:type="dxa"/>
          </w:tcPr>
          <w:p>
            <w:pPr>
              <w:pStyle w:val="TableParagraph"/>
              <w:spacing w:before="226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0.33*</w:t>
            </w:r>
          </w:p>
        </w:tc>
      </w:tr>
      <w:tr>
        <w:trPr>
          <w:trHeight w:val="769" w:hRule="atLeast"/>
        </w:trPr>
        <w:tc>
          <w:tcPr>
            <w:tcW w:w="4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599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5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3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5.83**</w:t>
            </w:r>
          </w:p>
        </w:tc>
      </w:tr>
    </w:tbl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before="130"/>
        <w:ind w:left="1385"/>
      </w:pPr>
      <w:r>
        <w:rPr>
          <w:b/>
        </w:rPr>
        <w:t>Key</w:t>
      </w:r>
      <w:r>
        <w:rPr/>
        <w:t>: A1, A2</w:t>
      </w:r>
      <w:r>
        <w:rPr>
          <w:spacing w:val="1"/>
        </w:rPr>
        <w:t> </w:t>
      </w:r>
      <w:r>
        <w:rPr/>
        <w:t>and A3 are samples of</w:t>
      </w:r>
      <w:r>
        <w:rPr>
          <w:spacing w:val="-2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925"/>
      </w:pPr>
      <w:r>
        <w:rPr/>
        <w:t>B1,</w:t>
      </w:r>
      <w:r>
        <w:rPr>
          <w:spacing w:val="-2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65"/>
      </w:pPr>
      <w:r>
        <w:rPr/>
        <w:t>*passed,</w:t>
      </w:r>
      <w:r>
        <w:rPr>
          <w:spacing w:val="-3"/>
        </w:rPr>
        <w:t> </w:t>
      </w:r>
      <w:r>
        <w:rPr/>
        <w:t>**failed</w:t>
      </w:r>
    </w:p>
    <w:p>
      <w:pPr>
        <w:pStyle w:val="BodyText"/>
        <w:spacing w:line="237" w:lineRule="auto" w:before="2"/>
        <w:ind w:left="2045" w:right="1417" w:hanging="120"/>
      </w:pPr>
      <w:r>
        <w:rPr/>
        <w:t>(B.P</w:t>
      </w:r>
      <w:r>
        <w:rPr>
          <w:spacing w:val="35"/>
        </w:rPr>
        <w:t> </w:t>
      </w:r>
      <w:r>
        <w:rPr/>
        <w:t>2009</w:t>
      </w:r>
      <w:r>
        <w:rPr>
          <w:spacing w:val="35"/>
        </w:rPr>
        <w:t> </w:t>
      </w:r>
      <w:r>
        <w:rPr/>
        <w:t>states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percentage</w:t>
      </w:r>
      <w:r>
        <w:rPr>
          <w:spacing w:val="34"/>
        </w:rPr>
        <w:t> </w:t>
      </w:r>
      <w:r>
        <w:rPr/>
        <w:t>friability</w:t>
      </w:r>
      <w:r>
        <w:rPr>
          <w:spacing w:val="28"/>
        </w:rPr>
        <w:t> </w:t>
      </w:r>
      <w:r>
        <w:rPr/>
        <w:t>of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tablet</w:t>
      </w:r>
      <w:r>
        <w:rPr>
          <w:spacing w:val="36"/>
        </w:rPr>
        <w:t> </w:t>
      </w:r>
      <w:r>
        <w:rPr/>
        <w:t>should</w:t>
      </w:r>
      <w:r>
        <w:rPr>
          <w:spacing w:val="35"/>
        </w:rPr>
        <w:t> </w:t>
      </w:r>
      <w:r>
        <w:rPr/>
        <w:t>not</w:t>
      </w:r>
      <w:r>
        <w:rPr>
          <w:spacing w:val="36"/>
        </w:rPr>
        <w:t> </w:t>
      </w:r>
      <w:r>
        <w:rPr/>
        <w:t>be</w:t>
      </w:r>
      <w:r>
        <w:rPr>
          <w:spacing w:val="33"/>
        </w:rPr>
        <w:t> </w:t>
      </w:r>
      <w:r>
        <w:rPr/>
        <w:t>greater</w:t>
      </w:r>
      <w:r>
        <w:rPr>
          <w:spacing w:val="-57"/>
        </w:rPr>
        <w:t> </w:t>
      </w:r>
      <w:r>
        <w:rPr/>
        <w:t>than</w:t>
      </w:r>
      <w:r>
        <w:rPr>
          <w:spacing w:val="-2"/>
        </w:rPr>
        <w:t> </w:t>
      </w:r>
      <w:r>
        <w:rPr/>
        <w:t>1%)</w:t>
      </w:r>
    </w:p>
    <w:p>
      <w:pPr>
        <w:spacing w:after="0" w:line="237" w:lineRule="auto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4775" w:val="left" w:leader="none"/>
        </w:tabs>
        <w:spacing w:line="240" w:lineRule="auto" w:before="79" w:after="0"/>
        <w:ind w:left="4774" w:right="0" w:hanging="361"/>
        <w:jc w:val="left"/>
      </w:pPr>
      <w:bookmarkStart w:name="_TOC_250011" w:id="31"/>
      <w:r>
        <w:rPr/>
        <w:t>Disintegration</w:t>
      </w:r>
      <w:r>
        <w:rPr>
          <w:spacing w:val="-2"/>
        </w:rPr>
        <w:t> </w:t>
      </w:r>
      <w:bookmarkEnd w:id="31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7" w:firstLine="59"/>
        <w:jc w:val="both"/>
      </w:pPr>
      <w:r>
        <w:rPr/>
        <w:t>Samples A1, A2 and A3 disintegrated in a mean time of 1.7 min, 1.2 min and 1.3 min</w:t>
      </w:r>
      <w:r>
        <w:rPr>
          <w:spacing w:val="1"/>
        </w:rPr>
        <w:t> </w:t>
      </w:r>
      <w:r>
        <w:rPr/>
        <w:t>respectively while samples B1, B2 and B3 disintegrated in a mean time of 1.3 min, 1.0</w:t>
      </w:r>
      <w:r>
        <w:rPr>
          <w:spacing w:val="1"/>
        </w:rPr>
        <w:t> </w:t>
      </w:r>
      <w:r>
        <w:rPr/>
        <w:t>min and 0.5 min respectively. The B.P 2009 specification states that all tablets should</w:t>
      </w:r>
      <w:r>
        <w:rPr>
          <w:spacing w:val="1"/>
        </w:rPr>
        <w:t> </w:t>
      </w:r>
      <w:r>
        <w:rPr/>
        <w:t>disintegrate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15 minutes (Table 4.3).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119"/>
        <w:ind w:left="1295" w:right="1423"/>
        <w:jc w:val="center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Disintegration Test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2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4"/>
        <w:gridCol w:w="5746"/>
      </w:tblGrid>
      <w:tr>
        <w:trPr>
          <w:trHeight w:val="693" w:hRule="atLeast"/>
        </w:trPr>
        <w:tc>
          <w:tcPr>
            <w:tcW w:w="5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531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Paracetamol</w:t>
            </w:r>
          </w:p>
        </w:tc>
        <w:tc>
          <w:tcPr>
            <w:tcW w:w="5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255" w:right="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disintegration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</w:tr>
      <w:tr>
        <w:trPr>
          <w:trHeight w:val="558" w:hRule="atLeast"/>
        </w:trPr>
        <w:tc>
          <w:tcPr>
            <w:tcW w:w="5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1531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5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3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1.7*</w:t>
            </w:r>
          </w:p>
        </w:tc>
      </w:tr>
      <w:tr>
        <w:trPr>
          <w:trHeight w:val="659" w:hRule="atLeast"/>
        </w:trPr>
        <w:tc>
          <w:tcPr>
            <w:tcW w:w="5194" w:type="dxa"/>
          </w:tcPr>
          <w:p>
            <w:pPr>
              <w:pStyle w:val="TableParagraph"/>
              <w:spacing w:before="189"/>
              <w:ind w:left="1531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5746" w:type="dxa"/>
          </w:tcPr>
          <w:p>
            <w:pPr>
              <w:pStyle w:val="TableParagraph"/>
              <w:spacing w:before="184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1.2*</w:t>
            </w:r>
          </w:p>
        </w:tc>
      </w:tr>
      <w:tr>
        <w:trPr>
          <w:trHeight w:val="656" w:hRule="atLeast"/>
        </w:trPr>
        <w:tc>
          <w:tcPr>
            <w:tcW w:w="5194" w:type="dxa"/>
          </w:tcPr>
          <w:p>
            <w:pPr>
              <w:pStyle w:val="TableParagraph"/>
              <w:spacing w:before="188"/>
              <w:ind w:left="1531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5746" w:type="dxa"/>
          </w:tcPr>
          <w:p>
            <w:pPr>
              <w:pStyle w:val="TableParagraph"/>
              <w:spacing w:before="183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1.3*</w:t>
            </w:r>
          </w:p>
        </w:tc>
      </w:tr>
      <w:tr>
        <w:trPr>
          <w:trHeight w:val="654" w:hRule="atLeast"/>
        </w:trPr>
        <w:tc>
          <w:tcPr>
            <w:tcW w:w="5194" w:type="dxa"/>
          </w:tcPr>
          <w:p>
            <w:pPr>
              <w:pStyle w:val="TableParagraph"/>
              <w:spacing w:before="187"/>
              <w:ind w:left="1531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5746" w:type="dxa"/>
          </w:tcPr>
          <w:p>
            <w:pPr>
              <w:pStyle w:val="TableParagraph"/>
              <w:spacing w:before="182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1.3*</w:t>
            </w:r>
          </w:p>
        </w:tc>
      </w:tr>
      <w:tr>
        <w:trPr>
          <w:trHeight w:val="609" w:hRule="atLeast"/>
        </w:trPr>
        <w:tc>
          <w:tcPr>
            <w:tcW w:w="5194" w:type="dxa"/>
          </w:tcPr>
          <w:p>
            <w:pPr>
              <w:pStyle w:val="TableParagraph"/>
              <w:spacing w:before="185"/>
              <w:ind w:left="1531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5746" w:type="dxa"/>
          </w:tcPr>
          <w:p>
            <w:pPr>
              <w:pStyle w:val="TableParagraph"/>
              <w:spacing w:before="181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1.0*</w:t>
            </w:r>
          </w:p>
        </w:tc>
      </w:tr>
      <w:tr>
        <w:trPr>
          <w:trHeight w:val="618" w:hRule="atLeast"/>
        </w:trPr>
        <w:tc>
          <w:tcPr>
            <w:tcW w:w="5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531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5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0.5*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pStyle w:val="BodyText"/>
        <w:spacing w:before="130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65"/>
      </w:pPr>
      <w:r>
        <w:rPr/>
        <w:t>B1,</w:t>
      </w:r>
      <w:r>
        <w:rPr>
          <w:spacing w:val="-2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</w:t>
      </w:r>
    </w:p>
    <w:p>
      <w:pPr>
        <w:pStyle w:val="BodyText"/>
        <w:ind w:left="1865"/>
      </w:pPr>
      <w:r>
        <w:rPr/>
        <w:t>*passed</w:t>
      </w:r>
    </w:p>
    <w:p>
      <w:pPr>
        <w:pStyle w:val="BodyText"/>
        <w:spacing w:before="3"/>
        <w:ind w:left="2045"/>
      </w:pPr>
      <w:r>
        <w:rPr/>
        <w:t>(B.P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tablets should</w:t>
      </w:r>
      <w:r>
        <w:rPr>
          <w:spacing w:val="-1"/>
        </w:rPr>
        <w:t> </w:t>
      </w:r>
      <w:r>
        <w:rPr/>
        <w:t>disintegrate before</w:t>
      </w:r>
      <w:r>
        <w:rPr>
          <w:spacing w:val="-2"/>
        </w:rPr>
        <w:t> </w:t>
      </w:r>
      <w:r>
        <w:rPr/>
        <w:t>15</w:t>
      </w:r>
      <w:r>
        <w:rPr>
          <w:spacing w:val="2"/>
        </w:rPr>
        <w:t> </w:t>
      </w:r>
      <w:r>
        <w:rPr/>
        <w:t>minutes)</w:t>
      </w:r>
    </w:p>
    <w:p>
      <w:pPr>
        <w:spacing w:after="0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4348" w:val="left" w:leader="none"/>
        </w:tabs>
        <w:spacing w:line="240" w:lineRule="auto" w:before="79" w:after="0"/>
        <w:ind w:left="4347" w:right="0" w:hanging="361"/>
        <w:jc w:val="left"/>
      </w:pPr>
      <w:bookmarkStart w:name="_TOC_250010" w:id="32"/>
      <w:r>
        <w:rPr/>
        <w:t>Dissolution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(USP</w:t>
      </w:r>
      <w:r>
        <w:rPr>
          <w:spacing w:val="-3"/>
        </w:rPr>
        <w:t> </w:t>
      </w:r>
      <w:bookmarkEnd w:id="32"/>
      <w:r>
        <w:rPr/>
        <w:t>XIX)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4"/>
        <w:jc w:val="both"/>
      </w:pPr>
      <w:r>
        <w:rPr/>
        <w:t>The mean concentration of the samples in 0.1M HCl after 1hr for the tablets is as shown</w:t>
      </w:r>
      <w:r>
        <w:rPr>
          <w:spacing w:val="-57"/>
        </w:rPr>
        <w:t> </w:t>
      </w:r>
      <w:r>
        <w:rPr/>
        <w:t>in the table 4.4. Samples A1, A2and A3 had 97.8%, 98.8% and 98.0% dissolution of</w:t>
      </w:r>
      <w:r>
        <w:rPr>
          <w:spacing w:val="1"/>
        </w:rPr>
        <w:t> </w:t>
      </w:r>
      <w:r>
        <w:rPr/>
        <w:t>active ingredient respectively while Samples B1, B2 and B3 had 99.4%, 99.2% and</w:t>
      </w:r>
      <w:r>
        <w:rPr>
          <w:spacing w:val="1"/>
        </w:rPr>
        <w:t> </w:t>
      </w:r>
      <w:r>
        <w:rPr/>
        <w:t>99.6% respectively. The time for half of the drug to go into dissolution state was less</w:t>
      </w:r>
      <w:r>
        <w:rPr>
          <w:spacing w:val="1"/>
        </w:rPr>
        <w:t> </w:t>
      </w:r>
      <w:r>
        <w:rPr/>
        <w:t>than 5 minutes. It was observed that the entire samples dissolution rate increased rapidly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10 minutes then</w:t>
      </w:r>
      <w:r>
        <w:rPr>
          <w:spacing w:val="-1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constant</w:t>
      </w:r>
      <w:r>
        <w:rPr>
          <w:spacing w:val="2"/>
        </w:rPr>
        <w:t> </w:t>
      </w:r>
      <w:r>
        <w:rPr/>
        <w:t>afterwards.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line="360" w:lineRule="auto" w:before="119"/>
        <w:ind w:left="2448" w:right="1417" w:hanging="1124"/>
      </w:pPr>
      <w:r>
        <w:rPr/>
        <w:pict>
          <v:shape style="position:absolute;margin-left:529.200012pt;margin-top:123.45977pt;width:46.75pt;height:13.3pt;mso-position-horizontal-relative:page;mso-position-vertical-relative:paragraph;z-index:-1761126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dissolved</w:t>
                  </w:r>
                </w:p>
              </w:txbxContent>
            </v:textbox>
            <w10:wrap type="none"/>
          </v:shape>
        </w:pict>
      </w:r>
      <w:r>
        <w:rPr/>
        <w:t>Table 4.4:</w:t>
      </w:r>
      <w:r>
        <w:rPr>
          <w:spacing w:val="1"/>
        </w:rPr>
        <w:t> </w:t>
      </w:r>
      <w:r>
        <w:rPr/>
        <w:t>Dissolution Rate Studies of Samples of Panadol</w:t>
      </w:r>
      <w:r>
        <w:rPr>
          <w:vertAlign w:val="superscript"/>
        </w:rPr>
        <w:t>®</w:t>
      </w:r>
      <w:r>
        <w:rPr>
          <w:vertAlign w:val="baseline"/>
        </w:rPr>
        <w:t> and Panadol Extra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 in 0.1M HCl using USP rotating basket method measured at</w:t>
      </w:r>
      <w:r>
        <w:rPr>
          <w:spacing w:val="1"/>
          <w:vertAlign w:val="baseline"/>
        </w:rPr>
        <w:t> </w:t>
      </w:r>
      <w:r>
        <w:rPr>
          <w:vertAlign w:val="baseline"/>
        </w:rPr>
        <w:t>257nm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0"/>
        </w:rPr>
      </w:pPr>
    </w:p>
    <w:p>
      <w:pPr>
        <w:pStyle w:val="BodyText"/>
        <w:spacing w:line="20" w:lineRule="exact"/>
        <w:ind w:left="1217"/>
        <w:rPr>
          <w:sz w:val="2"/>
        </w:rPr>
      </w:pPr>
      <w:r>
        <w:rPr>
          <w:sz w:val="2"/>
        </w:rPr>
        <w:pict>
          <v:group style="width:488.4pt;height:.5pt;mso-position-horizontal-relative:char;mso-position-vertical-relative:line" coordorigin="0,0" coordsize="9768,10">
            <v:shape style="position:absolute;left:0;top:0;width:9768;height:10" coordorigin="0,0" coordsize="9768,10" path="m8581,0l1106,0,1097,0,1097,0,0,0,0,10,1097,10,1097,10,1106,10,8581,10,8581,0xm9768,0l8591,0,8591,0,8582,0,8582,10,8591,10,8591,10,9768,10,976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07" w:top="1280" w:bottom="1200" w:left="660" w:right="0"/>
        </w:sectPr>
      </w:pPr>
    </w:p>
    <w:p>
      <w:pPr>
        <w:pStyle w:val="BodyText"/>
        <w:spacing w:before="1"/>
        <w:rPr>
          <w:b/>
          <w:sz w:val="35"/>
        </w:rPr>
      </w:pPr>
    </w:p>
    <w:p>
      <w:pPr>
        <w:spacing w:before="0"/>
        <w:ind w:left="1385" w:right="0" w:firstLine="0"/>
        <w:jc w:val="left"/>
        <w:rPr>
          <w:b/>
          <w:sz w:val="24"/>
        </w:rPr>
      </w:pPr>
      <w:r>
        <w:rPr/>
        <w:pict>
          <v:shape style="position:absolute;margin-left:93.863998pt;margin-top:7.349751pt;width:488.4pt;height:257.3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8"/>
                    <w:gridCol w:w="1574"/>
                    <w:gridCol w:w="1206"/>
                    <w:gridCol w:w="1208"/>
                    <w:gridCol w:w="1208"/>
                    <w:gridCol w:w="1209"/>
                    <w:gridCol w:w="1235"/>
                    <w:gridCol w:w="1164"/>
                  </w:tblGrid>
                  <w:tr>
                    <w:trPr>
                      <w:trHeight w:val="744" w:hRule="atLeast"/>
                    </w:trPr>
                    <w:tc>
                      <w:tcPr>
                        <w:tcW w:w="9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2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116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319" w:right="181" w:hanging="1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after 45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mins</w:t>
                        </w:r>
                      </w:p>
                    </w:tc>
                  </w:tr>
                  <w:tr>
                    <w:trPr>
                      <w:trHeight w:val="677" w:hRule="atLeast"/>
                    </w:trPr>
                    <w:tc>
                      <w:tcPr>
                        <w:tcW w:w="9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right="2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A1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220±5.04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448±7.36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468±3.38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478±4.06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484±1.16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489±2.19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97.8</w:t>
                        </w:r>
                      </w:p>
                    </w:tc>
                  </w:tr>
                  <w:tr>
                    <w:trPr>
                      <w:trHeight w:val="783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2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A2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208±5.04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450±7.36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466±3.38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470±4.06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482±1.16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494±2.19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98.8</w:t>
                        </w:r>
                      </w:p>
                    </w:tc>
                  </w:tr>
                  <w:tr>
                    <w:trPr>
                      <w:trHeight w:val="784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2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A3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225±5.04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427±7.36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457±3.38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464±4.06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480±1.16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490±2.19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98.0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B1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300±5.77**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459±1.73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488±3.84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478±2.08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480±2.91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497±2.60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99.4</w:t>
                        </w:r>
                      </w:p>
                    </w:tc>
                  </w:tr>
                  <w:tr>
                    <w:trPr>
                      <w:trHeight w:val="808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B2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280±5.77**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465±1.73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476±3.84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485±2.08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490±2.91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496±2.60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</w:t>
                        </w: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B3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290±5.77**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462±1.73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477±3.84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480±2.08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486±2.91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498±2.60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Sample</w:t>
      </w:r>
    </w:p>
    <w:p>
      <w:pPr>
        <w:pStyle w:val="Heading1"/>
        <w:tabs>
          <w:tab w:pos="6656" w:val="left" w:leader="none"/>
        </w:tabs>
        <w:spacing w:line="411" w:lineRule="exact"/>
        <w:ind w:left="648"/>
        <w:jc w:val="center"/>
      </w:pPr>
      <w:r>
        <w:rPr>
          <w:b w:val="0"/>
        </w:rPr>
        <w:br w:type="column"/>
      </w:r>
      <w:r>
        <w:rPr/>
        <w:t>Concentration</w:t>
      </w:r>
      <w:r>
        <w:rPr>
          <w:spacing w:val="-1"/>
        </w:rPr>
        <w:t> </w:t>
      </w:r>
      <w:r>
        <w:rPr/>
        <w:t>(mg/L)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(min)</w:t>
        <w:tab/>
      </w:r>
      <w:r>
        <w:rPr>
          <w:position w:val="15"/>
        </w:rPr>
        <w:t>%</w:t>
      </w:r>
    </w:p>
    <w:p>
      <w:pPr>
        <w:spacing w:after="0" w:line="411" w:lineRule="exact"/>
        <w:jc w:val="center"/>
        <w:sectPr>
          <w:type w:val="continuous"/>
          <w:pgSz w:w="11910" w:h="16840"/>
          <w:pgMar w:top="1320" w:bottom="280" w:left="660" w:right="0"/>
          <w:cols w:num="2" w:equalWidth="0">
            <w:col w:w="2184" w:space="692"/>
            <w:col w:w="837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0" w:lineRule="exact"/>
        <w:ind w:left="1202"/>
        <w:rPr>
          <w:sz w:val="2"/>
        </w:rPr>
      </w:pPr>
      <w:r>
        <w:rPr>
          <w:sz w:val="2"/>
        </w:rPr>
        <w:pict>
          <v:group style="width:489.1pt;height:.5pt;mso-position-horizontal-relative:char;mso-position-vertical-relative:line" coordorigin="0,0" coordsize="9782,10">
            <v:rect style="position:absolute;left:0;top:0;width:978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60" w:lineRule="exact"/>
        <w:ind w:left="1325"/>
      </w:pPr>
      <w:r>
        <w:rPr/>
        <w:t>Data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 using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ANOVA and</w:t>
      </w:r>
      <w:r>
        <w:rPr>
          <w:spacing w:val="2"/>
        </w:rPr>
        <w:t> </w:t>
      </w:r>
      <w:r>
        <w:rPr/>
        <w:t>**p&lt;0.01is significant</w:t>
      </w:r>
    </w:p>
    <w:p>
      <w:pPr>
        <w:pStyle w:val="BodyText"/>
        <w:tabs>
          <w:tab w:pos="2045" w:val="left" w:leader="none"/>
        </w:tabs>
        <w:spacing w:before="197"/>
        <w:ind w:left="1325"/>
      </w:pPr>
      <w:r>
        <w:rPr>
          <w:b/>
        </w:rPr>
        <w:t>Key</w:t>
      </w:r>
      <w:r>
        <w:rPr/>
        <w:t>:</w:t>
        <w:tab/>
        <w:t>A1, A2 and A3 are</w:t>
      </w:r>
      <w:r>
        <w:rPr>
          <w:spacing w:val="-2"/>
        </w:rPr>
        <w:t> </w:t>
      </w:r>
      <w:r>
        <w:rPr/>
        <w:t>samples of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210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2045" w:right="1410" w:firstLine="60"/>
      </w:pPr>
      <w:r>
        <w:rPr/>
        <w:t>(B.P</w:t>
      </w:r>
      <w:r>
        <w:rPr>
          <w:spacing w:val="23"/>
        </w:rPr>
        <w:t> </w:t>
      </w:r>
      <w:r>
        <w:rPr/>
        <w:t>2009</w:t>
      </w:r>
      <w:r>
        <w:rPr>
          <w:spacing w:val="24"/>
        </w:rPr>
        <w:t> </w:t>
      </w:r>
      <w:r>
        <w:rPr/>
        <w:t>states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tablet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pass</w:t>
      </w:r>
      <w:r>
        <w:rPr>
          <w:spacing w:val="23"/>
        </w:rPr>
        <w:t> </w:t>
      </w:r>
      <w:r>
        <w:rPr/>
        <w:t>dissolution</w:t>
      </w:r>
      <w:r>
        <w:rPr>
          <w:spacing w:val="23"/>
        </w:rPr>
        <w:t> </w:t>
      </w:r>
      <w:r>
        <w:rPr/>
        <w:t>test,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amount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active</w:t>
      </w:r>
      <w:r>
        <w:rPr>
          <w:spacing w:val="-57"/>
        </w:rPr>
        <w:t> </w:t>
      </w:r>
      <w:r>
        <w:rPr/>
        <w:t>ingredient released after</w:t>
      </w:r>
      <w:r>
        <w:rPr>
          <w:spacing w:val="1"/>
        </w:rPr>
        <w:t> </w:t>
      </w:r>
      <w:r>
        <w:rPr/>
        <w:t>45 min</w:t>
      </w:r>
      <w:r>
        <w:rPr>
          <w:spacing w:val="-1"/>
        </w:rPr>
        <w:t> </w:t>
      </w:r>
      <w:r>
        <w:rPr/>
        <w:t>should not be less</w:t>
      </w:r>
      <w:r>
        <w:rPr>
          <w:spacing w:val="-1"/>
        </w:rPr>
        <w:t> </w:t>
      </w:r>
      <w:r>
        <w:rPr/>
        <w:t>than 70%)</w:t>
      </w:r>
    </w:p>
    <w:p>
      <w:pPr>
        <w:spacing w:after="0"/>
        <w:sectPr>
          <w:type w:val="continuous"/>
          <w:pgSz w:w="11910" w:h="16840"/>
          <w:pgMar w:top="1320" w:bottom="280" w:left="660" w:right="0"/>
        </w:sectPr>
      </w:pPr>
    </w:p>
    <w:p>
      <w:pPr>
        <w:pStyle w:val="Heading1"/>
        <w:numPr>
          <w:ilvl w:val="1"/>
          <w:numId w:val="20"/>
        </w:numPr>
        <w:tabs>
          <w:tab w:pos="2516" w:val="left" w:leader="none"/>
        </w:tabs>
        <w:spacing w:line="240" w:lineRule="auto" w:before="119" w:after="0"/>
        <w:ind w:left="2515" w:right="0" w:hanging="361"/>
        <w:jc w:val="left"/>
      </w:pPr>
      <w:bookmarkStart w:name="_TOC_250009" w:id="33"/>
      <w:r>
        <w:rPr/>
        <w:t>Chemical</w:t>
      </w:r>
      <w:r>
        <w:rPr>
          <w:spacing w:val="-1"/>
        </w:rPr>
        <w:t> </w:t>
      </w:r>
      <w:r>
        <w:rPr/>
        <w:t>Assay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bookmarkEnd w:id="33"/>
      <w:r>
        <w:rPr>
          <w:vertAlign w:val="baseline"/>
        </w:rPr>
        <w:t>tablets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BodyText"/>
        <w:spacing w:line="480" w:lineRule="auto"/>
        <w:ind w:left="1325" w:right="1417"/>
        <w:jc w:val="both"/>
      </w:pPr>
      <w:r>
        <w:rPr/>
        <w:t>The assay of paracetamol content in each tablet revealed that, Samples A1, A2 and A3</w:t>
      </w:r>
      <w:r>
        <w:rPr>
          <w:spacing w:val="1"/>
        </w:rPr>
        <w:t> </w:t>
      </w:r>
      <w:r>
        <w:rPr/>
        <w:t>had percentage active content of 101.37%, 102.16% and 99.95% respectively; while</w:t>
      </w:r>
      <w:r>
        <w:rPr>
          <w:spacing w:val="1"/>
        </w:rPr>
        <w:t> </w:t>
      </w:r>
      <w:r>
        <w:rPr/>
        <w:t>Samples B1, B2 and B3 had 97.07%, 100.78% and 101.17% respectively.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samples analysed passed the test as the percentage content were within the B.P (2009)</w:t>
      </w:r>
      <w:r>
        <w:rPr>
          <w:spacing w:val="1"/>
        </w:rPr>
        <w:t> </w:t>
      </w:r>
      <w:r>
        <w:rPr/>
        <w:t>limits of</w:t>
      </w:r>
      <w:r>
        <w:rPr>
          <w:spacing w:val="-1"/>
        </w:rPr>
        <w:t> </w:t>
      </w:r>
      <w:r>
        <w:rPr/>
        <w:t>95%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105%.</w:t>
      </w:r>
    </w:p>
    <w:p>
      <w:pPr>
        <w:spacing w:after="0" w:line="480" w:lineRule="auto"/>
        <w:jc w:val="both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spacing w:before="119"/>
        <w:ind w:left="1325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3"/>
        </w:rPr>
        <w:t> </w:t>
      </w:r>
      <w:r>
        <w:rPr/>
        <w:t>Chemical Assay</w:t>
      </w:r>
      <w:r>
        <w:rPr>
          <w:spacing w:val="-2"/>
        </w:rPr>
        <w:t> </w:t>
      </w:r>
      <w:r>
        <w:rPr/>
        <w:t>of 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2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5"/>
        <w:gridCol w:w="4173"/>
        <w:gridCol w:w="3523"/>
      </w:tblGrid>
      <w:tr>
        <w:trPr>
          <w:trHeight w:val="750" w:hRule="atLeast"/>
        </w:trPr>
        <w:tc>
          <w:tcPr>
            <w:tcW w:w="1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392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4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775" w:right="396" w:hanging="1498"/>
              <w:rPr>
                <w:b/>
                <w:sz w:val="24"/>
              </w:rPr>
            </w:pPr>
            <w:r>
              <w:rPr>
                <w:b/>
                <w:sz w:val="24"/>
              </w:rPr>
              <w:t>Content of paracetamol per tablet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3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400" w:right="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602" w:hRule="atLeast"/>
        </w:trPr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9"/>
              <w:ind w:left="396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4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686"/>
              <w:rPr>
                <w:sz w:val="24"/>
              </w:rPr>
            </w:pPr>
            <w:r>
              <w:rPr>
                <w:sz w:val="24"/>
              </w:rPr>
              <w:t>506.80</w:t>
            </w:r>
          </w:p>
        </w:tc>
        <w:tc>
          <w:tcPr>
            <w:tcW w:w="3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101.37*</w:t>
            </w:r>
          </w:p>
        </w:tc>
      </w:tr>
      <w:tr>
        <w:trPr>
          <w:trHeight w:val="711" w:hRule="atLeast"/>
        </w:trPr>
        <w:tc>
          <w:tcPr>
            <w:tcW w:w="1655" w:type="dxa"/>
          </w:tcPr>
          <w:p>
            <w:pPr>
              <w:pStyle w:val="TableParagraph"/>
              <w:spacing w:before="212"/>
              <w:ind w:left="396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4173" w:type="dxa"/>
          </w:tcPr>
          <w:p>
            <w:pPr>
              <w:pStyle w:val="TableParagraph"/>
              <w:spacing w:before="207"/>
              <w:ind w:left="1686"/>
              <w:rPr>
                <w:sz w:val="24"/>
              </w:rPr>
            </w:pPr>
            <w:r>
              <w:rPr>
                <w:sz w:val="24"/>
              </w:rPr>
              <w:t>510.80</w:t>
            </w:r>
          </w:p>
        </w:tc>
        <w:tc>
          <w:tcPr>
            <w:tcW w:w="3523" w:type="dxa"/>
          </w:tcPr>
          <w:p>
            <w:pPr>
              <w:pStyle w:val="TableParagraph"/>
              <w:spacing w:before="207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102.16*</w:t>
            </w:r>
          </w:p>
        </w:tc>
      </w:tr>
      <w:tr>
        <w:trPr>
          <w:trHeight w:val="716" w:hRule="atLeast"/>
        </w:trPr>
        <w:tc>
          <w:tcPr>
            <w:tcW w:w="1655" w:type="dxa"/>
          </w:tcPr>
          <w:p>
            <w:pPr>
              <w:pStyle w:val="TableParagraph"/>
              <w:spacing w:before="218"/>
              <w:ind w:left="396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4173" w:type="dxa"/>
          </w:tcPr>
          <w:p>
            <w:pPr>
              <w:pStyle w:val="TableParagraph"/>
              <w:spacing w:before="213"/>
              <w:ind w:left="1686"/>
              <w:rPr>
                <w:sz w:val="24"/>
              </w:rPr>
            </w:pPr>
            <w:r>
              <w:rPr>
                <w:sz w:val="24"/>
              </w:rPr>
              <w:t>499.77</w:t>
            </w:r>
          </w:p>
        </w:tc>
        <w:tc>
          <w:tcPr>
            <w:tcW w:w="3523" w:type="dxa"/>
          </w:tcPr>
          <w:p>
            <w:pPr>
              <w:pStyle w:val="TableParagraph"/>
              <w:spacing w:before="213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99.95*</w:t>
            </w:r>
          </w:p>
        </w:tc>
      </w:tr>
      <w:tr>
        <w:trPr>
          <w:trHeight w:val="715" w:hRule="atLeast"/>
        </w:trPr>
        <w:tc>
          <w:tcPr>
            <w:tcW w:w="1655" w:type="dxa"/>
          </w:tcPr>
          <w:p>
            <w:pPr>
              <w:pStyle w:val="TableParagraph"/>
              <w:spacing w:before="217"/>
              <w:ind w:left="395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4173" w:type="dxa"/>
          </w:tcPr>
          <w:p>
            <w:pPr>
              <w:pStyle w:val="TableParagraph"/>
              <w:spacing w:before="212"/>
              <w:ind w:left="1686"/>
              <w:rPr>
                <w:sz w:val="24"/>
              </w:rPr>
            </w:pPr>
            <w:r>
              <w:rPr>
                <w:sz w:val="24"/>
              </w:rPr>
              <w:t>485.33</w:t>
            </w:r>
          </w:p>
        </w:tc>
        <w:tc>
          <w:tcPr>
            <w:tcW w:w="3523" w:type="dxa"/>
          </w:tcPr>
          <w:p>
            <w:pPr>
              <w:pStyle w:val="TableParagraph"/>
              <w:spacing w:before="212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97.07*</w:t>
            </w:r>
          </w:p>
        </w:tc>
      </w:tr>
      <w:tr>
        <w:trPr>
          <w:trHeight w:val="716" w:hRule="atLeast"/>
        </w:trPr>
        <w:tc>
          <w:tcPr>
            <w:tcW w:w="1655" w:type="dxa"/>
          </w:tcPr>
          <w:p>
            <w:pPr>
              <w:pStyle w:val="TableParagraph"/>
              <w:spacing w:before="217"/>
              <w:ind w:left="395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4173" w:type="dxa"/>
          </w:tcPr>
          <w:p>
            <w:pPr>
              <w:pStyle w:val="TableParagraph"/>
              <w:spacing w:before="212"/>
              <w:ind w:left="1686"/>
              <w:rPr>
                <w:sz w:val="24"/>
              </w:rPr>
            </w:pPr>
            <w:r>
              <w:rPr>
                <w:sz w:val="24"/>
              </w:rPr>
              <w:t>503.89</w:t>
            </w:r>
          </w:p>
        </w:tc>
        <w:tc>
          <w:tcPr>
            <w:tcW w:w="3523" w:type="dxa"/>
          </w:tcPr>
          <w:p>
            <w:pPr>
              <w:pStyle w:val="TableParagraph"/>
              <w:spacing w:before="212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100.78*</w:t>
            </w:r>
          </w:p>
        </w:tc>
      </w:tr>
      <w:tr>
        <w:trPr>
          <w:trHeight w:val="722" w:hRule="atLeast"/>
        </w:trPr>
        <w:tc>
          <w:tcPr>
            <w:tcW w:w="1655" w:type="dxa"/>
          </w:tcPr>
          <w:p>
            <w:pPr>
              <w:pStyle w:val="TableParagraph"/>
              <w:spacing w:before="218"/>
              <w:ind w:left="395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4173" w:type="dxa"/>
          </w:tcPr>
          <w:p>
            <w:pPr>
              <w:pStyle w:val="TableParagraph"/>
              <w:spacing w:before="213"/>
              <w:ind w:left="1686"/>
              <w:rPr>
                <w:sz w:val="24"/>
              </w:rPr>
            </w:pPr>
            <w:r>
              <w:rPr>
                <w:sz w:val="24"/>
              </w:rPr>
              <w:t>506.38</w:t>
            </w:r>
          </w:p>
        </w:tc>
        <w:tc>
          <w:tcPr>
            <w:tcW w:w="3523" w:type="dxa"/>
          </w:tcPr>
          <w:p>
            <w:pPr>
              <w:pStyle w:val="TableParagraph"/>
              <w:spacing w:before="213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101.19*</w:t>
            </w:r>
          </w:p>
        </w:tc>
      </w:tr>
      <w:tr>
        <w:trPr>
          <w:trHeight w:val="830" w:hRule="atLeast"/>
        </w:trPr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3"/>
              <w:ind w:left="397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</w:tc>
        <w:tc>
          <w:tcPr>
            <w:tcW w:w="4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1686"/>
              <w:rPr>
                <w:sz w:val="24"/>
              </w:rPr>
            </w:pPr>
            <w:r>
              <w:rPr>
                <w:sz w:val="24"/>
              </w:rPr>
              <w:t>502.77</w:t>
            </w:r>
          </w:p>
        </w:tc>
        <w:tc>
          <w:tcPr>
            <w:tcW w:w="3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100.55*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199"/>
        <w:ind w:left="1325"/>
      </w:pPr>
      <w:r>
        <w:rPr>
          <w:b/>
        </w:rPr>
        <w:t>Key</w:t>
      </w:r>
      <w:r>
        <w:rPr/>
        <w:t>:</w:t>
      </w:r>
      <w:r>
        <w:rPr>
          <w:spacing w:val="59"/>
        </w:rPr>
        <w:t> </w:t>
      </w:r>
      <w:r>
        <w:rPr/>
        <w:t>A1, A2</w:t>
      </w:r>
      <w:r>
        <w:rPr>
          <w:spacing w:val="2"/>
        </w:rPr>
        <w:t> </w:t>
      </w:r>
      <w:r>
        <w:rPr/>
        <w:t>and A3</w:t>
      </w:r>
      <w:r>
        <w:rPr>
          <w:spacing w:val="-1"/>
        </w:rPr>
        <w:t> </w:t>
      </w:r>
      <w:r>
        <w:rPr/>
        <w:t>are samples of</w:t>
      </w:r>
      <w:r>
        <w:rPr>
          <w:spacing w:val="-2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92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</w:t>
      </w:r>
    </w:p>
    <w:p>
      <w:pPr>
        <w:pStyle w:val="BodyText"/>
        <w:ind w:left="2045" w:right="1427" w:hanging="180"/>
      </w:pPr>
      <w:r>
        <w:rPr/>
        <w:t>*passed (B.P 2009 states that the percentage content of active ingredient should be</w:t>
      </w:r>
      <w:r>
        <w:rPr>
          <w:spacing w:val="-57"/>
        </w:rPr>
        <w:t> </w:t>
      </w:r>
      <w:r>
        <w:rPr/>
        <w:t>within</w:t>
      </w:r>
      <w:r>
        <w:rPr>
          <w:spacing w:val="-1"/>
        </w:rPr>
        <w:t> </w:t>
      </w:r>
      <w:r>
        <w:rPr/>
        <w:t>limits of 95-105%)</w:t>
      </w:r>
    </w:p>
    <w:p>
      <w:pPr>
        <w:spacing w:after="0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3073" w:val="left" w:leader="none"/>
        </w:tabs>
        <w:spacing w:line="240" w:lineRule="auto" w:before="77" w:after="0"/>
        <w:ind w:left="3072" w:right="0" w:hanging="361"/>
        <w:jc w:val="both"/>
      </w:pPr>
      <w:bookmarkStart w:name="_TOC_250008" w:id="34"/>
      <w:r>
        <w:rPr/>
        <w:t>Calibration</w:t>
      </w:r>
      <w:r>
        <w:rPr>
          <w:spacing w:val="-2"/>
        </w:rPr>
        <w:t> </w:t>
      </w:r>
      <w:r>
        <w:rPr/>
        <w:t>Curve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Paracetamol</w:t>
      </w:r>
      <w:r>
        <w:rPr>
          <w:spacing w:val="3"/>
        </w:rPr>
        <w:t> </w:t>
      </w:r>
      <w:bookmarkEnd w:id="34"/>
      <w:r>
        <w:rPr/>
        <w:t>Powder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325" w:right="1415"/>
        <w:jc w:val="both"/>
      </w:pPr>
      <w:r>
        <w:rPr/>
        <w:t>The</w:t>
      </w:r>
      <w:r>
        <w:rPr>
          <w:spacing w:val="25"/>
        </w:rPr>
        <w:t> </w:t>
      </w:r>
      <w:r>
        <w:rPr/>
        <w:t>calibration</w:t>
      </w:r>
      <w:r>
        <w:rPr>
          <w:spacing w:val="26"/>
        </w:rPr>
        <w:t> </w:t>
      </w:r>
      <w:r>
        <w:rPr/>
        <w:t>curve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paracetamol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saliva</w:t>
      </w:r>
      <w:r>
        <w:rPr>
          <w:spacing w:val="26"/>
        </w:rPr>
        <w:t> </w:t>
      </w:r>
      <w:r>
        <w:rPr/>
        <w:t>was</w:t>
      </w:r>
      <w:r>
        <w:rPr>
          <w:spacing w:val="26"/>
        </w:rPr>
        <w:t> </w:t>
      </w:r>
      <w:r>
        <w:rPr/>
        <w:t>plotted</w:t>
      </w:r>
      <w:r>
        <w:rPr>
          <w:spacing w:val="26"/>
        </w:rPr>
        <w:t> </w:t>
      </w:r>
      <w:r>
        <w:rPr/>
        <w:t>using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absorbance</w:t>
      </w:r>
      <w:r>
        <w:rPr>
          <w:spacing w:val="26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UV spectrophotometer and is as shown in figure 4.1 with correlation coefficient of</w:t>
      </w:r>
      <w:r>
        <w:rPr>
          <w:spacing w:val="1"/>
        </w:rPr>
        <w:t> </w:t>
      </w:r>
      <w:r>
        <w:rPr>
          <w:spacing w:val="-1"/>
        </w:rPr>
        <w:t>(r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= 0.9926.); </w:t>
      </w:r>
      <w:r>
        <w:rPr>
          <w:vertAlign w:val="baseline"/>
        </w:rPr>
        <w:t>the figure shows the calibration plot for the standard paracetamol solution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correlation coefficient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calibration curve.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335"/>
        <w:rPr>
          <w:sz w:val="20"/>
        </w:rPr>
      </w:pPr>
      <w:r>
        <w:rPr>
          <w:sz w:val="20"/>
        </w:rPr>
        <w:drawing>
          <wp:inline distT="0" distB="0" distL="0" distR="0">
            <wp:extent cx="5382249" cy="3875246"/>
            <wp:effectExtent l="0" t="0" r="0" b="0"/>
            <wp:docPr id="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249" cy="38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2465" w:right="2866" w:hanging="1140"/>
      </w:pPr>
      <w:r>
        <w:rPr/>
        <w:t>Figure 4.1: Calibration Curve of Standard Paracetamol Powder using UV</w:t>
      </w:r>
      <w:r>
        <w:rPr>
          <w:spacing w:val="-57"/>
        </w:rPr>
        <w:t> </w:t>
      </w:r>
      <w:r>
        <w:rPr/>
        <w:t>Spectrophotometer</w:t>
      </w:r>
      <w:r>
        <w:rPr>
          <w:spacing w:val="-2"/>
        </w:rPr>
        <w:t> </w:t>
      </w:r>
      <w:r>
        <w:rPr/>
        <w:t>at 430nm</w:t>
      </w:r>
    </w:p>
    <w:p>
      <w:pPr>
        <w:spacing w:after="0" w:line="242" w:lineRule="auto"/>
        <w:sectPr>
          <w:pgSz w:w="11910" w:h="16840"/>
          <w:pgMar w:header="0" w:footer="1007" w:top="15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4813" w:val="left" w:leader="none"/>
        </w:tabs>
        <w:spacing w:line="240" w:lineRule="auto" w:before="77" w:after="0"/>
        <w:ind w:left="4813" w:right="0" w:hanging="360"/>
        <w:jc w:val="left"/>
      </w:pPr>
      <w:bookmarkStart w:name="_TOC_250007" w:id="35"/>
      <w:r>
        <w:rPr/>
        <w:t>Validation</w:t>
      </w:r>
      <w:r>
        <w:rPr>
          <w:spacing w:val="-1"/>
        </w:rPr>
        <w:t> </w:t>
      </w:r>
      <w:bookmarkEnd w:id="35"/>
      <w:r>
        <w:rPr/>
        <w:t>Studies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1325" w:right="1415"/>
        <w:jc w:val="both"/>
      </w:pPr>
      <w:r>
        <w:rPr/>
        <w:t>The paracetamol assay validation studies in aqueous solution performed well up to 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 400mg/L.</w:t>
      </w:r>
      <w:r>
        <w:rPr>
          <w:spacing w:val="1"/>
        </w:rPr>
        <w:t> </w:t>
      </w:r>
      <w:r>
        <w:rPr/>
        <w:t>The 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accuracy for the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0.14%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1336"/>
        <w:rPr>
          <w:sz w:val="20"/>
        </w:rPr>
      </w:pPr>
      <w:r>
        <w:rPr>
          <w:sz w:val="20"/>
        </w:rPr>
        <w:drawing>
          <wp:inline distT="0" distB="0" distL="0" distR="0">
            <wp:extent cx="5565479" cy="4123944"/>
            <wp:effectExtent l="0" t="0" r="0" b="0"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79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42" w:lineRule="auto" w:before="90"/>
        <w:ind w:left="2405" w:right="2852" w:hanging="1080"/>
      </w:pPr>
      <w:r>
        <w:rPr/>
        <w:t>Figure 4.2: Validation studies of Standard Paracetamol Powder using UV</w:t>
      </w:r>
      <w:r>
        <w:rPr>
          <w:spacing w:val="-58"/>
        </w:rPr>
        <w:t> </w:t>
      </w:r>
      <w:r>
        <w:rPr/>
        <w:t>Spectrophotometer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430nm</w:t>
      </w:r>
    </w:p>
    <w:p>
      <w:pPr>
        <w:spacing w:after="0" w:line="242" w:lineRule="auto"/>
        <w:sectPr>
          <w:pgSz w:w="11910" w:h="16840"/>
          <w:pgMar w:header="0" w:footer="1007" w:top="1580" w:bottom="1200" w:left="660" w:right="0"/>
        </w:sectPr>
      </w:pPr>
    </w:p>
    <w:p>
      <w:pPr>
        <w:pStyle w:val="ListParagraph"/>
        <w:numPr>
          <w:ilvl w:val="1"/>
          <w:numId w:val="20"/>
        </w:numPr>
        <w:tabs>
          <w:tab w:pos="5029" w:val="left" w:leader="none"/>
        </w:tabs>
        <w:spacing w:line="240" w:lineRule="auto" w:before="79" w:after="0"/>
        <w:ind w:left="5029" w:right="0" w:hanging="360"/>
        <w:jc w:val="left"/>
        <w:rPr>
          <w:b/>
          <w:sz w:val="24"/>
        </w:rPr>
      </w:pPr>
      <w:r>
        <w:rPr>
          <w:b/>
          <w:i/>
          <w:sz w:val="24"/>
        </w:rPr>
        <w:t>In vivo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2"/>
        <w:jc w:val="both"/>
      </w:pPr>
      <w:r>
        <w:rPr/>
        <w:t>The colorimetric assay of paracetamol validation studies in aqueous solution were found</w:t>
      </w:r>
      <w:r>
        <w:rPr>
          <w:spacing w:val="-57"/>
        </w:rPr>
        <w:t> </w:t>
      </w:r>
      <w:r>
        <w:rPr/>
        <w:t>to</w:t>
      </w:r>
      <w:r>
        <w:rPr>
          <w:spacing w:val="23"/>
        </w:rPr>
        <w:t> </w:t>
      </w:r>
      <w:r>
        <w:rPr/>
        <w:t>perform</w:t>
      </w:r>
      <w:r>
        <w:rPr>
          <w:spacing w:val="24"/>
        </w:rPr>
        <w:t> </w:t>
      </w:r>
      <w:r>
        <w:rPr/>
        <w:t>well</w:t>
      </w:r>
      <w:r>
        <w:rPr>
          <w:spacing w:val="23"/>
        </w:rPr>
        <w:t> </w:t>
      </w:r>
      <w:r>
        <w:rPr/>
        <w:t>up</w:t>
      </w:r>
      <w:r>
        <w:rPr>
          <w:spacing w:val="23"/>
        </w:rPr>
        <w:t> </w:t>
      </w:r>
      <w:r>
        <w:rPr/>
        <w:t>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concentration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400</w:t>
      </w:r>
      <w:r>
        <w:rPr>
          <w:spacing w:val="22"/>
        </w:rPr>
        <w:t> </w:t>
      </w:r>
      <w:r>
        <w:rPr/>
        <w:t>mg/L</w:t>
      </w:r>
      <w:r>
        <w:rPr>
          <w:spacing w:val="18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=0.9926).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1g samples with 200ml water to volunteers gave mean saliva concentrations indicated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appendix1 and 2. The mean peak saliva concentrations C</w:t>
      </w:r>
      <w:r>
        <w:rPr>
          <w:vertAlign w:val="subscript"/>
        </w:rPr>
        <w:t>max</w:t>
      </w:r>
      <w:r>
        <w:rPr>
          <w:vertAlign w:val="baseline"/>
        </w:rPr>
        <w:t> ranges from 20.60 - 25.20</w:t>
      </w:r>
      <w:r>
        <w:rPr>
          <w:spacing w:val="1"/>
          <w:vertAlign w:val="baseline"/>
        </w:rPr>
        <w:t> </w:t>
      </w:r>
      <w:r>
        <w:rPr>
          <w:vertAlign w:val="baseline"/>
        </w:rPr>
        <w:t>µg/ml while the mean time taken (T</w:t>
      </w:r>
      <w:r>
        <w:rPr>
          <w:vertAlign w:val="subscript"/>
        </w:rPr>
        <w:t>max</w:t>
      </w:r>
      <w:r>
        <w:rPr>
          <w:vertAlign w:val="baseline"/>
        </w:rPr>
        <w:t>) to reach peak concentration was 0.33hr for all</w:t>
      </w:r>
      <w:r>
        <w:rPr>
          <w:spacing w:val="1"/>
          <w:vertAlign w:val="baseline"/>
        </w:rPr>
        <w:t> </w:t>
      </w:r>
      <w:r>
        <w:rPr>
          <w:vertAlign w:val="baseline"/>
        </w:rPr>
        <w:t>volunteers</w:t>
      </w:r>
      <w:r>
        <w:rPr>
          <w:spacing w:val="-2"/>
          <w:vertAlign w:val="baseline"/>
        </w:rPr>
        <w:t> </w:t>
      </w:r>
      <w:r>
        <w:rPr>
          <w:vertAlign w:val="baseline"/>
        </w:rPr>
        <w:t>(table 4.6).</w:t>
      </w:r>
    </w:p>
    <w:p>
      <w:pPr>
        <w:pStyle w:val="BodyText"/>
        <w:spacing w:line="480" w:lineRule="auto" w:before="200"/>
        <w:ind w:left="1325" w:right="1413" w:firstLine="59"/>
        <w:jc w:val="both"/>
      </w:pPr>
      <w:r>
        <w:rPr/>
        <w:t>Mean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 obtained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plots of the mean</w:t>
      </w:r>
      <w:r>
        <w:rPr>
          <w:spacing w:val="1"/>
        </w:rPr>
        <w:t> </w:t>
      </w:r>
      <w:r>
        <w:rPr/>
        <w:t>saliva</w:t>
      </w:r>
      <w:r>
        <w:rPr>
          <w:spacing w:val="60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for all samples are shown in table 4.6. The average lag time calculated during exposure</w:t>
      </w:r>
      <w:r>
        <w:rPr>
          <w:spacing w:val="1"/>
        </w:rPr>
        <w:t> </w:t>
      </w:r>
      <w:r>
        <w:rPr/>
        <w:t>was three and half (3.5) minutes for Panadol Extra</w:t>
      </w:r>
      <w:r>
        <w:rPr>
          <w:vertAlign w:val="superscript"/>
        </w:rPr>
        <w:t>®</w:t>
      </w:r>
      <w:r>
        <w:rPr>
          <w:vertAlign w:val="baseline"/>
        </w:rPr>
        <w:t> tablets and four (4) minutes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vertAlign w:val="baseline"/>
        </w:rPr>
        <w:t> tablets. The pharmacokinetic parameters compared showed variable 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 consistently higher saliva paracetamol concentrations with mean 23.90 ± 0.40</w:t>
      </w:r>
      <w:r>
        <w:rPr>
          <w:spacing w:val="1"/>
          <w:vertAlign w:val="baseline"/>
        </w:rPr>
        <w:t> </w:t>
      </w:r>
      <w:r>
        <w:rPr>
          <w:vertAlign w:val="baseline"/>
        </w:rPr>
        <w:t>µg/ml indicated with Panadol Extra</w:t>
      </w:r>
      <w:r>
        <w:rPr>
          <w:vertAlign w:val="superscript"/>
        </w:rPr>
        <w:t>®</w:t>
      </w:r>
      <w:r>
        <w:rPr>
          <w:vertAlign w:val="baseline"/>
        </w:rPr>
        <w:t> tablets which was statistically significant (p&lt;0.05)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with mean of 21.60</w:t>
      </w:r>
      <w:r>
        <w:rPr>
          <w:spacing w:val="2"/>
          <w:vertAlign w:val="baseline"/>
        </w:rPr>
        <w:t> </w:t>
      </w:r>
      <w:r>
        <w:rPr>
          <w:vertAlign w:val="baseline"/>
        </w:rPr>
        <w:t>± 0.34 µg/ml.</w:t>
      </w:r>
    </w:p>
    <w:p>
      <w:pPr>
        <w:pStyle w:val="BodyText"/>
        <w:spacing w:before="203"/>
        <w:ind w:left="1385"/>
        <w:jc w:val="both"/>
      </w:pPr>
      <w:r>
        <w:rPr/>
        <w:t>Ke</w:t>
      </w:r>
      <w:r>
        <w:rPr>
          <w:spacing w:val="11"/>
        </w:rPr>
        <w:t> </w:t>
      </w:r>
      <w:r>
        <w:rPr/>
        <w:t>calculated</w:t>
      </w:r>
      <w:r>
        <w:rPr>
          <w:spacing w:val="13"/>
        </w:rPr>
        <w:t> </w:t>
      </w:r>
      <w:r>
        <w:rPr/>
        <w:t>ranged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0.62</w:t>
      </w:r>
      <w:r>
        <w:rPr>
          <w:spacing w:val="16"/>
        </w:rPr>
        <w:t> </w:t>
      </w:r>
      <w:r>
        <w:rPr/>
        <w:t>–</w:t>
      </w:r>
      <w:r>
        <w:rPr>
          <w:spacing w:val="13"/>
        </w:rPr>
        <w:t> </w:t>
      </w:r>
      <w:r>
        <w:rPr/>
        <w:t>0.98</w:t>
      </w:r>
      <w:r>
        <w:rPr>
          <w:spacing w:val="13"/>
        </w:rPr>
        <w:t> </w:t>
      </w:r>
      <w:r>
        <w:rPr/>
        <w:t>(µg/ml/hr)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all</w:t>
      </w:r>
      <w:r>
        <w:rPr>
          <w:spacing w:val="14"/>
        </w:rPr>
        <w:t> </w:t>
      </w:r>
      <w:r>
        <w:rPr/>
        <w:t>samples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mean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0.95</w:t>
      </w:r>
      <w:r>
        <w:rPr>
          <w:spacing w:val="14"/>
        </w:rPr>
        <w:t> </w:t>
      </w:r>
      <w:r>
        <w:rPr/>
        <w:t>±</w:t>
      </w:r>
    </w:p>
    <w:p>
      <w:pPr>
        <w:pStyle w:val="BodyText"/>
      </w:pPr>
    </w:p>
    <w:p>
      <w:pPr>
        <w:pStyle w:val="BodyText"/>
        <w:ind w:left="1325"/>
      </w:pPr>
      <w:r>
        <w:rPr/>
        <w:t>0.1</w:t>
      </w:r>
      <w:r>
        <w:rPr>
          <w:spacing w:val="4"/>
        </w:rPr>
        <w:t> </w:t>
      </w:r>
      <w:r>
        <w:rPr/>
        <w:t>(µg/ml/hr)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17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0.71</w:t>
      </w:r>
      <w:r>
        <w:rPr>
          <w:spacing w:val="4"/>
          <w:vertAlign w:val="baseline"/>
        </w:rPr>
        <w:t> </w:t>
      </w:r>
      <w:r>
        <w:rPr>
          <w:vertAlign w:val="baseline"/>
        </w:rPr>
        <w:t>±</w:t>
      </w:r>
      <w:r>
        <w:rPr>
          <w:spacing w:val="4"/>
          <w:vertAlign w:val="baseline"/>
        </w:rPr>
        <w:t> </w:t>
      </w:r>
      <w:r>
        <w:rPr>
          <w:vertAlign w:val="baseline"/>
        </w:rPr>
        <w:t>0.3</w:t>
      </w:r>
      <w:r>
        <w:rPr>
          <w:spacing w:val="6"/>
          <w:vertAlign w:val="baseline"/>
        </w:rPr>
        <w:t> </w:t>
      </w:r>
      <w:r>
        <w:rPr>
          <w:vertAlign w:val="baseline"/>
        </w:rPr>
        <w:t>(µg/ml/hr)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7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17"/>
          <w:vertAlign w:val="baseline"/>
        </w:rPr>
        <w:t> </w:t>
      </w:r>
      <w:r>
        <w:rPr>
          <w:vertAlign w:val="baseline"/>
        </w:rPr>
        <w:t>tablets.</w:t>
      </w:r>
    </w:p>
    <w:p>
      <w:pPr>
        <w:pStyle w:val="BodyText"/>
      </w:pPr>
    </w:p>
    <w:p>
      <w:pPr>
        <w:pStyle w:val="BodyText"/>
        <w:ind w:left="1325"/>
        <w:jc w:val="both"/>
      </w:pPr>
      <w:r>
        <w:rPr/>
        <w:t>Ka</w:t>
      </w:r>
      <w:r>
        <w:rPr>
          <w:spacing w:val="6"/>
        </w:rPr>
        <w:t> </w:t>
      </w:r>
      <w:r>
        <w:rPr/>
        <w:t>calculated</w:t>
      </w:r>
      <w:r>
        <w:rPr>
          <w:spacing w:val="11"/>
        </w:rPr>
        <w:t> </w:t>
      </w:r>
      <w:r>
        <w:rPr/>
        <w:t>ranged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6.89</w:t>
      </w:r>
      <w:r>
        <w:rPr>
          <w:spacing w:val="12"/>
        </w:rPr>
        <w:t> </w:t>
      </w:r>
      <w:r>
        <w:rPr/>
        <w:t>–</w:t>
      </w:r>
      <w:r>
        <w:rPr>
          <w:spacing w:val="9"/>
        </w:rPr>
        <w:t> </w:t>
      </w:r>
      <w:r>
        <w:rPr/>
        <w:t>15.47</w:t>
      </w:r>
      <w:r>
        <w:rPr>
          <w:spacing w:val="9"/>
        </w:rPr>
        <w:t> </w:t>
      </w:r>
      <w:r>
        <w:rPr/>
        <w:t>(µg/ml/hr)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all</w:t>
      </w:r>
      <w:r>
        <w:rPr>
          <w:spacing w:val="10"/>
        </w:rPr>
        <w:t> </w:t>
      </w:r>
      <w:r>
        <w:rPr/>
        <w:t>samples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mean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9.75</w:t>
      </w:r>
      <w:r>
        <w:rPr>
          <w:spacing w:val="8"/>
        </w:rPr>
        <w:t> </w:t>
      </w:r>
      <w:r>
        <w:rPr/>
        <w:t>±</w:t>
      </w:r>
    </w:p>
    <w:p>
      <w:pPr>
        <w:pStyle w:val="BodyText"/>
      </w:pPr>
    </w:p>
    <w:p>
      <w:pPr>
        <w:pStyle w:val="BodyText"/>
        <w:ind w:left="1325"/>
      </w:pPr>
      <w:r>
        <w:rPr/>
        <w:t>0.68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Panadol tablets</w:t>
      </w:r>
      <w:r>
        <w:rPr>
          <w:spacing w:val="-1"/>
        </w:rPr>
        <w:t> </w:t>
      </w:r>
      <w:r>
        <w:rPr/>
        <w:t>and 10.61 ±</w:t>
      </w:r>
      <w:r>
        <w:rPr>
          <w:spacing w:val="-1"/>
        </w:rPr>
        <w:t> </w:t>
      </w:r>
      <w:r>
        <w:rPr/>
        <w:t>1.30</w:t>
      </w:r>
      <w:r>
        <w:rPr>
          <w:spacing w:val="-1"/>
        </w:rPr>
        <w:t> </w:t>
      </w:r>
      <w:r>
        <w:rPr/>
        <w:t>(µg/ml/hr).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325" w:right="1416"/>
        <w:jc w:val="both"/>
      </w:pPr>
      <w:r>
        <w:rPr/>
        <w:t>Elimination half-life of Panadol Extra</w:t>
      </w:r>
      <w:r>
        <w:rPr>
          <w:vertAlign w:val="superscript"/>
        </w:rPr>
        <w:t>®</w:t>
      </w:r>
      <w:r>
        <w:rPr>
          <w:vertAlign w:val="baseline"/>
        </w:rPr>
        <w:t> tablets calculated was within the range of (0.89 -</w:t>
      </w:r>
      <w:r>
        <w:rPr>
          <w:spacing w:val="-57"/>
          <w:vertAlign w:val="baseline"/>
        </w:rPr>
        <w:t> </w:t>
      </w:r>
      <w:r>
        <w:rPr>
          <w:vertAlign w:val="baseline"/>
        </w:rPr>
        <w:t>1.18hr</w:t>
      </w:r>
      <w:r>
        <w:rPr>
          <w:vertAlign w:val="superscript"/>
        </w:rPr>
        <w:t>-1</w:t>
      </w:r>
      <w:r>
        <w:rPr>
          <w:vertAlign w:val="baseline"/>
        </w:rPr>
        <w:t>) with mean of 1.02 ± 0.04 hr</w:t>
      </w:r>
      <w:r>
        <w:rPr>
          <w:vertAlign w:val="superscript"/>
        </w:rPr>
        <w:t>-1</w:t>
      </w:r>
      <w:r>
        <w:rPr>
          <w:vertAlign w:val="baseline"/>
        </w:rPr>
        <w:t> while Panadol</w:t>
      </w:r>
      <w:r>
        <w:rPr>
          <w:vertAlign w:val="superscript"/>
        </w:rPr>
        <w:t>®</w:t>
      </w:r>
      <w:r>
        <w:rPr>
          <w:vertAlign w:val="baseline"/>
        </w:rPr>
        <w:t> tablets ranged within (1.32-</w:t>
      </w:r>
      <w:r>
        <w:rPr>
          <w:spacing w:val="1"/>
          <w:vertAlign w:val="baseline"/>
        </w:rPr>
        <w:t> </w:t>
      </w:r>
      <w:r>
        <w:rPr>
          <w:vertAlign w:val="baseline"/>
        </w:rPr>
        <w:t>1.41hr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mean of 1.36 ± 0.02 hr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BodyText"/>
        <w:spacing w:line="480" w:lineRule="auto" w:before="191"/>
        <w:ind w:left="1325" w:right="1414"/>
        <w:jc w:val="both"/>
      </w:pPr>
      <w:r>
        <w:rPr/>
        <w:t>The calculated volume of distribution ranged from 14010.77 – 27652.94 (mls) for all</w:t>
      </w:r>
      <w:r>
        <w:rPr>
          <w:spacing w:val="1"/>
        </w:rPr>
        <w:t> </w:t>
      </w:r>
      <w:r>
        <w:rPr/>
        <w:t>samples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mean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20808.08</w:t>
      </w:r>
      <w:r>
        <w:rPr>
          <w:spacing w:val="14"/>
        </w:rPr>
        <w:t> </w:t>
      </w:r>
      <w:r>
        <w:rPr/>
        <w:t>±</w:t>
      </w:r>
      <w:r>
        <w:rPr>
          <w:spacing w:val="17"/>
        </w:rPr>
        <w:t> </w:t>
      </w:r>
      <w:r>
        <w:rPr/>
        <w:t>1586.30</w:t>
      </w:r>
      <w:r>
        <w:rPr>
          <w:spacing w:val="17"/>
        </w:rPr>
        <w:t> </w:t>
      </w:r>
      <w:r>
        <w:rPr/>
        <w:t>(mls)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indicated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  <w:r>
        <w:rPr>
          <w:spacing w:val="13"/>
        </w:rPr>
        <w:t> </w:t>
      </w:r>
      <w:r>
        <w:rPr/>
        <w:t>4.6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Panadol</w:t>
      </w:r>
      <w:r>
        <w:rPr>
          <w:vertAlign w:val="superscript"/>
        </w:rPr>
        <w:t>®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112"/>
        <w:ind w:left="1325" w:right="1413"/>
        <w:jc w:val="both"/>
      </w:pPr>
      <w:r>
        <w:rPr/>
        <w:t>tablets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16967.20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1084.94</w:t>
      </w:r>
      <w:r>
        <w:rPr>
          <w:spacing w:val="1"/>
        </w:rPr>
        <w:t> </w:t>
      </w:r>
      <w:r>
        <w:rPr/>
        <w:t>(mls)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clearance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ranged from 10680.41 – 25213.95 (ml/hr) for all samples with mean of</w:t>
      </w:r>
      <w:r>
        <w:rPr>
          <w:spacing w:val="1"/>
          <w:vertAlign w:val="baseline"/>
        </w:rPr>
        <w:t> </w:t>
      </w:r>
      <w:r>
        <w:rPr>
          <w:vertAlign w:val="baseline"/>
        </w:rPr>
        <w:t>19596.25</w:t>
      </w:r>
      <w:r>
        <w:rPr>
          <w:spacing w:val="2"/>
          <w:vertAlign w:val="baseline"/>
        </w:rPr>
        <w:t> </w:t>
      </w:r>
      <w:r>
        <w:rPr>
          <w:vertAlign w:val="baseline"/>
        </w:rPr>
        <w:t>±</w:t>
      </w:r>
      <w:r>
        <w:rPr>
          <w:spacing w:val="2"/>
          <w:vertAlign w:val="baseline"/>
        </w:rPr>
        <w:t> </w:t>
      </w:r>
      <w:r>
        <w:rPr>
          <w:vertAlign w:val="baseline"/>
        </w:rPr>
        <w:t>1338.13</w:t>
      </w:r>
      <w:r>
        <w:rPr>
          <w:spacing w:val="4"/>
          <w:vertAlign w:val="baseline"/>
        </w:rPr>
        <w:t> </w:t>
      </w:r>
      <w:r>
        <w:rPr>
          <w:vertAlign w:val="baseline"/>
        </w:rPr>
        <w:t>(ml/hr) for</w:t>
      </w:r>
      <w:r>
        <w:rPr>
          <w:spacing w:val="2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spacing w:val="-19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3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mean</w:t>
      </w:r>
      <w:r>
        <w:rPr>
          <w:spacing w:val="4"/>
          <w:vertAlign w:val="baseline"/>
        </w:rPr>
        <w:t> </w:t>
      </w:r>
      <w:r>
        <w:rPr>
          <w:vertAlign w:val="baseline"/>
        </w:rPr>
        <w:t>value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11989.12</w:t>
      </w:r>
      <w:r>
        <w:rPr>
          <w:spacing w:val="3"/>
          <w:vertAlign w:val="baseline"/>
        </w:rPr>
        <w:t> </w:t>
      </w:r>
      <w:r>
        <w:rPr>
          <w:vertAlign w:val="baseline"/>
        </w:rPr>
        <w:t>±</w:t>
      </w:r>
    </w:p>
    <w:p>
      <w:pPr>
        <w:pStyle w:val="BodyText"/>
        <w:spacing w:line="482" w:lineRule="auto"/>
        <w:ind w:left="1325" w:right="1417"/>
        <w:jc w:val="both"/>
      </w:pPr>
      <w:r>
        <w:rPr/>
        <w:t>688.13 (ml/hr) indicated for Panadol Extra</w:t>
      </w:r>
      <w:r>
        <w:rPr>
          <w:vertAlign w:val="superscript"/>
        </w:rPr>
        <w:t>®</w:t>
      </w:r>
      <w:r>
        <w:rPr>
          <w:vertAlign w:val="baseline"/>
        </w:rPr>
        <w:t> tablets was statistically significant at p≤</w:t>
      </w:r>
      <w:r>
        <w:rPr>
          <w:spacing w:val="1"/>
          <w:vertAlign w:val="baseline"/>
        </w:rPr>
        <w:t> </w:t>
      </w:r>
      <w:r>
        <w:rPr>
          <w:vertAlign w:val="baseline"/>
        </w:rPr>
        <w:t>0.05.</w:t>
      </w:r>
    </w:p>
    <w:p>
      <w:pPr>
        <w:pStyle w:val="BodyText"/>
        <w:spacing w:line="480" w:lineRule="auto" w:before="194"/>
        <w:ind w:left="1325" w:right="1415"/>
        <w:jc w:val="both"/>
      </w:pPr>
      <w:r>
        <w:rPr/>
        <w:t>The area under the concentration time curve AUC</w:t>
      </w:r>
      <w:r>
        <w:rPr>
          <w:vertAlign w:val="subscript"/>
        </w:rPr>
        <w:t>0-6hr</w:t>
      </w:r>
      <w:r>
        <w:rPr>
          <w:vertAlign w:val="baseline"/>
        </w:rPr>
        <w:t> calculated indicated a mean of</w:t>
      </w:r>
      <w:r>
        <w:rPr>
          <w:spacing w:val="1"/>
          <w:vertAlign w:val="baseline"/>
        </w:rPr>
        <w:t> </w:t>
      </w:r>
      <w:r>
        <w:rPr>
          <w:vertAlign w:val="baseline"/>
        </w:rPr>
        <w:t>5497.00 ± 362.02 (µg/ml/hr) for Panadol</w:t>
      </w:r>
      <w:r>
        <w:rPr>
          <w:vertAlign w:val="superscript"/>
        </w:rPr>
        <w:t>®</w:t>
      </w:r>
      <w:r>
        <w:rPr>
          <w:vertAlign w:val="baseline"/>
        </w:rPr>
        <w:t> tablets and 5958.87 ± 243.30 (µg/ml/hr)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vertAlign w:val="baseline"/>
        </w:rPr>
        <w:t> tablets.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when compared.</w:t>
      </w:r>
    </w:p>
    <w:p>
      <w:pPr>
        <w:spacing w:after="0" w:line="480" w:lineRule="auto"/>
        <w:jc w:val="both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spacing w:line="242" w:lineRule="auto" w:before="117"/>
        <w:ind w:left="2765" w:right="2185" w:hanging="1440"/>
      </w:pPr>
      <w:r>
        <w:rPr/>
        <w:t>Table 4.6: Mean Saliva Paracetamol Concentration in Panadol</w:t>
      </w:r>
      <w:r>
        <w:rPr>
          <w:vertAlign w:val="superscript"/>
        </w:rPr>
        <w:t>®</w:t>
      </w:r>
      <w:r>
        <w:rPr>
          <w:vertAlign w:val="baseline"/>
        </w:rPr>
        <w:t> tablets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Panadol 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3138"/>
        <w:gridCol w:w="3403"/>
      </w:tblGrid>
      <w:tr>
        <w:trPr>
          <w:trHeight w:val="738" w:hRule="atLeast"/>
        </w:trPr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Panadol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tablets</w:t>
            </w:r>
          </w:p>
        </w:tc>
        <w:tc>
          <w:tcPr>
            <w:tcW w:w="3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Panadol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Extra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tablets</w:t>
            </w:r>
          </w:p>
        </w:tc>
      </w:tr>
      <w:tr>
        <w:trPr>
          <w:trHeight w:val="378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34"/>
              <w:rPr>
                <w:sz w:val="24"/>
              </w:rPr>
            </w:pPr>
            <w:r>
              <w:rPr>
                <w:sz w:val="24"/>
              </w:rPr>
              <w:t>7.63 ± 0.75</w:t>
            </w:r>
          </w:p>
        </w:tc>
        <w:tc>
          <w:tcPr>
            <w:tcW w:w="3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r>
              <w:rPr>
                <w:sz w:val="24"/>
              </w:rPr>
              <w:t>8.43 ± 0.72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3"/>
              <w:ind w:left="834"/>
              <w:rPr>
                <w:sz w:val="24"/>
              </w:rPr>
            </w:pPr>
            <w:r>
              <w:rPr>
                <w:sz w:val="24"/>
              </w:rPr>
              <w:t>11.32 ± 0.45</w:t>
            </w:r>
          </w:p>
        </w:tc>
        <w:tc>
          <w:tcPr>
            <w:tcW w:w="3403" w:type="dxa"/>
          </w:tcPr>
          <w:p>
            <w:pPr>
              <w:pStyle w:val="TableParagraph"/>
              <w:spacing w:before="93"/>
              <w:ind w:left="602"/>
              <w:rPr>
                <w:sz w:val="24"/>
              </w:rPr>
            </w:pPr>
            <w:r>
              <w:rPr>
                <w:sz w:val="24"/>
              </w:rPr>
              <w:t>12.45 ± 0.25</w:t>
            </w:r>
          </w:p>
        </w:tc>
      </w:tr>
      <w:tr>
        <w:trPr>
          <w:trHeight w:val="475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15.22 ± 0.24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16.58 ± 0.33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21.6 ± 0.34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23.90 ± 0.40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3"/>
              <w:ind w:left="834"/>
              <w:rPr>
                <w:sz w:val="24"/>
              </w:rPr>
            </w:pPr>
            <w:r>
              <w:rPr>
                <w:sz w:val="24"/>
              </w:rPr>
              <w:t>17.88 ± 0.26</w:t>
            </w:r>
          </w:p>
        </w:tc>
        <w:tc>
          <w:tcPr>
            <w:tcW w:w="3403" w:type="dxa"/>
          </w:tcPr>
          <w:p>
            <w:pPr>
              <w:pStyle w:val="TableParagraph"/>
              <w:spacing w:before="93"/>
              <w:ind w:left="602"/>
              <w:rPr>
                <w:sz w:val="24"/>
              </w:rPr>
            </w:pPr>
            <w:r>
              <w:rPr>
                <w:sz w:val="24"/>
              </w:rPr>
              <w:t>19.03 ± 0.18</w:t>
            </w:r>
          </w:p>
        </w:tc>
      </w:tr>
      <w:tr>
        <w:trPr>
          <w:trHeight w:val="475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15.38 ± 0.25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16.35 ± 0.09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13.73 ± 0.17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14.28 ± 0.23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3"/>
              <w:ind w:left="834"/>
              <w:rPr>
                <w:sz w:val="24"/>
              </w:rPr>
            </w:pPr>
            <w:r>
              <w:rPr>
                <w:sz w:val="24"/>
              </w:rPr>
              <w:t>11.72 ± 0.28</w:t>
            </w:r>
          </w:p>
        </w:tc>
        <w:tc>
          <w:tcPr>
            <w:tcW w:w="3403" w:type="dxa"/>
          </w:tcPr>
          <w:p>
            <w:pPr>
              <w:pStyle w:val="TableParagraph"/>
              <w:spacing w:before="93"/>
              <w:ind w:left="602"/>
              <w:rPr>
                <w:sz w:val="24"/>
              </w:rPr>
            </w:pPr>
            <w:r>
              <w:rPr>
                <w:sz w:val="24"/>
              </w:rPr>
              <w:t>12.22 ± 0.21</w:t>
            </w:r>
          </w:p>
        </w:tc>
      </w:tr>
      <w:tr>
        <w:trPr>
          <w:trHeight w:val="475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5.07 ± 0.04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6.02 ± 0.32</w:t>
            </w:r>
          </w:p>
        </w:tc>
      </w:tr>
      <w:tr>
        <w:trPr>
          <w:trHeight w:val="575" w:hRule="atLeast"/>
        </w:trPr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3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2.32 ± 0.07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2.97 ± 0.10</w:t>
            </w:r>
          </w:p>
        </w:tc>
      </w:tr>
    </w:tbl>
    <w:p>
      <w:pPr>
        <w:pStyle w:val="BodyText"/>
        <w:ind w:left="1325"/>
      </w:pPr>
      <w:r>
        <w:rPr/>
        <w:t>Values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±</w:t>
      </w:r>
      <w:r>
        <w:rPr>
          <w:spacing w:val="-1"/>
        </w:rPr>
        <w:t> </w:t>
      </w:r>
      <w:r>
        <w:rPr/>
        <w:t>SEM.</w:t>
      </w:r>
    </w:p>
    <w:p>
      <w:pPr>
        <w:spacing w:after="0"/>
        <w:sectPr>
          <w:pgSz w:w="11910" w:h="16840"/>
          <w:pgMar w:header="0" w:footer="1007" w:top="1280" w:bottom="1200" w:left="6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5542571" cy="4533900"/>
            <wp:effectExtent l="0" t="0" r="0" b="0"/>
            <wp:docPr id="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571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42" w:lineRule="auto" w:before="129"/>
        <w:ind w:left="2465" w:right="2472" w:hanging="1140"/>
      </w:pPr>
      <w:r>
        <w:rPr/>
        <w:t>Figure 4.3: Mean saliva concentration of paracetamol in Panadol</w:t>
      </w:r>
      <w:r>
        <w:rPr>
          <w:vertAlign w:val="superscript"/>
        </w:rPr>
        <w:t>®</w:t>
      </w:r>
      <w:r>
        <w:rPr>
          <w:vertAlign w:val="baseline"/>
        </w:rPr>
        <w:t> tablets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 w:line="242" w:lineRule="auto"/>
        <w:sectPr>
          <w:pgSz w:w="11910" w:h="16840"/>
          <w:pgMar w:header="0" w:footer="1007" w:top="1580" w:bottom="1200" w:left="6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5398534" cy="3287077"/>
            <wp:effectExtent l="0" t="0" r="0" b="0"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34" cy="328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42" w:lineRule="auto" w:before="130"/>
        <w:ind w:left="2405" w:right="1410" w:hanging="1080"/>
      </w:pPr>
      <w:r>
        <w:rPr/>
        <w:t>Figure</w:t>
      </w:r>
      <w:r>
        <w:rPr>
          <w:spacing w:val="24"/>
        </w:rPr>
        <w:t> </w:t>
      </w:r>
      <w:r>
        <w:rPr/>
        <w:t>4.4</w:t>
      </w:r>
      <w:r>
        <w:rPr>
          <w:spacing w:val="27"/>
        </w:rPr>
        <w:t> </w:t>
      </w:r>
      <w:r>
        <w:rPr/>
        <w:t>Semi-</w:t>
      </w:r>
      <w:r>
        <w:rPr>
          <w:spacing w:val="27"/>
        </w:rPr>
        <w:t> </w:t>
      </w:r>
      <w:r>
        <w:rPr/>
        <w:t>log</w:t>
      </w:r>
      <w:r>
        <w:rPr>
          <w:spacing w:val="25"/>
        </w:rPr>
        <w:t> </w:t>
      </w:r>
      <w:r>
        <w:rPr/>
        <w:t>saliva</w:t>
      </w:r>
      <w:r>
        <w:rPr>
          <w:spacing w:val="26"/>
        </w:rPr>
        <w:t> </w:t>
      </w:r>
      <w:r>
        <w:rPr/>
        <w:t>paracetamol</w:t>
      </w:r>
      <w:r>
        <w:rPr>
          <w:spacing w:val="28"/>
        </w:rPr>
        <w:t> </w:t>
      </w:r>
      <w:r>
        <w:rPr/>
        <w:t>concentration</w:t>
      </w:r>
      <w:r>
        <w:rPr>
          <w:spacing w:val="26"/>
        </w:rPr>
        <w:t> </w:t>
      </w:r>
      <w:r>
        <w:rPr/>
        <w:t>time</w:t>
      </w:r>
      <w:r>
        <w:rPr>
          <w:spacing w:val="27"/>
        </w:rPr>
        <w:t> </w:t>
      </w:r>
      <w:r>
        <w:rPr/>
        <w:t>graph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25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 w:line="242" w:lineRule="auto"/>
        <w:sectPr>
          <w:pgSz w:w="11910" w:h="16840"/>
          <w:pgMar w:header="0" w:footer="1007" w:top="1580" w:bottom="1200" w:left="660" w:right="0"/>
        </w:sectPr>
      </w:pPr>
    </w:p>
    <w:p>
      <w:pPr>
        <w:pStyle w:val="Heading1"/>
        <w:spacing w:line="242" w:lineRule="auto" w:before="77"/>
        <w:ind w:left="3125" w:right="1417" w:hanging="1801"/>
      </w:pPr>
      <w:r>
        <w:rPr/>
        <w:t>Table</w:t>
      </w:r>
      <w:r>
        <w:rPr>
          <w:spacing w:val="6"/>
        </w:rPr>
        <w:t> </w:t>
      </w:r>
      <w:r>
        <w:rPr/>
        <w:t>4.7:</w:t>
      </w:r>
      <w:r>
        <w:rPr>
          <w:spacing w:val="6"/>
        </w:rPr>
        <w:t> </w:t>
      </w:r>
      <w:r>
        <w:rPr/>
        <w:t>Mean</w:t>
      </w:r>
      <w:r>
        <w:rPr>
          <w:spacing w:val="8"/>
        </w:rPr>
        <w:t> </w:t>
      </w:r>
      <w:r>
        <w:rPr/>
        <w:t>Pharmacokinetic</w:t>
      </w:r>
      <w:r>
        <w:rPr>
          <w:spacing w:val="8"/>
        </w:rPr>
        <w:t> </w:t>
      </w:r>
      <w:r>
        <w:rPr/>
        <w:t>Parameters</w:t>
      </w:r>
      <w:r>
        <w:rPr>
          <w:spacing w:val="7"/>
        </w:rPr>
        <w:t> </w:t>
      </w:r>
      <w:r>
        <w:rPr/>
        <w:t>for</w:t>
      </w:r>
      <w:r>
        <w:rPr>
          <w:spacing w:val="11"/>
        </w:rPr>
        <w:t> </w:t>
      </w:r>
      <w:r>
        <w:rPr/>
        <w:t>Samples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Paracetamol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 Extra</w:t>
      </w:r>
      <w:r>
        <w:rPr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2940"/>
        <w:gridCol w:w="3347"/>
      </w:tblGrid>
      <w:tr>
        <w:trPr>
          <w:trHeight w:val="753" w:hRule="atLeast"/>
        </w:trPr>
        <w:tc>
          <w:tcPr>
            <w:tcW w:w="2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5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Pharmacokinetic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  <w:tc>
          <w:tcPr>
            <w:tcW w:w="2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Panadol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tablets</w:t>
            </w:r>
          </w:p>
        </w:tc>
        <w:tc>
          <w:tcPr>
            <w:tcW w:w="3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Panadol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Extra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tablets</w:t>
            </w:r>
          </w:p>
        </w:tc>
      </w:tr>
      <w:tr>
        <w:trPr>
          <w:trHeight w:val="377" w:hRule="atLeast"/>
        </w:trPr>
        <w:tc>
          <w:tcPr>
            <w:tcW w:w="2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Lag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2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81"/>
              <w:rPr>
                <w:sz w:val="24"/>
              </w:rPr>
            </w:pPr>
            <w:r>
              <w:rPr>
                <w:sz w:val="24"/>
              </w:rPr>
              <w:t>4.0±0.45</w:t>
            </w:r>
          </w:p>
        </w:tc>
        <w:tc>
          <w:tcPr>
            <w:tcW w:w="3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7"/>
              <w:rPr>
                <w:sz w:val="24"/>
              </w:rPr>
            </w:pPr>
            <w:r>
              <w:rPr>
                <w:sz w:val="24"/>
              </w:rPr>
              <w:t>3.5±0.22</w:t>
            </w:r>
          </w:p>
        </w:tc>
      </w:tr>
      <w:tr>
        <w:trPr>
          <w:trHeight w:val="483" w:hRule="atLeast"/>
        </w:trPr>
        <w:tc>
          <w:tcPr>
            <w:tcW w:w="2441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z w:val="24"/>
                <w:vertAlign w:val="subscript"/>
              </w:rPr>
              <w:t>max</w:t>
            </w:r>
            <w:r>
              <w:rPr>
                <w:b/>
                <w:spacing w:val="-3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2"/>
              <w:ind w:left="581"/>
              <w:rPr>
                <w:sz w:val="24"/>
              </w:rPr>
            </w:pPr>
            <w:r>
              <w:rPr>
                <w:sz w:val="24"/>
              </w:rPr>
              <w:t>21.60±0.34</w:t>
            </w:r>
          </w:p>
        </w:tc>
        <w:tc>
          <w:tcPr>
            <w:tcW w:w="3347" w:type="dxa"/>
          </w:tcPr>
          <w:p>
            <w:pPr>
              <w:pStyle w:val="TableParagraph"/>
              <w:spacing w:before="92"/>
              <w:ind w:left="547"/>
              <w:rPr>
                <w:sz w:val="24"/>
              </w:rPr>
            </w:pPr>
            <w:r>
              <w:rPr>
                <w:sz w:val="24"/>
              </w:rPr>
              <w:t>23.90±0.40*</w:t>
            </w:r>
          </w:p>
        </w:tc>
      </w:tr>
      <w:tr>
        <w:trPr>
          <w:trHeight w:val="476" w:hRule="atLeast"/>
        </w:trPr>
        <w:tc>
          <w:tcPr>
            <w:tcW w:w="2441" w:type="dxa"/>
          </w:tcPr>
          <w:p>
            <w:pPr>
              <w:pStyle w:val="TableParagraph"/>
              <w:spacing w:before="9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max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86"/>
              <w:ind w:left="581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3347" w:type="dxa"/>
          </w:tcPr>
          <w:p>
            <w:pPr>
              <w:pStyle w:val="TableParagraph"/>
              <w:spacing w:before="86"/>
              <w:ind w:left="54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</w:tr>
      <w:tr>
        <w:trPr>
          <w:trHeight w:val="468" w:hRule="atLeast"/>
        </w:trPr>
        <w:tc>
          <w:tcPr>
            <w:tcW w:w="2441" w:type="dxa"/>
          </w:tcPr>
          <w:p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(µg/ml/hr)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85"/>
              <w:ind w:left="581"/>
              <w:rPr>
                <w:sz w:val="24"/>
              </w:rPr>
            </w:pPr>
            <w:r>
              <w:rPr>
                <w:sz w:val="24"/>
              </w:rPr>
              <w:t>0.95±0.10</w:t>
            </w:r>
          </w:p>
        </w:tc>
        <w:tc>
          <w:tcPr>
            <w:tcW w:w="3347" w:type="dxa"/>
          </w:tcPr>
          <w:p>
            <w:pPr>
              <w:pStyle w:val="TableParagraph"/>
              <w:spacing w:before="85"/>
              <w:ind w:left="547"/>
              <w:rPr>
                <w:sz w:val="24"/>
              </w:rPr>
            </w:pPr>
            <w:r>
              <w:rPr>
                <w:sz w:val="24"/>
              </w:rPr>
              <w:t>0.71±0.30</w:t>
            </w:r>
          </w:p>
        </w:tc>
      </w:tr>
      <w:tr>
        <w:trPr>
          <w:trHeight w:val="476" w:hRule="atLeast"/>
        </w:trPr>
        <w:tc>
          <w:tcPr>
            <w:tcW w:w="2441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(µg/ml/hr)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2"/>
              <w:ind w:left="581"/>
              <w:rPr>
                <w:sz w:val="24"/>
              </w:rPr>
            </w:pPr>
            <w:r>
              <w:rPr>
                <w:sz w:val="24"/>
              </w:rPr>
              <w:t>9.75±0.68</w:t>
            </w:r>
          </w:p>
        </w:tc>
        <w:tc>
          <w:tcPr>
            <w:tcW w:w="3347" w:type="dxa"/>
          </w:tcPr>
          <w:p>
            <w:pPr>
              <w:pStyle w:val="TableParagraph"/>
              <w:spacing w:before="92"/>
              <w:ind w:left="547"/>
              <w:rPr>
                <w:sz w:val="24"/>
              </w:rPr>
            </w:pPr>
            <w:r>
              <w:rPr>
                <w:sz w:val="24"/>
              </w:rPr>
              <w:t>10.61±0.13</w:t>
            </w:r>
          </w:p>
        </w:tc>
      </w:tr>
      <w:tr>
        <w:trPr>
          <w:trHeight w:val="483" w:hRule="atLeast"/>
        </w:trPr>
        <w:tc>
          <w:tcPr>
            <w:tcW w:w="2441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i/>
                <w:sz w:val="24"/>
                <w:vertAlign w:val="subscript"/>
              </w:rPr>
              <w:t>1/2α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3"/>
              <w:ind w:left="581"/>
              <w:rPr>
                <w:sz w:val="24"/>
              </w:rPr>
            </w:pPr>
            <w:r>
              <w:rPr>
                <w:sz w:val="24"/>
              </w:rPr>
              <w:t>14.06±0.98</w:t>
            </w:r>
          </w:p>
        </w:tc>
        <w:tc>
          <w:tcPr>
            <w:tcW w:w="3347" w:type="dxa"/>
          </w:tcPr>
          <w:p>
            <w:pPr>
              <w:pStyle w:val="TableParagraph"/>
              <w:spacing w:before="93"/>
              <w:ind w:left="547"/>
              <w:rPr>
                <w:sz w:val="24"/>
              </w:rPr>
            </w:pPr>
            <w:r>
              <w:rPr>
                <w:sz w:val="24"/>
              </w:rPr>
              <w:t>15.30±1.89</w:t>
            </w:r>
          </w:p>
        </w:tc>
      </w:tr>
      <w:tr>
        <w:trPr>
          <w:trHeight w:val="475" w:hRule="atLeast"/>
        </w:trPr>
        <w:tc>
          <w:tcPr>
            <w:tcW w:w="2441" w:type="dxa"/>
          </w:tcPr>
          <w:p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i/>
                <w:sz w:val="24"/>
                <w:vertAlign w:val="subscript"/>
              </w:rPr>
              <w:t>1/2β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85"/>
              <w:ind w:left="581"/>
              <w:rPr>
                <w:sz w:val="24"/>
              </w:rPr>
            </w:pPr>
            <w:r>
              <w:rPr>
                <w:sz w:val="24"/>
              </w:rPr>
              <w:t>1.36±0.02</w:t>
            </w:r>
          </w:p>
        </w:tc>
        <w:tc>
          <w:tcPr>
            <w:tcW w:w="3347" w:type="dxa"/>
          </w:tcPr>
          <w:p>
            <w:pPr>
              <w:pStyle w:val="TableParagraph"/>
              <w:spacing w:before="85"/>
              <w:ind w:left="547"/>
              <w:rPr>
                <w:sz w:val="24"/>
              </w:rPr>
            </w:pPr>
            <w:r>
              <w:rPr>
                <w:sz w:val="24"/>
              </w:rPr>
              <w:t>1.02±0.04</w:t>
            </w:r>
          </w:p>
        </w:tc>
      </w:tr>
      <w:tr>
        <w:trPr>
          <w:trHeight w:val="469" w:hRule="atLeast"/>
        </w:trPr>
        <w:tc>
          <w:tcPr>
            <w:tcW w:w="2441" w:type="dxa"/>
          </w:tcPr>
          <w:p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Vd(ml)</w:t>
            </w:r>
          </w:p>
        </w:tc>
        <w:tc>
          <w:tcPr>
            <w:tcW w:w="2940" w:type="dxa"/>
          </w:tcPr>
          <w:p>
            <w:pPr>
              <w:pStyle w:val="TableParagraph"/>
              <w:spacing w:before="85"/>
              <w:ind w:left="581"/>
              <w:rPr>
                <w:sz w:val="24"/>
              </w:rPr>
            </w:pPr>
            <w:r>
              <w:rPr>
                <w:sz w:val="24"/>
              </w:rPr>
              <w:t>20808.08±1586.30</w:t>
            </w:r>
          </w:p>
        </w:tc>
        <w:tc>
          <w:tcPr>
            <w:tcW w:w="3347" w:type="dxa"/>
          </w:tcPr>
          <w:p>
            <w:pPr>
              <w:pStyle w:val="TableParagraph"/>
              <w:spacing w:before="85"/>
              <w:ind w:left="547"/>
              <w:rPr>
                <w:sz w:val="24"/>
              </w:rPr>
            </w:pPr>
            <w:r>
              <w:rPr>
                <w:sz w:val="24"/>
              </w:rPr>
              <w:t>16967.20±1084.94</w:t>
            </w:r>
          </w:p>
        </w:tc>
      </w:tr>
      <w:tr>
        <w:trPr>
          <w:trHeight w:val="476" w:hRule="atLeast"/>
        </w:trPr>
        <w:tc>
          <w:tcPr>
            <w:tcW w:w="2441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(ml/Hr)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3"/>
              <w:ind w:left="581"/>
              <w:rPr>
                <w:sz w:val="24"/>
              </w:rPr>
            </w:pPr>
            <w:r>
              <w:rPr>
                <w:sz w:val="24"/>
              </w:rPr>
              <w:t>19596.25±1338.13</w:t>
            </w:r>
          </w:p>
        </w:tc>
        <w:tc>
          <w:tcPr>
            <w:tcW w:w="3347" w:type="dxa"/>
          </w:tcPr>
          <w:p>
            <w:pPr>
              <w:pStyle w:val="TableParagraph"/>
              <w:spacing w:before="93"/>
              <w:ind w:left="547"/>
              <w:rPr>
                <w:sz w:val="24"/>
              </w:rPr>
            </w:pPr>
            <w:r>
              <w:rPr>
                <w:sz w:val="24"/>
              </w:rPr>
              <w:t>11989.12±688.13*</w:t>
            </w:r>
          </w:p>
        </w:tc>
      </w:tr>
      <w:tr>
        <w:trPr>
          <w:trHeight w:val="482" w:hRule="atLeast"/>
        </w:trPr>
        <w:tc>
          <w:tcPr>
            <w:tcW w:w="2441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AUC</w:t>
            </w:r>
            <w:r>
              <w:rPr>
                <w:b/>
                <w:sz w:val="24"/>
                <w:vertAlign w:val="subscript"/>
              </w:rPr>
              <w:t>0-6hr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2"/>
              <w:ind w:left="581"/>
              <w:rPr>
                <w:sz w:val="24"/>
              </w:rPr>
            </w:pPr>
            <w:r>
              <w:rPr>
                <w:sz w:val="24"/>
              </w:rPr>
              <w:t>5497.00±362.02</w:t>
            </w:r>
          </w:p>
        </w:tc>
        <w:tc>
          <w:tcPr>
            <w:tcW w:w="3347" w:type="dxa"/>
          </w:tcPr>
          <w:p>
            <w:pPr>
              <w:pStyle w:val="TableParagraph"/>
              <w:spacing w:before="92"/>
              <w:ind w:left="547"/>
              <w:rPr>
                <w:sz w:val="24"/>
              </w:rPr>
            </w:pPr>
            <w:r>
              <w:rPr>
                <w:sz w:val="24"/>
              </w:rPr>
              <w:t>5958.87±243.30</w:t>
            </w:r>
          </w:p>
        </w:tc>
      </w:tr>
      <w:tr>
        <w:trPr>
          <w:trHeight w:val="568" w:hRule="atLeast"/>
        </w:trPr>
        <w:tc>
          <w:tcPr>
            <w:tcW w:w="2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AUC</w:t>
            </w:r>
            <w:r>
              <w:rPr>
                <w:b/>
                <w:sz w:val="24"/>
                <w:vertAlign w:val="subscript"/>
              </w:rPr>
              <w:t>0-</w:t>
            </w:r>
            <w:r>
              <w:rPr>
                <w:b/>
                <w:i/>
                <w:sz w:val="24"/>
                <w:vertAlign w:val="subscript"/>
              </w:rPr>
              <w:t>∞</w:t>
            </w:r>
            <w:r>
              <w:rPr>
                <w:b/>
                <w:i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2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581"/>
              <w:rPr>
                <w:sz w:val="24"/>
              </w:rPr>
            </w:pPr>
            <w:r>
              <w:rPr>
                <w:sz w:val="24"/>
              </w:rPr>
              <w:t>5498.50±362.02</w:t>
            </w:r>
          </w:p>
        </w:tc>
        <w:tc>
          <w:tcPr>
            <w:tcW w:w="3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547"/>
              <w:rPr>
                <w:sz w:val="24"/>
              </w:rPr>
            </w:pPr>
            <w:r>
              <w:rPr>
                <w:sz w:val="24"/>
              </w:rPr>
              <w:t>5961.02±243.30</w:t>
            </w:r>
          </w:p>
        </w:tc>
      </w:tr>
    </w:tbl>
    <w:p>
      <w:pPr>
        <w:pStyle w:val="BodyText"/>
        <w:spacing w:line="242" w:lineRule="auto"/>
        <w:ind w:left="1325" w:right="1416"/>
      </w:pPr>
      <w:r>
        <w:rPr/>
        <w:t>Data</w:t>
      </w:r>
      <w:r>
        <w:rPr>
          <w:spacing w:val="34"/>
        </w:rPr>
        <w:t> </w:t>
      </w:r>
      <w:r>
        <w:rPr/>
        <w:t>was</w:t>
      </w:r>
      <w:r>
        <w:rPr>
          <w:spacing w:val="35"/>
        </w:rPr>
        <w:t> </w:t>
      </w:r>
      <w:r>
        <w:rPr/>
        <w:t>analysed</w:t>
      </w:r>
      <w:r>
        <w:rPr>
          <w:spacing w:val="37"/>
        </w:rPr>
        <w:t> </w:t>
      </w:r>
      <w:r>
        <w:rPr/>
        <w:t>using</w:t>
      </w:r>
      <w:r>
        <w:rPr>
          <w:spacing w:val="33"/>
        </w:rPr>
        <w:t> </w:t>
      </w:r>
      <w:r>
        <w:rPr/>
        <w:t>independent</w:t>
      </w:r>
      <w:r>
        <w:rPr>
          <w:spacing w:val="36"/>
        </w:rPr>
        <w:t> </w:t>
      </w:r>
      <w:r>
        <w:rPr/>
        <w:t>student</w:t>
      </w:r>
      <w:r>
        <w:rPr>
          <w:spacing w:val="35"/>
        </w:rPr>
        <w:t> </w:t>
      </w:r>
      <w:r>
        <w:rPr/>
        <w:t>paired</w:t>
      </w:r>
      <w:r>
        <w:rPr>
          <w:spacing w:val="35"/>
        </w:rPr>
        <w:t> </w:t>
      </w:r>
      <w:r>
        <w:rPr/>
        <w:t>t-</w:t>
      </w:r>
      <w:r>
        <w:rPr>
          <w:spacing w:val="34"/>
        </w:rPr>
        <w:t> </w:t>
      </w:r>
      <w:r>
        <w:rPr/>
        <w:t>test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*</w:t>
      </w:r>
      <w:r>
        <w:rPr>
          <w:spacing w:val="35"/>
        </w:rPr>
        <w:t> </w:t>
      </w:r>
      <w:r>
        <w:rPr/>
        <w:t>p&lt;0.05,</w:t>
      </w:r>
      <w:r>
        <w:rPr>
          <w:spacing w:val="36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difference.</w:t>
      </w:r>
      <w:r>
        <w:rPr>
          <w:spacing w:val="-1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expressed as mean ± SEM.</w:t>
      </w:r>
    </w:p>
    <w:p>
      <w:pPr>
        <w:spacing w:after="0" w:line="242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1"/>
        <w:jc w:val="center"/>
      </w:pPr>
      <w:bookmarkStart w:name="_TOC_250006" w:id="36"/>
      <w:r>
        <w:rPr/>
        <w:t>CHAPTER</w:t>
      </w:r>
      <w:r>
        <w:rPr>
          <w:spacing w:val="-3"/>
        </w:rPr>
        <w:t> </w:t>
      </w:r>
      <w:bookmarkEnd w:id="36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spacing w:before="1"/>
        <w:ind w:left="4632"/>
      </w:pPr>
      <w:bookmarkStart w:name="_TOC_250005" w:id="37"/>
      <w:r>
        <w:rPr/>
        <w:t>5.0</w:t>
      </w:r>
      <w:r>
        <w:rPr>
          <w:spacing w:val="1"/>
        </w:rPr>
        <w:t> </w:t>
      </w:r>
      <w:bookmarkEnd w:id="37"/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7" w:firstLine="59"/>
        <w:jc w:val="both"/>
      </w:pPr>
      <w:r>
        <w:rPr/>
        <w:t>The in vitro weight uniformity test ensures that the formulation is of similar thickness</w:t>
      </w:r>
      <w:r>
        <w:rPr>
          <w:spacing w:val="1"/>
        </w:rPr>
        <w:t> </w:t>
      </w:r>
      <w:r>
        <w:rPr/>
        <w:t>(mass). The samples used for this study all passed the weight uniformity test.</w:t>
      </w:r>
      <w:r>
        <w:rPr>
          <w:spacing w:val="61"/>
        </w:rPr>
        <w:t> </w:t>
      </w:r>
      <w:r>
        <w:rPr/>
        <w:t>B.P</w:t>
      </w:r>
      <w:r>
        <w:rPr>
          <w:spacing w:val="1"/>
        </w:rPr>
        <w:t> </w:t>
      </w:r>
      <w:r>
        <w:rPr/>
        <w:t>(2009) stated that not more than two of the individual weights (for tablet of average</w:t>
      </w:r>
      <w:r>
        <w:rPr>
          <w:spacing w:val="1"/>
        </w:rPr>
        <w:t> </w:t>
      </w:r>
      <w:r>
        <w:rPr/>
        <w:t>weight of 250mg or more) deviates from the average weight by more than 5% and none</w:t>
      </w:r>
      <w:r>
        <w:rPr>
          <w:spacing w:val="1"/>
        </w:rPr>
        <w:t> </w:t>
      </w:r>
      <w:r>
        <w:rPr/>
        <w:t>deviates by more than twice that percentage.</w:t>
      </w:r>
      <w:r>
        <w:rPr>
          <w:spacing w:val="1"/>
        </w:rPr>
        <w:t> </w:t>
      </w:r>
      <w:r>
        <w:rPr/>
        <w:t>The significance of this test is to ascertain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and was</w:t>
      </w:r>
      <w:r>
        <w:rPr>
          <w:spacing w:val="2"/>
        </w:rPr>
        <w:t> </w:t>
      </w:r>
      <w:r>
        <w:rPr/>
        <w:t>cofirmed.</w:t>
      </w:r>
    </w:p>
    <w:p>
      <w:pPr>
        <w:pStyle w:val="BodyText"/>
        <w:spacing w:line="480" w:lineRule="auto" w:before="202"/>
        <w:ind w:left="1325" w:right="1416" w:firstLine="59"/>
        <w:jc w:val="both"/>
      </w:pPr>
      <w:r>
        <w:rPr/>
        <w:t>Tablet formulations are consistently subjected to mechanical stress from the point of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consumed.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 passed the friability test except for sample B3 (Panadol Extra</w:t>
      </w:r>
      <w:r>
        <w:rPr>
          <w:vertAlign w:val="superscript"/>
        </w:rPr>
        <w:t>®</w:t>
      </w:r>
      <w:r>
        <w:rPr>
          <w:vertAlign w:val="baseline"/>
        </w:rPr>
        <w:t> tablets).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binder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and/or</w:t>
      </w:r>
      <w:r>
        <w:rPr>
          <w:spacing w:val="1"/>
          <w:vertAlign w:val="baseline"/>
        </w:rPr>
        <w:t> </w:t>
      </w:r>
      <w:r>
        <w:rPr>
          <w:vertAlign w:val="baseline"/>
        </w:rPr>
        <w:t>insufficient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compression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strength, as all samples of B3 were very soft. It correlated with values of 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test where it disintegrated in the least mean time of 30 seconds that is less than one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aim of the test is to ensure that tablets will withstand the mechanical 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handling; transportation and they will not break or lose significant weight to</w:t>
      </w:r>
      <w:r>
        <w:rPr>
          <w:spacing w:val="1"/>
          <w:vertAlign w:val="baseline"/>
        </w:rPr>
        <w:t> </w:t>
      </w:r>
      <w:r>
        <w:rPr>
          <w:vertAlign w:val="baseline"/>
        </w:rPr>
        <w:t>abrasions. The loss of any part of the tablet results in loss of active ingredient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formulation.</w:t>
      </w:r>
    </w:p>
    <w:p>
      <w:pPr>
        <w:pStyle w:val="BodyText"/>
        <w:spacing w:line="480" w:lineRule="auto" w:before="201"/>
        <w:ind w:left="1325" w:right="1412"/>
        <w:jc w:val="both"/>
      </w:pP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crucial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B.P</w:t>
      </w:r>
      <w:r>
        <w:rPr>
          <w:spacing w:val="1"/>
        </w:rPr>
        <w:t> </w:t>
      </w:r>
      <w:r>
        <w:rPr/>
        <w:t>2009</w:t>
      </w:r>
      <w:r>
        <w:rPr>
          <w:spacing w:val="-57"/>
        </w:rPr>
        <w:t> </w:t>
      </w:r>
      <w:r>
        <w:rPr/>
        <w:t>specification states that all tablets should disintegrate before 15 minutes. All tablets</w:t>
      </w:r>
      <w:r>
        <w:rPr>
          <w:spacing w:val="1"/>
        </w:rPr>
        <w:t> </w:t>
      </w:r>
      <w:r>
        <w:rPr/>
        <w:t>sampled passed the disintegration test as they disintegrated before 15mins. The time of</w:t>
      </w:r>
      <w:r>
        <w:rPr>
          <w:spacing w:val="1"/>
        </w:rPr>
        <w:t> </w:t>
      </w:r>
      <w:r>
        <w:rPr/>
        <w:t>disintegration is a measure of the quality of a tablet, this is because, if the disintegration</w:t>
      </w:r>
      <w:r>
        <w:rPr>
          <w:spacing w:val="1"/>
        </w:rPr>
        <w:t> </w:t>
      </w:r>
      <w:r>
        <w:rPr/>
        <w:t>time is too long; it means that the tablet was highly compressed or excess amount of</w:t>
      </w:r>
      <w:r>
        <w:rPr>
          <w:spacing w:val="1"/>
        </w:rPr>
        <w:t> </w:t>
      </w:r>
      <w:r>
        <w:rPr/>
        <w:t>binder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formulation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may</w:t>
      </w:r>
      <w:r>
        <w:rPr>
          <w:spacing w:val="33"/>
        </w:rPr>
        <w:t> </w:t>
      </w:r>
      <w:r>
        <w:rPr/>
        <w:t>not</w:t>
      </w:r>
      <w:r>
        <w:rPr>
          <w:spacing w:val="36"/>
        </w:rPr>
        <w:t> </w:t>
      </w:r>
      <w:r>
        <w:rPr/>
        <w:t>release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active</w:t>
      </w:r>
      <w:r>
        <w:rPr>
          <w:spacing w:val="34"/>
        </w:rPr>
        <w:t> </w:t>
      </w:r>
      <w:r>
        <w:rPr/>
        <w:t>ingredient</w:t>
      </w:r>
      <w:r>
        <w:rPr>
          <w:spacing w:val="35"/>
        </w:rPr>
        <w:t> </w:t>
      </w:r>
      <w:r>
        <w:rPr/>
        <w:t>at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right</w:t>
      </w:r>
      <w:r>
        <w:rPr>
          <w:spacing w:val="36"/>
        </w:rPr>
        <w:t> </w:t>
      </w:r>
      <w:r>
        <w:rPr/>
        <w:t>time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20"/>
        <w:jc w:val="both"/>
      </w:pPr>
      <w:r>
        <w:rPr/>
        <w:t>which may often affect the drug‟s bioavailability or it may imply several other reasons.</w:t>
      </w:r>
      <w:r>
        <w:rPr>
          <w:spacing w:val="1"/>
        </w:rPr>
        <w:t> </w:t>
      </w:r>
      <w:r>
        <w:rPr/>
        <w:t>Similarly if the disintegration time is not uniform in a set of samples being analysed, it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batch inconsistency</w:t>
      </w:r>
      <w:r>
        <w:rPr>
          <w:spacing w:val="-3"/>
        </w:rPr>
        <w:t> </w:t>
      </w:r>
      <w:r>
        <w:rPr/>
        <w:t>and lack of batch</w:t>
      </w:r>
      <w:r>
        <w:rPr>
          <w:spacing w:val="-1"/>
        </w:rPr>
        <w:t> </w:t>
      </w:r>
      <w:r>
        <w:rPr/>
        <w:t>uniformity.</w:t>
      </w:r>
    </w:p>
    <w:p>
      <w:pPr>
        <w:pStyle w:val="BodyText"/>
        <w:spacing w:line="480" w:lineRule="auto" w:before="199"/>
        <w:ind w:left="1325" w:right="1414"/>
        <w:jc w:val="both"/>
      </w:pPr>
      <w:r>
        <w:rPr/>
        <w:t>The dissolution rate of a drug is used to identify a crucial effect in the bioavailability of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active</w:t>
      </w:r>
      <w:r>
        <w:rPr>
          <w:spacing w:val="21"/>
        </w:rPr>
        <w:t> </w:t>
      </w:r>
      <w:r>
        <w:rPr/>
        <w:t>ingredient</w:t>
      </w:r>
      <w:r>
        <w:rPr>
          <w:spacing w:val="22"/>
        </w:rPr>
        <w:t> </w:t>
      </w:r>
      <w:r>
        <w:rPr/>
        <w:t>(Jacob,</w:t>
      </w:r>
      <w:r>
        <w:rPr>
          <w:spacing w:val="24"/>
        </w:rPr>
        <w:t> </w:t>
      </w:r>
      <w:r>
        <w:rPr/>
        <w:t>2011).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absorption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solid</w:t>
      </w:r>
      <w:r>
        <w:rPr>
          <w:spacing w:val="22"/>
        </w:rPr>
        <w:t> </w:t>
      </w:r>
      <w:r>
        <w:rPr/>
        <w:t>oral</w:t>
      </w:r>
      <w:r>
        <w:rPr>
          <w:spacing w:val="23"/>
        </w:rPr>
        <w:t> </w:t>
      </w:r>
      <w:r>
        <w:rPr/>
        <w:t>formulations</w:t>
      </w:r>
      <w:r>
        <w:rPr>
          <w:spacing w:val="24"/>
        </w:rPr>
        <w:t> </w:t>
      </w:r>
      <w:r>
        <w:rPr/>
        <w:t>depends</w:t>
      </w:r>
      <w:r>
        <w:rPr>
          <w:spacing w:val="-58"/>
        </w:rPr>
        <w:t> </w:t>
      </w:r>
      <w:r>
        <w:rPr/>
        <w:t>on the release of the therapeutic moiety at a given time. The B.P 2009 specification</w:t>
      </w:r>
      <w:r>
        <w:rPr>
          <w:spacing w:val="1"/>
        </w:rPr>
        <w:t> </w:t>
      </w:r>
      <w:r>
        <w:rPr/>
        <w:t>states that for a tablet to pass dissolution test, the amount of active ingredient released</w:t>
      </w:r>
      <w:r>
        <w:rPr>
          <w:spacing w:val="1"/>
        </w:rPr>
        <w:t> </w:t>
      </w:r>
      <w:r>
        <w:rPr/>
        <w:t>after 45 min should not be less than 70%. The time for half of the sampled drugs to go</w:t>
      </w:r>
      <w:r>
        <w:rPr>
          <w:spacing w:val="1"/>
        </w:rPr>
        <w:t> </w:t>
      </w:r>
      <w:r>
        <w:rPr/>
        <w:t>into dissolution state was less than 5 minutes and over 80% was in dissolution after 45</w:t>
      </w:r>
      <w:r>
        <w:rPr>
          <w:spacing w:val="1"/>
        </w:rPr>
        <w:t> </w:t>
      </w:r>
      <w:r>
        <w:rPr/>
        <w:t>minutes. The sample tablets passed the dissolution test thus they are bioequivalent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component.</w:t>
      </w:r>
    </w:p>
    <w:p>
      <w:pPr>
        <w:pStyle w:val="BodyText"/>
        <w:spacing w:line="480" w:lineRule="auto" w:before="201"/>
        <w:ind w:left="1325" w:right="1412"/>
        <w:jc w:val="both"/>
      </w:pPr>
      <w:r>
        <w:rPr/>
        <w:t>From the dissolution studies results, samples of Panadol Extra</w:t>
      </w:r>
      <w:r>
        <w:rPr>
          <w:vertAlign w:val="superscript"/>
        </w:rPr>
        <w:t>®</w:t>
      </w:r>
      <w:r>
        <w:rPr>
          <w:vertAlign w:val="baseline"/>
        </w:rPr>
        <w:t> tablets (B1, B2 and B3)</w:t>
      </w:r>
      <w:r>
        <w:rPr>
          <w:spacing w:val="1"/>
          <w:vertAlign w:val="baseline"/>
        </w:rPr>
        <w:t> </w:t>
      </w:r>
      <w:r>
        <w:rPr>
          <w:vertAlign w:val="baseline"/>
        </w:rPr>
        <w:t>were observed to release over 50% of the active ingredient in the first minute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spacing w:val="3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31"/>
          <w:vertAlign w:val="baseline"/>
        </w:rPr>
        <w:t> </w:t>
      </w:r>
      <w:r>
        <w:rPr>
          <w:vertAlign w:val="baseline"/>
        </w:rPr>
        <w:t>(A1,</w:t>
      </w:r>
      <w:r>
        <w:rPr>
          <w:spacing w:val="29"/>
          <w:vertAlign w:val="baseline"/>
        </w:rPr>
        <w:t> </w:t>
      </w:r>
      <w:r>
        <w:rPr>
          <w:vertAlign w:val="baseline"/>
        </w:rPr>
        <w:t>A2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A3)</w:t>
      </w:r>
      <w:r>
        <w:rPr>
          <w:spacing w:val="31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seen</w:t>
      </w:r>
      <w:r>
        <w:rPr>
          <w:spacing w:val="30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table</w:t>
      </w:r>
      <w:r>
        <w:rPr>
          <w:spacing w:val="30"/>
          <w:vertAlign w:val="baseline"/>
        </w:rPr>
        <w:t> </w:t>
      </w:r>
      <w:r>
        <w:rPr>
          <w:vertAlign w:val="baseline"/>
        </w:rPr>
        <w:t>4.4.</w:t>
      </w:r>
      <w:r>
        <w:rPr>
          <w:spacing w:val="33"/>
          <w:vertAlign w:val="baseline"/>
        </w:rPr>
        <w:t> </w:t>
      </w:r>
      <w:r>
        <w:rPr>
          <w:vertAlign w:val="baseline"/>
        </w:rPr>
        <w:t>This</w:t>
      </w:r>
      <w:r>
        <w:rPr>
          <w:spacing w:val="30"/>
          <w:vertAlign w:val="baseline"/>
        </w:rPr>
        <w:t> </w:t>
      </w:r>
      <w:r>
        <w:rPr>
          <w:vertAlign w:val="baseline"/>
        </w:rPr>
        <w:t>correlates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the mean saliva concentrations that revealed higher mean peak saliva 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≤</w:t>
      </w:r>
      <w:r>
        <w:rPr>
          <w:spacing w:val="1"/>
          <w:vertAlign w:val="baseline"/>
        </w:rPr>
        <w:t> </w:t>
      </w:r>
      <w:r>
        <w:rPr>
          <w:vertAlign w:val="baseline"/>
        </w:rPr>
        <w:t>0.05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samples of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tablets.</w:t>
      </w:r>
    </w:p>
    <w:p>
      <w:pPr>
        <w:pStyle w:val="BodyText"/>
        <w:spacing w:line="480" w:lineRule="auto" w:before="202"/>
        <w:ind w:left="1325" w:right="1417"/>
        <w:jc w:val="both"/>
      </w:pPr>
      <w:r>
        <w:rPr/>
        <w:t>The variation in dissolution rate of samples of paracetamol can be explained by many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diluents</w:t>
      </w:r>
      <w:r>
        <w:rPr>
          <w:spacing w:val="1"/>
        </w:rPr>
        <w:t> </w:t>
      </w:r>
      <w:r>
        <w:rPr/>
        <w:t>(Marlowe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Shangraw, 2006), binder and disintegrant (Suren 2010). Method of incorporation of the</w:t>
      </w:r>
      <w:r>
        <w:rPr>
          <w:spacing w:val="1"/>
        </w:rPr>
        <w:t> </w:t>
      </w:r>
      <w:r>
        <w:rPr/>
        <w:t>ingredients,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compressional</w:t>
      </w:r>
      <w:r>
        <w:rPr>
          <w:spacing w:val="18"/>
        </w:rPr>
        <w:t> </w:t>
      </w:r>
      <w:r>
        <w:rPr/>
        <w:t>force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speed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compression</w:t>
      </w:r>
      <w:r>
        <w:rPr>
          <w:spacing w:val="17"/>
        </w:rPr>
        <w:t> </w:t>
      </w:r>
      <w:r>
        <w:rPr/>
        <w:t>are</w:t>
      </w:r>
      <w:r>
        <w:rPr>
          <w:spacing w:val="15"/>
        </w:rPr>
        <w:t> </w:t>
      </w:r>
      <w:r>
        <w:rPr/>
        <w:t>also</w:t>
      </w:r>
      <w:r>
        <w:rPr>
          <w:spacing w:val="17"/>
        </w:rPr>
        <w:t> </w:t>
      </w:r>
      <w:r>
        <w:rPr/>
        <w:t>factors</w:t>
      </w:r>
      <w:r>
        <w:rPr>
          <w:spacing w:val="18"/>
        </w:rPr>
        <w:t> </w:t>
      </w:r>
      <w:r>
        <w:rPr/>
        <w:t>leading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variations in the</w:t>
      </w:r>
      <w:r>
        <w:rPr>
          <w:spacing w:val="-1"/>
        </w:rPr>
        <w:t> </w:t>
      </w:r>
      <w:r>
        <w:rPr/>
        <w:t>dissolution rates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tablets (Khan and Rhodes,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line="480" w:lineRule="auto" w:before="200"/>
        <w:ind w:left="1325" w:right="1415" w:firstLine="59"/>
        <w:jc w:val="both"/>
      </w:pPr>
      <w:r>
        <w:rPr/>
        <w:t>The samples analysed passed the chemical assay test as the percentage content all were</w:t>
      </w:r>
      <w:r>
        <w:rPr>
          <w:spacing w:val="1"/>
        </w:rPr>
        <w:t> </w:t>
      </w:r>
      <w:r>
        <w:rPr/>
        <w:t>within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limits</w:t>
      </w:r>
      <w:r>
        <w:rPr>
          <w:spacing w:val="41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B.P</w:t>
      </w:r>
      <w:r>
        <w:rPr>
          <w:spacing w:val="40"/>
        </w:rPr>
        <w:t> </w:t>
      </w:r>
      <w:r>
        <w:rPr/>
        <w:t>(95%</w:t>
      </w:r>
      <w:r>
        <w:rPr>
          <w:spacing w:val="39"/>
        </w:rPr>
        <w:t> </w:t>
      </w:r>
      <w:r>
        <w:rPr/>
        <w:t>-</w:t>
      </w:r>
      <w:r>
        <w:rPr>
          <w:spacing w:val="39"/>
        </w:rPr>
        <w:t> </w:t>
      </w:r>
      <w:r>
        <w:rPr/>
        <w:t>105%).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presence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percentage</w:t>
      </w:r>
      <w:r>
        <w:rPr>
          <w:spacing w:val="38"/>
        </w:rPr>
        <w:t> </w:t>
      </w:r>
      <w:r>
        <w:rPr/>
        <w:t>content</w:t>
      </w:r>
      <w:r>
        <w:rPr>
          <w:spacing w:val="4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2"/>
        <w:jc w:val="both"/>
      </w:pPr>
      <w:r>
        <w:rPr/>
        <w:t>active ingredient in the samples used were determined quantitatively. This has shown</w:t>
      </w:r>
      <w:r>
        <w:rPr>
          <w:spacing w:val="1"/>
        </w:rPr>
        <w:t> </w:t>
      </w:r>
      <w:r>
        <w:rPr/>
        <w:t>that the samples actually contain the label claim of the active ingredient and they are</w:t>
      </w:r>
      <w:r>
        <w:rPr>
          <w:spacing w:val="1"/>
        </w:rPr>
        <w:t> </w:t>
      </w:r>
      <w:r>
        <w:rPr/>
        <w:t>chemically equivalent. The label claim of 500mg paracetamol in the samples confirmed</w:t>
      </w:r>
      <w:r>
        <w:rPr>
          <w:spacing w:val="1"/>
        </w:rPr>
        <w:t> </w:t>
      </w:r>
      <w:r>
        <w:rPr/>
        <w:t>will be expected to produce similar bioavailability following administration but this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-57"/>
        </w:rPr>
        <w:t> </w:t>
      </w:r>
      <w:r>
        <w:rPr/>
        <w:t>analysis carried out showed that the samples selected are of good quality and have been</w:t>
      </w:r>
      <w:r>
        <w:rPr>
          <w:spacing w:val="1"/>
        </w:rPr>
        <w:t> </w:t>
      </w:r>
      <w:r>
        <w:rPr/>
        <w:t>manufactured</w:t>
      </w:r>
      <w:r>
        <w:rPr>
          <w:spacing w:val="-1"/>
        </w:rPr>
        <w:t> </w:t>
      </w:r>
      <w:r>
        <w:rPr/>
        <w:t>based on</w:t>
      </w:r>
      <w:r>
        <w:rPr>
          <w:spacing w:val="2"/>
        </w:rPr>
        <w:t> </w:t>
      </w:r>
      <w:r>
        <w:rPr/>
        <w:t>good manufacturing</w:t>
      </w:r>
      <w:r>
        <w:rPr>
          <w:spacing w:val="-3"/>
        </w:rPr>
        <w:t> </w:t>
      </w:r>
      <w:r>
        <w:rPr/>
        <w:t>practices.</w:t>
      </w:r>
    </w:p>
    <w:p>
      <w:pPr>
        <w:pStyle w:val="BodyText"/>
        <w:spacing w:line="480" w:lineRule="auto" w:before="200"/>
        <w:ind w:left="1325" w:right="1412"/>
        <w:jc w:val="both"/>
      </w:pPr>
      <w:r>
        <w:rPr/>
        <w:t>The semi – log mean saliva concentration time graphs plotted fitted into first order</w:t>
      </w:r>
      <w:r>
        <w:rPr>
          <w:spacing w:val="1"/>
        </w:rPr>
        <w:t> </w:t>
      </w:r>
      <w:r>
        <w:rPr/>
        <w:t>kinetics. This means the amount of drug in the body at any time is proportional to the</w:t>
      </w:r>
      <w:r>
        <w:rPr>
          <w:spacing w:val="1"/>
        </w:rPr>
        <w:t> </w:t>
      </w:r>
      <w:r>
        <w:rPr/>
        <w:t>elimination of the drug from the body at that time. The proportionality constant relating</w:t>
      </w:r>
      <w:r>
        <w:rPr>
          <w:spacing w:val="1"/>
        </w:rPr>
        <w:t> </w:t>
      </w:r>
      <w:r>
        <w:rPr/>
        <w:t>the rate and the amount in the body is the first order elimination rate constant (Gibaldi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Perrier,</w:t>
      </w:r>
      <w:r>
        <w:rPr>
          <w:spacing w:val="1"/>
        </w:rPr>
        <w:t> </w:t>
      </w:r>
      <w:r>
        <w:rPr/>
        <w:t>1975).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extensively (Thomas, 1993) and others, they have all shown varying inter individual</w:t>
      </w:r>
      <w:r>
        <w:rPr>
          <w:spacing w:val="1"/>
        </w:rPr>
        <w:t> </w:t>
      </w:r>
      <w:r>
        <w:rPr/>
        <w:t>differences in the plasma and saliva levels on the pharmacokinetics of paracetamol. All</w:t>
      </w:r>
      <w:r>
        <w:rPr>
          <w:spacing w:val="1"/>
        </w:rPr>
        <w:t> </w:t>
      </w:r>
      <w:r>
        <w:rPr/>
        <w:t>pharmacokinetic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derived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well with</w:t>
      </w:r>
      <w:r>
        <w:rPr>
          <w:spacing w:val="-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spacing w:line="480" w:lineRule="auto" w:before="200"/>
        <w:ind w:left="1325" w:right="1412"/>
        <w:jc w:val="both"/>
      </w:pP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pharmacokinetic parameter as in table 4.7. The t</w:t>
      </w:r>
      <w:r>
        <w:rPr>
          <w:vertAlign w:val="subscript"/>
        </w:rPr>
        <w:t>max</w:t>
      </w:r>
      <w:r>
        <w:rPr>
          <w:vertAlign w:val="baseline"/>
        </w:rPr>
        <w:t> for all samples were 0.33hr. The lag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onset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tablets.</w:t>
      </w:r>
    </w:p>
    <w:p>
      <w:pPr>
        <w:pStyle w:val="BodyText"/>
        <w:spacing w:line="480" w:lineRule="auto" w:before="200"/>
        <w:ind w:left="1325" w:right="1412" w:firstLine="119"/>
        <w:jc w:val="both"/>
      </w:pPr>
      <w:r>
        <w:rPr/>
        <w:t>The peak saliva paracetamol levels ranging from 22.20 – 25.20 (µg/ml) were recorded</w:t>
      </w:r>
      <w:r>
        <w:rPr>
          <w:spacing w:val="1"/>
        </w:rPr>
        <w:t> </w:t>
      </w:r>
      <w:r>
        <w:rPr/>
        <w:t>for all samples of Panadol Extra</w:t>
      </w:r>
      <w:r>
        <w:rPr>
          <w:vertAlign w:val="superscript"/>
        </w:rPr>
        <w:t>®</w:t>
      </w:r>
      <w:r>
        <w:rPr>
          <w:vertAlign w:val="baseline"/>
        </w:rPr>
        <w:t> tablets which was statistically significant at P ≤ 0.05</w:t>
      </w:r>
      <w:r>
        <w:rPr>
          <w:spacing w:val="1"/>
          <w:vertAlign w:val="baseline"/>
        </w:rPr>
        <w:t> </w:t>
      </w:r>
      <w:r>
        <w:rPr>
          <w:vertAlign w:val="baseline"/>
        </w:rPr>
        <w:t>when compared with saliva paracetamol levels of samples of Panadol</w:t>
      </w:r>
      <w:r>
        <w:rPr>
          <w:vertAlign w:val="superscript"/>
        </w:rPr>
        <w:t>®</w:t>
      </w:r>
      <w:r>
        <w:rPr>
          <w:vertAlign w:val="baseline"/>
        </w:rPr>
        <w:t> tablets ranging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 20.60 – 22.50 (µg/ml) thus confirming greater bioavailability. In the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half-life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2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9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2"/>
          <w:vertAlign w:val="baseline"/>
        </w:rPr>
        <w:t> </w:t>
      </w:r>
      <w:r>
        <w:rPr>
          <w:vertAlign w:val="baseline"/>
        </w:rPr>
        <w:t>it</w:t>
      </w:r>
      <w:r>
        <w:rPr>
          <w:spacing w:val="11"/>
          <w:vertAlign w:val="baseline"/>
        </w:rPr>
        <w:t> </w:t>
      </w:r>
      <w:r>
        <w:rPr>
          <w:vertAlign w:val="baseline"/>
        </w:rPr>
        <w:t>was</w:t>
      </w:r>
      <w:r>
        <w:rPr>
          <w:spacing w:val="12"/>
          <w:vertAlign w:val="baseline"/>
        </w:rPr>
        <w:t> </w:t>
      </w:r>
      <w:r>
        <w:rPr>
          <w:vertAlign w:val="baseline"/>
        </w:rPr>
        <w:t>seen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be</w:t>
      </w:r>
      <w:r>
        <w:rPr>
          <w:spacing w:val="9"/>
          <w:vertAlign w:val="baseline"/>
        </w:rPr>
        <w:t> </w:t>
      </w:r>
      <w:r>
        <w:rPr>
          <w:vertAlign w:val="baseline"/>
        </w:rPr>
        <w:t>lower</w:t>
      </w:r>
      <w:r>
        <w:rPr>
          <w:spacing w:val="10"/>
          <w:vertAlign w:val="baseline"/>
        </w:rPr>
        <w:t> </w:t>
      </w:r>
      <w:r>
        <w:rPr>
          <w:vertAlign w:val="baseline"/>
        </w:rPr>
        <w:t>than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value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112"/>
        <w:ind w:left="1325" w:right="1413"/>
        <w:jc w:val="both"/>
      </w:pPr>
      <w:r>
        <w:rPr/>
        <w:t>Panadol</w:t>
      </w:r>
      <w:r>
        <w:rPr>
          <w:vertAlign w:val="superscript"/>
        </w:rPr>
        <w:t>®</w:t>
      </w:r>
      <w:r>
        <w:rPr>
          <w:vertAlign w:val="baseline"/>
        </w:rPr>
        <w:t> tablets. It was shorter than the time seen in the latter thus shows as it‟s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absorbed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systemic</w:t>
      </w:r>
      <w:r>
        <w:rPr>
          <w:spacing w:val="1"/>
          <w:vertAlign w:val="baseline"/>
        </w:rPr>
        <w:t> </w:t>
      </w:r>
      <w:r>
        <w:rPr>
          <w:vertAlign w:val="baseline"/>
        </w:rPr>
        <w:t>circulation,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eliminated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faster.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slightly different within subjects are in agreement with the findings of Levy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1965 and Albert </w:t>
      </w:r>
      <w:r>
        <w:rPr>
          <w:i/>
          <w:vertAlign w:val="baseline"/>
        </w:rPr>
        <w:t>et al</w:t>
      </w:r>
      <w:r>
        <w:rPr>
          <w:vertAlign w:val="baseline"/>
        </w:rPr>
        <w:t>., 1974 though not statistically significant. The 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in the individual parameters are due to individual variability (females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their Luteal or ovulatory phase of their menstrual cycle) or varying degree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hepatic</w:t>
      </w:r>
      <w:r>
        <w:rPr>
          <w:spacing w:val="-2"/>
          <w:vertAlign w:val="baseline"/>
        </w:rPr>
        <w:t> </w:t>
      </w:r>
      <w:r>
        <w:rPr>
          <w:vertAlign w:val="baseline"/>
        </w:rPr>
        <w:t>first-pass effect.</w:t>
      </w:r>
    </w:p>
    <w:p>
      <w:pPr>
        <w:pStyle w:val="BodyText"/>
        <w:spacing w:line="480" w:lineRule="auto" w:before="200"/>
        <w:ind w:left="1325" w:right="1414"/>
        <w:jc w:val="both"/>
      </w:pPr>
      <w:r>
        <w:rPr/>
        <w:t>Caffeine is claimed to enhance the efficacy of paracetamol was confirmed with the high</w:t>
      </w:r>
      <w:r>
        <w:rPr>
          <w:spacing w:val="1"/>
        </w:rPr>
        <w:t> </w:t>
      </w:r>
      <w:r>
        <w:rPr/>
        <w:t>C</w:t>
      </w:r>
      <w:r>
        <w:rPr>
          <w:vertAlign w:val="subscript"/>
        </w:rPr>
        <w:t>max</w:t>
      </w:r>
      <w:r>
        <w:rPr>
          <w:vertAlign w:val="baseline"/>
        </w:rPr>
        <w:t> observed with the combination leading to greater bioavailability. However, peak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 levels and extent of absorption are similar for paracetamol with caffeine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 alone (GSK, 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extent to which caffeine improves the analgesic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of paracetamol is uncertain and may not be clinically meaningful. Published trials</w:t>
      </w:r>
      <w:r>
        <w:rPr>
          <w:spacing w:val="-57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assessed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combining</w:t>
      </w:r>
      <w:r>
        <w:rPr>
          <w:spacing w:val="1"/>
          <w:vertAlign w:val="baseline"/>
        </w:rPr>
        <w:t> </w:t>
      </w:r>
      <w:r>
        <w:rPr>
          <w:vertAlign w:val="baseline"/>
        </w:rPr>
        <w:t>caffeine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-1"/>
          <w:vertAlign w:val="baseline"/>
        </w:rPr>
        <w:t> </w:t>
      </w:r>
      <w:r>
        <w:rPr>
          <w:vertAlign w:val="baseline"/>
        </w:rPr>
        <w:t>alone</w:t>
      </w:r>
      <w:r>
        <w:rPr>
          <w:spacing w:val="-1"/>
          <w:vertAlign w:val="baseline"/>
        </w:rPr>
        <w:t> </w:t>
      </w:r>
      <w:r>
        <w:rPr>
          <w:vertAlign w:val="baseline"/>
        </w:rPr>
        <w:t>(Ward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1991)</w:t>
      </w:r>
    </w:p>
    <w:p>
      <w:pPr>
        <w:pStyle w:val="BodyText"/>
        <w:spacing w:line="480" w:lineRule="auto" w:before="200"/>
        <w:ind w:left="1325" w:right="1416"/>
        <w:jc w:val="both"/>
      </w:pPr>
      <w:r>
        <w:rPr/>
        <w:t>Trials were generally of poor quality and had conflicting results: some showed a small</w:t>
      </w:r>
      <w:r>
        <w:rPr>
          <w:spacing w:val="1"/>
        </w:rPr>
        <w:t> </w:t>
      </w:r>
      <w:r>
        <w:rPr/>
        <w:t>benefit, most did not. For example, a trial of 320 young women found that a single dose</w:t>
      </w:r>
      <w:r>
        <w:rPr>
          <w:spacing w:val="1"/>
        </w:rPr>
        <w:t> </w:t>
      </w:r>
      <w:r>
        <w:rPr/>
        <w:t>of paracetamol with caffeine provided more relief in pain for primary dysmenorrhoea 2</w:t>
      </w:r>
      <w:r>
        <w:rPr>
          <w:spacing w:val="1"/>
        </w:rPr>
        <w:t> </w:t>
      </w:r>
      <w:r>
        <w:rPr/>
        <w:t>hours after administration than paracetamol but it is unclear whether this is clinically</w:t>
      </w:r>
      <w:r>
        <w:rPr>
          <w:spacing w:val="1"/>
        </w:rPr>
        <w:t> </w:t>
      </w:r>
      <w:r>
        <w:rPr/>
        <w:t>meaningful</w:t>
      </w:r>
      <w:r>
        <w:rPr>
          <w:spacing w:val="-1"/>
        </w:rPr>
        <w:t> </w:t>
      </w:r>
      <w:r>
        <w:rPr/>
        <w:t>(Ali</w:t>
      </w:r>
      <w:r>
        <w:rPr>
          <w:spacing w:val="2"/>
        </w:rPr>
        <w:t> </w:t>
      </w:r>
      <w:r>
        <w:rPr/>
        <w:t>Z</w:t>
      </w:r>
      <w:r>
        <w:rPr>
          <w:spacing w:val="-2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line="480" w:lineRule="auto" w:before="200"/>
        <w:ind w:left="1325" w:right="1413"/>
        <w:jc w:val="both"/>
      </w:pPr>
      <w:r>
        <w:rPr/>
        <w:t>Another</w:t>
      </w:r>
      <w:r>
        <w:rPr>
          <w:spacing w:val="22"/>
        </w:rPr>
        <w:t> </w:t>
      </w:r>
      <w:r>
        <w:rPr/>
        <w:t>example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5"/>
        </w:rPr>
        <w:t> </w:t>
      </w:r>
      <w:r>
        <w:rPr/>
        <w:t>of</w:t>
      </w:r>
      <w:r>
        <w:rPr>
          <w:spacing w:val="23"/>
        </w:rPr>
        <w:t> </w:t>
      </w:r>
      <w:r>
        <w:rPr/>
        <w:t>characterization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analgesia.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analgesic</w:t>
      </w:r>
      <w:r>
        <w:rPr>
          <w:spacing w:val="22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of paracetamol (100, 178, 316 and 562 mg kg</w:t>
      </w:r>
      <w:r>
        <w:rPr>
          <w:vertAlign w:val="superscript"/>
        </w:rPr>
        <w:t>−1</w:t>
      </w:r>
      <w:r>
        <w:rPr>
          <w:vertAlign w:val="baseline"/>
        </w:rPr>
        <w:t>), caffeine (10, 18, 32 and 56 mg kg</w:t>
      </w:r>
      <w:r>
        <w:rPr>
          <w:vertAlign w:val="superscript"/>
        </w:rPr>
        <w:t>−1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combinations of these doses were tested on a pain-induced functional impairment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in the rat. Paracetamol alone induced a dose-dependent analgesic effect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caffeine</w:t>
      </w:r>
      <w:r>
        <w:rPr>
          <w:spacing w:val="39"/>
          <w:vertAlign w:val="baseline"/>
        </w:rPr>
        <w:t> </w:t>
      </w:r>
      <w:r>
        <w:rPr>
          <w:vertAlign w:val="baseline"/>
        </w:rPr>
        <w:t>alone</w:t>
      </w:r>
      <w:r>
        <w:rPr>
          <w:spacing w:val="39"/>
          <w:vertAlign w:val="baseline"/>
        </w:rPr>
        <w:t> </w:t>
      </w:r>
      <w:r>
        <w:rPr>
          <w:vertAlign w:val="baseline"/>
        </w:rPr>
        <w:t>did</w:t>
      </w:r>
      <w:r>
        <w:rPr>
          <w:spacing w:val="41"/>
          <w:vertAlign w:val="baseline"/>
        </w:rPr>
        <w:t> </w:t>
      </w:r>
      <w:r>
        <w:rPr>
          <w:vertAlign w:val="baseline"/>
        </w:rPr>
        <w:t>not</w:t>
      </w:r>
      <w:r>
        <w:rPr>
          <w:spacing w:val="41"/>
          <w:vertAlign w:val="baseline"/>
        </w:rPr>
        <w:t> </w:t>
      </w:r>
      <w:r>
        <w:rPr>
          <w:vertAlign w:val="baseline"/>
        </w:rPr>
        <w:t>exhibit</w:t>
      </w:r>
      <w:r>
        <w:rPr>
          <w:spacing w:val="40"/>
          <w:vertAlign w:val="baseline"/>
        </w:rPr>
        <w:t> </w:t>
      </w:r>
      <w:r>
        <w:rPr>
          <w:vertAlign w:val="baseline"/>
        </w:rPr>
        <w:t>any</w:t>
      </w:r>
      <w:r>
        <w:rPr>
          <w:spacing w:val="35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37"/>
          <w:vertAlign w:val="baseline"/>
        </w:rPr>
        <w:t> </w:t>
      </w:r>
      <w:r>
        <w:rPr>
          <w:vertAlign w:val="baseline"/>
        </w:rPr>
        <w:t>at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assayed</w:t>
      </w:r>
      <w:r>
        <w:rPr>
          <w:spacing w:val="39"/>
          <w:vertAlign w:val="baseline"/>
        </w:rPr>
        <w:t> </w:t>
      </w:r>
      <w:r>
        <w:rPr>
          <w:vertAlign w:val="baseline"/>
        </w:rPr>
        <w:t>doses.</w:t>
      </w:r>
      <w:r>
        <w:rPr>
          <w:spacing w:val="41"/>
          <w:vertAlign w:val="baseline"/>
        </w:rPr>
        <w:t> </w:t>
      </w:r>
      <w:r>
        <w:rPr>
          <w:vertAlign w:val="baseline"/>
        </w:rPr>
        <w:t>It</w:t>
      </w:r>
      <w:r>
        <w:rPr>
          <w:spacing w:val="41"/>
          <w:vertAlign w:val="baseline"/>
        </w:rPr>
        <w:t> </w:t>
      </w:r>
      <w:r>
        <w:rPr>
          <w:vertAlign w:val="baseline"/>
        </w:rPr>
        <w:t>is</w:t>
      </w:r>
      <w:r>
        <w:rPr>
          <w:spacing w:val="40"/>
          <w:vertAlign w:val="baseline"/>
        </w:rPr>
        <w:t> </w:t>
      </w:r>
      <w:r>
        <w:rPr>
          <w:vertAlign w:val="baseline"/>
        </w:rPr>
        <w:t>concluded</w:t>
      </w:r>
      <w:r>
        <w:rPr>
          <w:spacing w:val="39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480" w:lineRule="auto"/>
        <w:jc w:val="both"/>
        <w:sectPr>
          <w:pgSz w:w="11910" w:h="16840"/>
          <w:pgMar w:header="0" w:footer="1007" w:top="1280" w:bottom="1200" w:left="660" w:right="0"/>
        </w:sectPr>
      </w:pPr>
    </w:p>
    <w:p>
      <w:pPr>
        <w:pStyle w:val="BodyText"/>
        <w:spacing w:line="482" w:lineRule="auto" w:before="72"/>
        <w:ind w:left="1325" w:right="1424"/>
        <w:jc w:val="both"/>
      </w:pPr>
      <w:r>
        <w:rPr/>
        <w:t>caffeine is able to potentiate the analgesic effect of paracetamol by a pharmacodynamic</w:t>
      </w:r>
      <w:r>
        <w:rPr>
          <w:spacing w:val="1"/>
        </w:rPr>
        <w:t> </w:t>
      </w:r>
      <w:r>
        <w:rPr/>
        <w:t>mechanism,</w:t>
      </w:r>
      <w:r>
        <w:rPr>
          <w:spacing w:val="-1"/>
        </w:rPr>
        <w:t> </w:t>
      </w:r>
      <w:r>
        <w:rPr/>
        <w:t>but this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occurs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(Vinicio,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2011).</w:t>
      </w:r>
    </w:p>
    <w:p>
      <w:pPr>
        <w:pStyle w:val="BodyText"/>
        <w:spacing w:line="480" w:lineRule="auto" w:before="194"/>
        <w:ind w:left="1325" w:right="1417"/>
        <w:jc w:val="both"/>
      </w:pPr>
      <w:r>
        <w:rPr/>
        <w:t>The individual variations found from the calculated pharmacokinetic parameters could</w:t>
      </w:r>
      <w:r>
        <w:rPr>
          <w:spacing w:val="1"/>
        </w:rPr>
        <w:t> </w:t>
      </w:r>
      <w:r>
        <w:rPr/>
        <w:t>be from many factors such as drug absorption, pharmaceutical formulation and subject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drug</w:t>
      </w:r>
      <w:r>
        <w:rPr>
          <w:spacing w:val="-57"/>
        </w:rPr>
        <w:t> </w:t>
      </w:r>
      <w:r>
        <w:rPr/>
        <w:t>product. The rate of gastric emptying is one of the characteristics that influence drug</w:t>
      </w:r>
      <w:r>
        <w:rPr>
          <w:spacing w:val="1"/>
        </w:rPr>
        <w:t> </w:t>
      </w:r>
      <w:r>
        <w:rPr/>
        <w:t>absorption; this may affect even the bioavailability (Rawlings, 1979). It is an important</w:t>
      </w:r>
      <w:r>
        <w:rPr>
          <w:spacing w:val="1"/>
        </w:rPr>
        <w:t> </w:t>
      </w:r>
      <w:r>
        <w:rPr/>
        <w:t>rate</w:t>
      </w:r>
      <w:r>
        <w:rPr>
          <w:spacing w:val="-1"/>
        </w:rPr>
        <w:t> </w:t>
      </w:r>
      <w:r>
        <w:rPr/>
        <w:t>limiting</w:t>
      </w:r>
      <w:r>
        <w:rPr>
          <w:spacing w:val="-2"/>
        </w:rPr>
        <w:t> </w:t>
      </w:r>
      <w:r>
        <w:rPr/>
        <w:t>step in the</w:t>
      </w:r>
      <w:r>
        <w:rPr>
          <w:spacing w:val="-1"/>
        </w:rPr>
        <w:t> </w:t>
      </w:r>
      <w:r>
        <w:rPr/>
        <w:t>absorption of paracetamol.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0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1"/>
        </w:numPr>
        <w:tabs>
          <w:tab w:pos="3983" w:val="left" w:leader="none"/>
        </w:tabs>
        <w:spacing w:line="240" w:lineRule="auto" w:before="217" w:after="0"/>
        <w:ind w:left="3982" w:right="0" w:hanging="361"/>
        <w:jc w:val="left"/>
      </w:pPr>
      <w:bookmarkStart w:name="_TOC_250004" w:id="38"/>
      <w:r>
        <w:rPr/>
        <w:t>SUMMARY AND</w:t>
      </w:r>
      <w:r>
        <w:rPr>
          <w:spacing w:val="-1"/>
        </w:rPr>
        <w:t> </w:t>
      </w:r>
      <w:bookmarkEnd w:id="38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1"/>
        </w:numPr>
        <w:tabs>
          <w:tab w:pos="5250" w:val="left" w:leader="none"/>
        </w:tabs>
        <w:spacing w:line="240" w:lineRule="auto" w:before="217" w:after="0"/>
        <w:ind w:left="5249" w:right="0" w:hanging="361"/>
        <w:jc w:val="left"/>
      </w:pPr>
      <w:bookmarkStart w:name="_TOC_250003" w:id="39"/>
      <w:bookmarkEnd w:id="39"/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5" w:right="1414"/>
        <w:jc w:val="both"/>
      </w:pPr>
      <w:r>
        <w:rPr/>
        <w:t>The samples of Panadol</w:t>
      </w:r>
      <w:r>
        <w:rPr>
          <w:vertAlign w:val="superscript"/>
        </w:rPr>
        <w:t>®</w:t>
      </w:r>
      <w:r>
        <w:rPr>
          <w:vertAlign w:val="baseline"/>
        </w:rPr>
        <w:t> and Panadol Extra</w:t>
      </w:r>
      <w:r>
        <w:rPr>
          <w:vertAlign w:val="superscript"/>
        </w:rPr>
        <w:t>®</w:t>
      </w:r>
      <w:r>
        <w:rPr>
          <w:vertAlign w:val="baseline"/>
        </w:rPr>
        <w:t> tablets used in this study have passed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official</w:t>
      </w:r>
      <w:r>
        <w:rPr>
          <w:spacing w:val="1"/>
          <w:vertAlign w:val="baseline"/>
        </w:rPr>
        <w:t> </w:t>
      </w:r>
      <w:r>
        <w:rPr>
          <w:vertAlign w:val="baseline"/>
        </w:rPr>
        <w:t>tests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ingredient,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uniformity/variation,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B.P</w:t>
      </w:r>
      <w:r>
        <w:rPr>
          <w:spacing w:val="61"/>
          <w:vertAlign w:val="baseline"/>
        </w:rPr>
        <w:t> </w:t>
      </w:r>
      <w:r>
        <w:rPr>
          <w:vertAlign w:val="baseline"/>
        </w:rPr>
        <w:t>2009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(B3)</w:t>
      </w:r>
      <w:r>
        <w:rPr>
          <w:spacing w:val="1"/>
          <w:vertAlign w:val="baseline"/>
        </w:rPr>
        <w:t> </w:t>
      </w:r>
      <w:r>
        <w:rPr>
          <w:vertAlign w:val="baseline"/>
        </w:rPr>
        <w:t>failed</w:t>
      </w:r>
      <w:r>
        <w:rPr>
          <w:spacing w:val="1"/>
          <w:vertAlign w:val="baseline"/>
        </w:rPr>
        <w:t> </w:t>
      </w:r>
      <w:r>
        <w:rPr>
          <w:vertAlign w:val="baseline"/>
        </w:rPr>
        <w:t>friability</w:t>
      </w:r>
      <w:r>
        <w:rPr>
          <w:spacing w:val="60"/>
          <w:vertAlign w:val="baseline"/>
        </w:rPr>
        <w:t> </w:t>
      </w:r>
      <w:r>
        <w:rPr>
          <w:vertAlign w:val="baseline"/>
        </w:rPr>
        <w:t>test,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 other test samples passed this test. These tests have shown that both sampled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-57"/>
          <w:vertAlign w:val="baseline"/>
        </w:rPr>
        <w:t> </w:t>
      </w:r>
      <w:r>
        <w:rPr>
          <w:vertAlign w:val="baseline"/>
        </w:rPr>
        <w:t>manufactured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good manufacturing practice. However the pharmacokinetic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calculated indicated varying values and only the peak saliva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-5"/>
          <w:vertAlign w:val="baseline"/>
        </w:rPr>
        <w:t> </w:t>
      </w:r>
      <w:r>
        <w:rPr>
          <w:vertAlign w:val="baseline"/>
        </w:rPr>
        <w:t>significant at p ≤ 0.05.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21"/>
        </w:numPr>
        <w:tabs>
          <w:tab w:pos="5183" w:val="left" w:leader="none"/>
        </w:tabs>
        <w:spacing w:line="240" w:lineRule="auto" w:before="0" w:after="0"/>
        <w:ind w:left="5182" w:right="0" w:hanging="361"/>
        <w:jc w:val="left"/>
      </w:pPr>
      <w:bookmarkStart w:name="_TOC_250002" w:id="40"/>
      <w:bookmarkEnd w:id="40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325" w:right="1412"/>
        <w:jc w:val="both"/>
      </w:pPr>
      <w:r>
        <w:rPr/>
        <w:t>The study revealed that the drugs used were chemically equivalent and significantly</w:t>
      </w:r>
      <w:r>
        <w:rPr>
          <w:spacing w:val="1"/>
        </w:rPr>
        <w:t> </w:t>
      </w:r>
      <w:r>
        <w:rPr/>
        <w:t>higher saliva paracetamol levels recorded for Panadol Extra</w:t>
      </w:r>
      <w:r>
        <w:rPr>
          <w:vertAlign w:val="superscript"/>
        </w:rPr>
        <w:t>®</w:t>
      </w:r>
      <w:r>
        <w:rPr>
          <w:vertAlign w:val="baseline"/>
        </w:rPr>
        <w:t> tablets as compared to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Panadol</w:t>
      </w:r>
      <w:r>
        <w:rPr>
          <w:spacing w:val="-1"/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and may</w:t>
      </w:r>
      <w:r>
        <w:rPr>
          <w:spacing w:val="-3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caffeine in panadol</w:t>
      </w:r>
      <w:r>
        <w:rPr>
          <w:spacing w:val="2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21"/>
          <w:vertAlign w:val="baseline"/>
        </w:rPr>
        <w:t> </w:t>
      </w:r>
      <w:r>
        <w:rPr>
          <w:vertAlign w:val="baseline"/>
        </w:rPr>
        <w:t>is responsible.</w:t>
      </w:r>
    </w:p>
    <w:p>
      <w:pPr>
        <w:pStyle w:val="Heading1"/>
        <w:numPr>
          <w:ilvl w:val="1"/>
          <w:numId w:val="21"/>
        </w:numPr>
        <w:tabs>
          <w:tab w:pos="4857" w:val="left" w:leader="none"/>
        </w:tabs>
        <w:spacing w:line="240" w:lineRule="auto" w:before="238" w:after="0"/>
        <w:ind w:left="4856" w:right="0" w:hanging="361"/>
        <w:jc w:val="left"/>
      </w:pPr>
      <w:bookmarkStart w:name="_TOC_250001" w:id="41"/>
      <w:bookmarkEnd w:id="41"/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31"/>
        <w:ind w:left="1325" w:right="1414"/>
        <w:jc w:val="both"/>
      </w:pPr>
      <w:r>
        <w:rPr/>
        <w:t>Further studies should be carried out to</w:t>
      </w:r>
      <w:r>
        <w:rPr>
          <w:spacing w:val="60"/>
        </w:rPr>
        <w:t> </w:t>
      </w:r>
      <w:r>
        <w:rPr/>
        <w:t>compare pharmacokinetics of the 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pharmacological</w:t>
      </w:r>
      <w:r>
        <w:rPr>
          <w:spacing w:val="-1"/>
        </w:rPr>
        <w:t> </w:t>
      </w:r>
      <w:r>
        <w:rPr/>
        <w:t>activity.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1"/>
        <w:jc w:val="center"/>
      </w:pPr>
      <w:bookmarkStart w:name="_TOC_250000" w:id="42"/>
      <w:bookmarkEnd w:id="42"/>
      <w:r>
        <w:rPr/>
        <w:t>REFERENCES</w:t>
      </w:r>
    </w:p>
    <w:p>
      <w:pPr>
        <w:pStyle w:val="BodyText"/>
        <w:spacing w:before="4"/>
        <w:rPr>
          <w:b/>
          <w:sz w:val="32"/>
        </w:rPr>
      </w:pPr>
    </w:p>
    <w:p>
      <w:pPr>
        <w:spacing w:line="480" w:lineRule="auto" w:before="0"/>
        <w:ind w:left="2225" w:right="1414" w:hanging="900"/>
        <w:jc w:val="both"/>
        <w:rPr>
          <w:sz w:val="24"/>
        </w:rPr>
      </w:pPr>
      <w:r>
        <w:rPr>
          <w:sz w:val="24"/>
        </w:rPr>
        <w:t>Akunyili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(2005)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Counterfeit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Substandard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Implication, Challenges, Actions, and Recommendations</w:t>
      </w:r>
      <w:r>
        <w:rPr>
          <w:sz w:val="24"/>
        </w:rPr>
        <w:t>”. A speech delivered</w:t>
      </w:r>
      <w:r>
        <w:rPr>
          <w:spacing w:val="1"/>
          <w:sz w:val="24"/>
        </w:rPr>
        <w:t> </w:t>
      </w:r>
      <w:r>
        <w:rPr>
          <w:sz w:val="24"/>
        </w:rPr>
        <w:t>at a meeting for key interest groups on health organised by the World Bank in</w:t>
      </w:r>
      <w:r>
        <w:rPr>
          <w:spacing w:val="1"/>
          <w:sz w:val="24"/>
        </w:rPr>
        <w:t> </w:t>
      </w:r>
      <w:r>
        <w:rPr>
          <w:sz w:val="24"/>
        </w:rPr>
        <w:t>Washington</w:t>
      </w:r>
      <w:r>
        <w:rPr>
          <w:spacing w:val="-1"/>
          <w:sz w:val="24"/>
        </w:rPr>
        <w:t> </w:t>
      </w:r>
      <w:r>
        <w:rPr>
          <w:sz w:val="24"/>
        </w:rPr>
        <w:t>DC, 10-11</w:t>
      </w:r>
      <w:r>
        <w:rPr>
          <w:spacing w:val="2"/>
          <w:sz w:val="24"/>
        </w:rPr>
        <w:t> </w:t>
      </w:r>
      <w:r>
        <w:rPr>
          <w:sz w:val="24"/>
        </w:rPr>
        <w:t>March 2005.</w:t>
      </w:r>
    </w:p>
    <w:p>
      <w:pPr>
        <w:spacing w:line="482" w:lineRule="auto" w:before="199"/>
        <w:ind w:left="2225" w:right="1413" w:hanging="900"/>
        <w:jc w:val="both"/>
        <w:rPr>
          <w:sz w:val="24"/>
        </w:rPr>
      </w:pPr>
      <w:r>
        <w:rPr>
          <w:sz w:val="24"/>
        </w:rPr>
        <w:t>Albert, K. S., Sadman, J. A, and Wagner J. G. (1974). </w:t>
      </w:r>
      <w:r>
        <w:rPr>
          <w:i/>
          <w:sz w:val="24"/>
        </w:rPr>
        <w:t>Pharmacokinetics of orally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acetaminophen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man.</w:t>
      </w:r>
      <w:r>
        <w:rPr>
          <w:i/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Pharmacokinetics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Biopharmaceutics.</w:t>
      </w:r>
      <w:r>
        <w:rPr>
          <w:spacing w:val="-1"/>
          <w:sz w:val="24"/>
        </w:rPr>
        <w:t> </w:t>
      </w:r>
      <w:r>
        <w:rPr>
          <w:sz w:val="24"/>
        </w:rPr>
        <w:t>2(5): 381</w:t>
      </w:r>
      <w:r>
        <w:rPr>
          <w:spacing w:val="1"/>
          <w:sz w:val="24"/>
        </w:rPr>
        <w:t> </w:t>
      </w:r>
      <w:r>
        <w:rPr>
          <w:sz w:val="24"/>
        </w:rPr>
        <w:t>– 393.</w:t>
      </w:r>
    </w:p>
    <w:p>
      <w:pPr>
        <w:spacing w:line="480" w:lineRule="auto" w:before="194"/>
        <w:ind w:left="2225" w:right="1416" w:hanging="900"/>
        <w:jc w:val="both"/>
        <w:rPr>
          <w:sz w:val="24"/>
        </w:rPr>
      </w:pPr>
      <w:r>
        <w:rPr>
          <w:sz w:val="24"/>
        </w:rPr>
        <w:t>Ali Z, Burnett I, Eccles R, North M, Jawad M, Jawad S, Clarke G, Milsom I (2007).</w:t>
      </w:r>
      <w:r>
        <w:rPr>
          <w:spacing w:val="1"/>
          <w:sz w:val="24"/>
        </w:rPr>
        <w:t> </w:t>
      </w:r>
      <w:r>
        <w:rPr>
          <w:i/>
          <w:sz w:val="24"/>
        </w:rPr>
        <w:t>Efficacy of a paracetamol and caffeine combination in the treatment of the key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symptoms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primary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dysmenorrhoea</w:t>
      </w:r>
      <w:r>
        <w:rPr>
          <w:sz w:val="24"/>
        </w:rPr>
        <w:t>. Curr</w:t>
      </w:r>
      <w:r>
        <w:rPr>
          <w:spacing w:val="-1"/>
          <w:sz w:val="24"/>
        </w:rPr>
        <w:t> </w:t>
      </w:r>
      <w:r>
        <w:rPr>
          <w:sz w:val="24"/>
        </w:rPr>
        <w:t>Med</w:t>
      </w:r>
      <w:r>
        <w:rPr>
          <w:spacing w:val="-1"/>
          <w:sz w:val="24"/>
        </w:rPr>
        <w:t> </w:t>
      </w:r>
      <w:r>
        <w:rPr>
          <w:sz w:val="24"/>
        </w:rPr>
        <w:t>Res Opin</w:t>
      </w:r>
      <w:r>
        <w:rPr>
          <w:spacing w:val="1"/>
          <w:sz w:val="24"/>
        </w:rPr>
        <w:t> </w:t>
      </w:r>
      <w:r>
        <w:rPr>
          <w:sz w:val="24"/>
        </w:rPr>
        <w:t>2007;23:841–51</w:t>
      </w:r>
    </w:p>
    <w:p>
      <w:pPr>
        <w:pStyle w:val="BodyText"/>
        <w:spacing w:line="480" w:lineRule="auto" w:before="200"/>
        <w:ind w:left="2225" w:right="1418" w:hanging="900"/>
        <w:jc w:val="both"/>
      </w:pPr>
      <w:r>
        <w:rPr/>
        <w:t>Andersson D A, Gentry C, Alenmyr L, Killander D, Lewis SE, Andersson A, Bucher B,</w:t>
      </w:r>
      <w:r>
        <w:rPr>
          <w:spacing w:val="-57"/>
        </w:rPr>
        <w:t> </w:t>
      </w:r>
      <w:r>
        <w:rPr/>
        <w:t>Galzi J-L, Sterner O, Bevan S, Högestätt ED, Zygmunt PM (2011). "TRPA1</w:t>
      </w:r>
      <w:r>
        <w:rPr>
          <w:spacing w:val="1"/>
        </w:rPr>
        <w:t> </w:t>
      </w:r>
      <w:r>
        <w:rPr/>
        <w:t>mediates</w:t>
      </w:r>
      <w:r>
        <w:rPr>
          <w:spacing w:val="48"/>
        </w:rPr>
        <w:t> </w:t>
      </w:r>
      <w:r>
        <w:rPr/>
        <w:t>spinal</w:t>
      </w:r>
      <w:r>
        <w:rPr>
          <w:spacing w:val="49"/>
        </w:rPr>
        <w:t> </w:t>
      </w:r>
      <w:r>
        <w:rPr/>
        <w:t>antinociception</w:t>
      </w:r>
      <w:r>
        <w:rPr>
          <w:spacing w:val="49"/>
        </w:rPr>
        <w:t> </w:t>
      </w:r>
      <w:r>
        <w:rPr/>
        <w:t>induced</w:t>
      </w:r>
      <w:r>
        <w:rPr>
          <w:spacing w:val="49"/>
        </w:rPr>
        <w:t> </w:t>
      </w:r>
      <w:r>
        <w:rPr/>
        <w:t>by</w:t>
      </w:r>
      <w:r>
        <w:rPr>
          <w:spacing w:val="46"/>
        </w:rPr>
        <w:t> </w:t>
      </w:r>
      <w:r>
        <w:rPr/>
        <w:t>acetaminophen</w:t>
      </w:r>
      <w:r>
        <w:rPr>
          <w:spacing w:val="48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</w:p>
    <w:p>
      <w:pPr>
        <w:pStyle w:val="BodyText"/>
        <w:spacing w:before="3"/>
        <w:ind w:left="2765"/>
        <w:jc w:val="both"/>
      </w:pPr>
      <w:r>
        <w:rPr/>
        <w:t>cannabinoid</w:t>
      </w:r>
      <w:r>
        <w:rPr>
          <w:spacing w:val="-4"/>
        </w:rPr>
        <w:t> </w:t>
      </w:r>
      <w:r>
        <w:rPr/>
        <w:t>(9)-tetrahydrocannabiorcol".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2225" w:right="1417" w:hanging="840"/>
        <w:jc w:val="both"/>
      </w:pPr>
      <w:r>
        <w:rPr/>
        <w:t>Anton J M de Craen, Giuseppe Di Giulio, Angela J E M Lampe-Schoenmaeckers,</w:t>
      </w:r>
      <w:r>
        <w:rPr>
          <w:spacing w:val="1"/>
        </w:rPr>
        <w:t> </w:t>
      </w:r>
      <w:r>
        <w:rPr/>
        <w:t>Alphons G H Kessels, Jos Kleijnen (1996). "Analgesic efficacy and safety of</w:t>
      </w:r>
      <w:r>
        <w:rPr>
          <w:spacing w:val="1"/>
        </w:rPr>
        <w:t> </w:t>
      </w:r>
      <w:r>
        <w:rPr/>
        <w:t>paracetamol-codeine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alone: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review".</w:t>
      </w:r>
    </w:p>
    <w:p>
      <w:pPr>
        <w:pStyle w:val="BodyText"/>
        <w:spacing w:line="480" w:lineRule="auto" w:before="200"/>
        <w:ind w:left="2225" w:right="1412" w:hanging="900"/>
        <w:jc w:val="both"/>
      </w:pPr>
      <w:r>
        <w:rPr/>
        <w:t>Aronoff   D M, Oates JA, Boutaud O (2006). "New insights into the mechanism of</w:t>
      </w:r>
      <w:r>
        <w:rPr>
          <w:spacing w:val="1"/>
        </w:rPr>
        <w:t> </w:t>
      </w:r>
      <w:r>
        <w:rPr/>
        <w:t>action of acetaminophen: Its clinical pharmacologic characteristics reflect its</w:t>
      </w:r>
      <w:r>
        <w:rPr>
          <w:spacing w:val="1"/>
        </w:rPr>
        <w:t> </w:t>
      </w:r>
      <w:r>
        <w:rPr/>
        <w:t>inhibition of the two prostaglandin H2 synthases". </w:t>
      </w:r>
      <w:r>
        <w:rPr>
          <w:i/>
        </w:rPr>
        <w:t>Clin. Pharmacol. Ther. </w:t>
      </w:r>
      <w:r>
        <w:rPr>
          <w:b/>
        </w:rPr>
        <w:t>79</w:t>
      </w:r>
      <w:r>
        <w:rPr>
          <w:b/>
          <w:spacing w:val="1"/>
        </w:rPr>
        <w:t> </w:t>
      </w:r>
      <w:r>
        <w:rPr/>
        <w:t>(1):</w:t>
      </w:r>
      <w:r>
        <w:rPr>
          <w:spacing w:val="-1"/>
        </w:rPr>
        <w:t> </w:t>
      </w:r>
      <w:r>
        <w:rPr/>
        <w:t>9–19.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13" w:hanging="900"/>
        <w:jc w:val="both"/>
        <w:rPr>
          <w:sz w:val="24"/>
        </w:rPr>
      </w:pPr>
      <w:r>
        <w:rPr>
          <w:sz w:val="24"/>
        </w:rPr>
        <w:t>Bales J R, Nicholas J K, Sadler P J (1985). </w:t>
      </w:r>
      <w:r>
        <w:rPr>
          <w:i/>
          <w:sz w:val="24"/>
        </w:rPr>
        <w:t>Two dimensional proton nuclear magnetic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resonance “Maps” of acetaminophen metabolites in human urine”.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chemistry</w:t>
      </w:r>
      <w:r>
        <w:rPr>
          <w:spacing w:val="-6"/>
          <w:sz w:val="24"/>
        </w:rPr>
        <w:t> </w:t>
      </w:r>
      <w:r>
        <w:rPr>
          <w:sz w:val="24"/>
        </w:rPr>
        <w:t>31</w:t>
      </w:r>
      <w:r>
        <w:rPr>
          <w:spacing w:val="2"/>
          <w:sz w:val="24"/>
        </w:rPr>
        <w:t> </w:t>
      </w:r>
      <w:r>
        <w:rPr>
          <w:sz w:val="24"/>
        </w:rPr>
        <w:t>(5): 757-762. PMID 3987005</w:t>
      </w:r>
    </w:p>
    <w:p>
      <w:pPr>
        <w:spacing w:line="482" w:lineRule="auto" w:before="199"/>
        <w:ind w:left="2225" w:right="1416" w:hanging="900"/>
        <w:jc w:val="both"/>
        <w:rPr>
          <w:sz w:val="24"/>
        </w:rPr>
      </w:pPr>
      <w:r>
        <w:rPr>
          <w:sz w:val="24"/>
        </w:rPr>
        <w:t>Barr, R. G. (2008). "</w:t>
      </w:r>
      <w:r>
        <w:rPr>
          <w:i/>
          <w:sz w:val="24"/>
        </w:rPr>
        <w:t>Does paracetamol cause asthma in children? Time to remove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guesswork</w:t>
      </w:r>
      <w:r>
        <w:rPr>
          <w:sz w:val="24"/>
        </w:rPr>
        <w:t>".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Lancet</w:t>
      </w:r>
      <w:r>
        <w:rPr>
          <w:i/>
          <w:spacing w:val="3"/>
          <w:sz w:val="24"/>
        </w:rPr>
        <w:t> </w:t>
      </w:r>
      <w:r>
        <w:rPr>
          <w:b/>
          <w:sz w:val="24"/>
        </w:rPr>
        <w:t>372 </w:t>
      </w:r>
      <w:r>
        <w:rPr>
          <w:sz w:val="24"/>
        </w:rPr>
        <w:t>(9643): 1011–1012.</w:t>
      </w:r>
    </w:p>
    <w:p>
      <w:pPr>
        <w:spacing w:line="480" w:lineRule="auto" w:before="195"/>
        <w:ind w:left="2225" w:right="1417" w:hanging="900"/>
        <w:jc w:val="both"/>
        <w:rPr>
          <w:sz w:val="24"/>
        </w:rPr>
      </w:pPr>
      <w:r>
        <w:rPr>
          <w:sz w:val="24"/>
        </w:rPr>
        <w:t>Bakare Taibat Mojitade (1987) “</w:t>
      </w:r>
      <w:r>
        <w:rPr>
          <w:i/>
          <w:sz w:val="24"/>
        </w:rPr>
        <w:t>Bioavailability and pharmacokinetic studies of brands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Paracetamol dosage forms</w:t>
      </w:r>
      <w:r>
        <w:rPr>
          <w:sz w:val="24"/>
        </w:rPr>
        <w:t>” (Master‟s thesis, Ahmadu Bello University,</w:t>
      </w:r>
      <w:r>
        <w:rPr>
          <w:spacing w:val="1"/>
          <w:sz w:val="24"/>
        </w:rPr>
        <w:t> </w:t>
      </w:r>
      <w:r>
        <w:rPr>
          <w:sz w:val="24"/>
        </w:rPr>
        <w:t>Zaria).</w:t>
      </w:r>
    </w:p>
    <w:p>
      <w:pPr>
        <w:tabs>
          <w:tab w:pos="8526" w:val="left" w:leader="none"/>
        </w:tabs>
        <w:spacing w:line="480" w:lineRule="auto" w:before="201"/>
        <w:ind w:left="2225" w:right="1413" w:hanging="900"/>
        <w:jc w:val="left"/>
        <w:rPr>
          <w:sz w:val="24"/>
        </w:rPr>
      </w:pPr>
      <w:r>
        <w:rPr>
          <w:sz w:val="24"/>
        </w:rPr>
        <w:t>Beasley,</w:t>
      </w:r>
      <w:r>
        <w:rPr>
          <w:spacing w:val="-2"/>
          <w:sz w:val="24"/>
        </w:rPr>
        <w:t> </w:t>
      </w:r>
      <w:r>
        <w:rPr>
          <w:sz w:val="24"/>
        </w:rPr>
        <w:t>Richard;</w:t>
      </w:r>
      <w:r>
        <w:rPr>
          <w:spacing w:val="-1"/>
          <w:sz w:val="24"/>
        </w:rPr>
        <w:t> </w:t>
      </w:r>
      <w:r>
        <w:rPr>
          <w:sz w:val="24"/>
        </w:rPr>
        <w:t>Clayton,</w:t>
      </w:r>
      <w:r>
        <w:rPr>
          <w:spacing w:val="-2"/>
          <w:sz w:val="24"/>
        </w:rPr>
        <w:t> </w:t>
      </w:r>
      <w:r>
        <w:rPr>
          <w:sz w:val="24"/>
        </w:rPr>
        <w:t>Tadd;</w:t>
      </w:r>
      <w:r>
        <w:rPr>
          <w:spacing w:val="-1"/>
          <w:sz w:val="24"/>
        </w:rPr>
        <w:t> </w:t>
      </w:r>
      <w:r>
        <w:rPr>
          <w:sz w:val="24"/>
        </w:rPr>
        <w:t>Crane,</w:t>
      </w:r>
      <w:r>
        <w:rPr>
          <w:spacing w:val="-1"/>
          <w:sz w:val="24"/>
        </w:rPr>
        <w:t> </w:t>
      </w:r>
      <w:r>
        <w:rPr>
          <w:sz w:val="24"/>
        </w:rPr>
        <w:t>Julian;</w:t>
      </w:r>
      <w:r>
        <w:rPr>
          <w:spacing w:val="-2"/>
          <w:sz w:val="24"/>
        </w:rPr>
        <w:t> </w:t>
      </w:r>
      <w:r>
        <w:rPr>
          <w:sz w:val="24"/>
        </w:rPr>
        <w:t>von</w:t>
      </w:r>
      <w:r>
        <w:rPr>
          <w:spacing w:val="-1"/>
          <w:sz w:val="24"/>
        </w:rPr>
        <w:t> </w:t>
      </w:r>
      <w:r>
        <w:rPr>
          <w:sz w:val="24"/>
        </w:rPr>
        <w:t>Mutius,</w:t>
      </w:r>
      <w:r>
        <w:rPr>
          <w:spacing w:val="-1"/>
          <w:sz w:val="24"/>
        </w:rPr>
        <w:t> </w:t>
      </w:r>
      <w:r>
        <w:rPr>
          <w:sz w:val="24"/>
        </w:rPr>
        <w:t>Erika; Lai,</w:t>
        <w:tab/>
        <w:t>Christopher;</w:t>
      </w:r>
      <w:r>
        <w:rPr>
          <w:spacing w:val="1"/>
          <w:sz w:val="24"/>
        </w:rPr>
        <w:t> </w:t>
      </w:r>
      <w:r>
        <w:rPr>
          <w:sz w:val="24"/>
        </w:rPr>
        <w:t>Montefort,</w:t>
      </w:r>
      <w:r>
        <w:rPr>
          <w:spacing w:val="-1"/>
          <w:sz w:val="24"/>
        </w:rPr>
        <w:t> </w:t>
      </w:r>
      <w:r>
        <w:rPr>
          <w:sz w:val="24"/>
        </w:rPr>
        <w:t>Stephen;</w:t>
      </w:r>
      <w:r>
        <w:rPr>
          <w:spacing w:val="-1"/>
          <w:sz w:val="24"/>
        </w:rPr>
        <w:t> </w:t>
      </w:r>
      <w:r>
        <w:rPr>
          <w:sz w:val="24"/>
        </w:rPr>
        <w:t>Stewart,</w:t>
      </w:r>
      <w:r>
        <w:rPr>
          <w:spacing w:val="-1"/>
          <w:sz w:val="24"/>
        </w:rPr>
        <w:t> </w:t>
      </w:r>
      <w:r>
        <w:rPr>
          <w:sz w:val="24"/>
        </w:rPr>
        <w:t>Alistair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Association</w:t>
        <w:tab/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paracetamol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infancy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childhood,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asthma,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rhino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conjunctivitis,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eczema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aged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6–7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years: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Phase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ISAAC programme</w:t>
      </w:r>
      <w:r>
        <w:rPr>
          <w:sz w:val="24"/>
        </w:rPr>
        <w:t>". </w:t>
      </w:r>
      <w:hyperlink r:id="rId65">
        <w:r>
          <w:rPr>
            <w:i/>
            <w:sz w:val="24"/>
            <w:u w:val="single"/>
          </w:rPr>
          <w:t>The</w:t>
        </w:r>
        <w:r>
          <w:rPr>
            <w:i/>
            <w:spacing w:val="-2"/>
            <w:sz w:val="24"/>
            <w:u w:val="single"/>
          </w:rPr>
          <w:t> </w:t>
        </w:r>
        <w:r>
          <w:rPr>
            <w:i/>
            <w:sz w:val="24"/>
            <w:u w:val="single"/>
          </w:rPr>
          <w:t>Lancet</w:t>
        </w:r>
        <w:r>
          <w:rPr>
            <w:i/>
            <w:spacing w:val="1"/>
            <w:sz w:val="24"/>
          </w:rPr>
          <w:t> </w:t>
        </w:r>
      </w:hyperlink>
      <w:r>
        <w:rPr>
          <w:b/>
          <w:sz w:val="24"/>
        </w:rPr>
        <w:t>372</w:t>
      </w:r>
      <w:r>
        <w:rPr>
          <w:b/>
          <w:spacing w:val="2"/>
          <w:sz w:val="24"/>
        </w:rPr>
        <w:t> </w:t>
      </w:r>
      <w:r>
        <w:rPr>
          <w:sz w:val="24"/>
        </w:rPr>
        <w:t>(9643): 1039–1048.</w:t>
      </w:r>
    </w:p>
    <w:p>
      <w:pPr>
        <w:spacing w:line="480" w:lineRule="auto" w:before="200"/>
        <w:ind w:left="2225" w:right="1416" w:hanging="900"/>
        <w:jc w:val="both"/>
        <w:rPr>
          <w:sz w:val="24"/>
        </w:rPr>
      </w:pPr>
      <w:r>
        <w:rPr>
          <w:sz w:val="24"/>
        </w:rPr>
        <w:t>Blanchard, J. and Sawchuk, R. J. (1979). Drug Bioavailability: </w:t>
      </w:r>
      <w:r>
        <w:rPr>
          <w:i/>
          <w:sz w:val="24"/>
        </w:rPr>
        <w:t>An overview. 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perspectives in drug bioavailabilty </w:t>
      </w:r>
      <w:r>
        <w:rPr>
          <w:sz w:val="24"/>
        </w:rPr>
        <w:t>by Blanchard, j., Sawchuk, R. J and</w:t>
      </w:r>
      <w:r>
        <w:rPr>
          <w:spacing w:val="1"/>
          <w:sz w:val="24"/>
        </w:rPr>
        <w:t> </w:t>
      </w:r>
      <w:r>
        <w:rPr>
          <w:sz w:val="24"/>
        </w:rPr>
        <w:t>Brodie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59"/>
          <w:sz w:val="24"/>
        </w:rPr>
        <w:t> </w:t>
      </w:r>
      <w:r>
        <w:rPr>
          <w:sz w:val="24"/>
        </w:rPr>
        <w:t>Boehm</w:t>
      </w:r>
      <w:r>
        <w:rPr>
          <w:spacing w:val="-1"/>
          <w:sz w:val="24"/>
        </w:rPr>
        <w:t> </w:t>
      </w:r>
      <w:r>
        <w:rPr>
          <w:sz w:val="24"/>
        </w:rPr>
        <w:t>S. Karger,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G. 4001. Basel,</w:t>
      </w:r>
      <w:r>
        <w:rPr>
          <w:spacing w:val="-1"/>
          <w:sz w:val="24"/>
        </w:rPr>
        <w:t> </w:t>
      </w:r>
      <w:r>
        <w:rPr>
          <w:sz w:val="24"/>
        </w:rPr>
        <w:t>Switzerland pp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3"/>
          <w:sz w:val="24"/>
        </w:rPr>
        <w:t> </w:t>
      </w:r>
      <w:r>
        <w:rPr>
          <w:sz w:val="24"/>
        </w:rPr>
        <w:t>– 16.</w:t>
      </w:r>
    </w:p>
    <w:p>
      <w:pPr>
        <w:pStyle w:val="BodyText"/>
        <w:spacing w:line="480" w:lineRule="auto" w:before="200"/>
        <w:ind w:left="2225" w:right="1413" w:hanging="900"/>
        <w:jc w:val="both"/>
      </w:pPr>
      <w:r>
        <w:rPr/>
        <w:t>Borne, R F. (2007) "</w:t>
      </w:r>
      <w:r>
        <w:rPr>
          <w:i/>
        </w:rPr>
        <w:t>Nonsteroidal Anti-inflammatory Drugs</w:t>
      </w:r>
      <w:r>
        <w:rPr/>
        <w:t>" In: Foye‟s</w:t>
      </w:r>
      <w:r>
        <w:rPr>
          <w:spacing w:val="1"/>
        </w:rPr>
        <w:t> </w:t>
      </w:r>
      <w:r>
        <w:rPr/>
        <w:t>Principles of</w:t>
      </w:r>
      <w:r>
        <w:rPr>
          <w:spacing w:val="1"/>
        </w:rPr>
        <w:t> </w:t>
      </w:r>
      <w:r>
        <w:rPr/>
        <w:t>Medicinal Chemistry, (6th Ed.) William D.A; Lemke T. L.;</w:t>
      </w:r>
      <w:r>
        <w:rPr>
          <w:spacing w:val="1"/>
        </w:rPr>
        <w:t> </w:t>
      </w:r>
      <w:r>
        <w:rPr/>
        <w:t>Published by</w:t>
      </w:r>
      <w:r>
        <w:rPr>
          <w:spacing w:val="1"/>
        </w:rPr>
        <w:t> </w:t>
      </w:r>
      <w:r>
        <w:rPr/>
        <w:t>Lippincott Williams &amp;</w:t>
      </w:r>
      <w:r>
        <w:rPr>
          <w:spacing w:val="-2"/>
        </w:rPr>
        <w:t> </w:t>
      </w:r>
      <w:r>
        <w:rPr/>
        <w:t>Wilkins,Philadelphia. p. 751-</w:t>
      </w:r>
      <w:r>
        <w:rPr>
          <w:spacing w:val="-1"/>
        </w:rPr>
        <w:t> </w:t>
      </w:r>
      <w:r>
        <w:rPr/>
        <w:t>793.</w:t>
      </w:r>
    </w:p>
    <w:p>
      <w:pPr>
        <w:spacing w:line="482" w:lineRule="auto" w:before="200"/>
        <w:ind w:left="2225" w:right="1417" w:hanging="900"/>
        <w:jc w:val="both"/>
        <w:rPr>
          <w:sz w:val="24"/>
        </w:rPr>
      </w:pPr>
      <w:r>
        <w:rPr>
          <w:sz w:val="24"/>
        </w:rPr>
        <w:t>Bradley, N (1996). </w:t>
      </w:r>
      <w:hyperlink r:id="rId66">
        <w:r>
          <w:rPr>
            <w:sz w:val="24"/>
          </w:rPr>
          <w:t>"BMJ should use "paracetamol" instead of     </w:t>
        </w:r>
        <w:r>
          <w:rPr>
            <w:spacing w:val="1"/>
            <w:sz w:val="24"/>
          </w:rPr>
          <w:t> </w:t>
        </w:r>
        <w:r>
          <w:rPr>
            <w:sz w:val="24"/>
          </w:rPr>
          <w:t>"acetaminophen"   in</w:t>
        </w:r>
      </w:hyperlink>
      <w:r>
        <w:rPr>
          <w:spacing w:val="1"/>
          <w:sz w:val="24"/>
        </w:rPr>
        <w:t> </w:t>
      </w:r>
      <w:hyperlink r:id="rId66">
        <w:r>
          <w:rPr>
            <w:sz w:val="24"/>
          </w:rPr>
          <w:t>its index"</w:t>
        </w:r>
      </w:hyperlink>
      <w:r>
        <w:rPr>
          <w:sz w:val="24"/>
        </w:rPr>
        <w:t>. </w:t>
      </w:r>
      <w:r>
        <w:rPr>
          <w:i/>
          <w:sz w:val="24"/>
        </w:rPr>
        <w:t>BMJ </w:t>
      </w:r>
      <w:r>
        <w:rPr>
          <w:b/>
          <w:sz w:val="24"/>
        </w:rPr>
        <w:t>313 </w:t>
      </w:r>
      <w:r>
        <w:rPr>
          <w:sz w:val="24"/>
        </w:rPr>
        <w:t>(7058): 689.</w:t>
      </w:r>
      <w:hyperlink r:id="rId67">
        <w:r>
          <w:rPr>
            <w:sz w:val="24"/>
          </w:rPr>
          <w:t>"Acetaminophen". </w:t>
        </w:r>
      </w:hyperlink>
      <w:r>
        <w:rPr>
          <w:i/>
          <w:sz w:val="24"/>
        </w:rPr>
        <w:t>The American Society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Health-System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Pharmacists</w:t>
      </w:r>
      <w:r>
        <w:rPr>
          <w:sz w:val="24"/>
        </w:rPr>
        <w:t>. Retrieved 3 April 2011.</w:t>
      </w:r>
    </w:p>
    <w:p>
      <w:pPr>
        <w:spacing w:before="196"/>
        <w:ind w:left="1313" w:right="1423" w:firstLine="0"/>
        <w:jc w:val="center"/>
        <w:rPr>
          <w:sz w:val="24"/>
        </w:rPr>
      </w:pPr>
      <w:r>
        <w:rPr>
          <w:sz w:val="24"/>
        </w:rPr>
        <w:t>British</w:t>
      </w:r>
      <w:r>
        <w:rPr>
          <w:spacing w:val="-1"/>
          <w:sz w:val="24"/>
        </w:rPr>
        <w:t> </w:t>
      </w:r>
      <w:r>
        <w:rPr>
          <w:sz w:val="24"/>
        </w:rPr>
        <w:t>Pharmacopoiea</w:t>
      </w:r>
      <w:r>
        <w:rPr>
          <w:spacing w:val="-2"/>
          <w:sz w:val="24"/>
        </w:rPr>
        <w:t> </w:t>
      </w:r>
      <w:r>
        <w:rPr>
          <w:sz w:val="24"/>
        </w:rPr>
        <w:t>(2009)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paracetamol</w:t>
      </w:r>
      <w:r>
        <w:rPr>
          <w:sz w:val="24"/>
        </w:rPr>
        <w:t>”.</w:t>
      </w:r>
      <w:r>
        <w:rPr>
          <w:spacing w:val="-1"/>
          <w:sz w:val="24"/>
        </w:rPr>
        <w:t> </w:t>
      </w:r>
      <w:r>
        <w:rPr>
          <w:sz w:val="24"/>
        </w:rPr>
        <w:t>9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Pp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1546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1547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20" w:hanging="900"/>
        <w:jc w:val="both"/>
        <w:rPr>
          <w:sz w:val="24"/>
        </w:rPr>
      </w:pPr>
      <w:r>
        <w:rPr>
          <w:sz w:val="24"/>
        </w:rPr>
        <w:t>Brodie BB, Axelrod J (1949). "</w:t>
      </w:r>
      <w:r>
        <w:rPr>
          <w:i/>
          <w:sz w:val="24"/>
        </w:rPr>
        <w:t>The fate of acetophenetidin (phenacetin) in man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 for the estimation of acetophenitidin and its metabolites in 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material". J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 Exp Ther </w:t>
      </w:r>
      <w:r>
        <w:rPr>
          <w:b/>
          <w:sz w:val="24"/>
        </w:rPr>
        <w:t>94 </w:t>
      </w:r>
      <w:r>
        <w:rPr>
          <w:sz w:val="24"/>
        </w:rPr>
        <w:t>(1): 58–67.</w:t>
      </w:r>
    </w:p>
    <w:p>
      <w:pPr>
        <w:spacing w:line="480" w:lineRule="auto" w:before="199"/>
        <w:ind w:left="2225" w:right="1415" w:hanging="900"/>
        <w:jc w:val="both"/>
        <w:rPr>
          <w:sz w:val="24"/>
        </w:rPr>
      </w:pPr>
      <w:r>
        <w:rPr>
          <w:sz w:val="24"/>
        </w:rPr>
        <w:t>Chambers, R. E. and Jones, K. (1976</w:t>
      </w:r>
      <w:r>
        <w:rPr>
          <w:i/>
          <w:sz w:val="24"/>
        </w:rPr>
        <w:t>). Comparism of a gas chromatographic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colorimetric 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determination of plasma Paracetamol</w:t>
      </w:r>
      <w:r>
        <w:rPr>
          <w:i/>
          <w:spacing w:val="1"/>
          <w:sz w:val="24"/>
        </w:rPr>
        <w:t> </w:t>
      </w:r>
      <w:r>
        <w:rPr>
          <w:sz w:val="24"/>
        </w:rPr>
        <w:t>J. Clin.</w:t>
      </w:r>
      <w:r>
        <w:rPr>
          <w:spacing w:val="1"/>
          <w:sz w:val="24"/>
        </w:rPr>
        <w:t> </w:t>
      </w:r>
      <w:r>
        <w:rPr>
          <w:sz w:val="24"/>
        </w:rPr>
        <w:t>Biochem.,</w:t>
      </w:r>
      <w:r>
        <w:rPr>
          <w:spacing w:val="-1"/>
          <w:sz w:val="24"/>
        </w:rPr>
        <w:t> </w:t>
      </w:r>
      <w:r>
        <w:rPr>
          <w:sz w:val="24"/>
        </w:rPr>
        <w:t>13: 433 – 434</w:t>
      </w:r>
    </w:p>
    <w:p>
      <w:pPr>
        <w:pStyle w:val="BodyText"/>
        <w:spacing w:line="482" w:lineRule="auto" w:before="200"/>
        <w:ind w:left="2225" w:right="1415" w:hanging="900"/>
        <w:jc w:val="both"/>
      </w:pPr>
      <w:r>
        <w:rPr/>
        <w:t>Chiou, W. L. (1975). Estimation of hepatic first – pass effect of acetaminophen in</w:t>
      </w:r>
      <w:r>
        <w:rPr>
          <w:spacing w:val="1"/>
        </w:rPr>
        <w:t> </w:t>
      </w:r>
      <w:r>
        <w:rPr/>
        <w:t>humans</w:t>
      </w:r>
      <w:r>
        <w:rPr>
          <w:spacing w:val="-1"/>
        </w:rPr>
        <w:t> </w:t>
      </w:r>
      <w:r>
        <w:rPr/>
        <w:t>after oral administration. J. Pharm. Sci.</w:t>
      </w:r>
      <w:r>
        <w:rPr>
          <w:spacing w:val="-1"/>
        </w:rPr>
        <w:t> </w:t>
      </w:r>
      <w:r>
        <w:rPr/>
        <w:t>64 (10):</w:t>
      </w:r>
      <w:r>
        <w:rPr>
          <w:spacing w:val="1"/>
        </w:rPr>
        <w:t> </w:t>
      </w:r>
      <w:r>
        <w:rPr/>
        <w:t>1734 – 1735.</w:t>
      </w:r>
    </w:p>
    <w:p>
      <w:pPr>
        <w:tabs>
          <w:tab w:pos="8526" w:val="left" w:leader="none"/>
        </w:tabs>
        <w:spacing w:line="480" w:lineRule="auto" w:before="196"/>
        <w:ind w:left="2225" w:right="1419" w:hanging="900"/>
        <w:jc w:val="left"/>
        <w:rPr>
          <w:sz w:val="24"/>
        </w:rPr>
      </w:pPr>
      <w:r>
        <w:rPr>
          <w:sz w:val="24"/>
        </w:rPr>
        <w:t>Clark</w:t>
      </w:r>
      <w:r>
        <w:rPr>
          <w:spacing w:val="-1"/>
          <w:sz w:val="24"/>
        </w:rPr>
        <w:t> </w:t>
      </w:r>
      <w:r>
        <w:rPr>
          <w:sz w:val="24"/>
        </w:rPr>
        <w:t>E,</w:t>
      </w:r>
      <w:r>
        <w:rPr>
          <w:spacing w:val="-1"/>
          <w:sz w:val="24"/>
        </w:rPr>
        <w:t> </w:t>
      </w:r>
      <w:r>
        <w:rPr>
          <w:sz w:val="24"/>
        </w:rPr>
        <w:t>Plint</w:t>
      </w:r>
      <w:r>
        <w:rPr>
          <w:spacing w:val="-1"/>
          <w:sz w:val="24"/>
        </w:rPr>
        <w:t> </w:t>
      </w:r>
      <w:r>
        <w:rPr>
          <w:sz w:val="24"/>
        </w:rPr>
        <w:t>AC, Correll</w:t>
      </w:r>
      <w:r>
        <w:rPr>
          <w:spacing w:val="-1"/>
          <w:sz w:val="24"/>
        </w:rPr>
        <w:t> </w:t>
      </w:r>
      <w:r>
        <w:rPr>
          <w:sz w:val="24"/>
        </w:rPr>
        <w:t>R,</w:t>
      </w:r>
      <w:r>
        <w:rPr>
          <w:spacing w:val="-1"/>
          <w:sz w:val="24"/>
        </w:rPr>
        <w:t> </w:t>
      </w:r>
      <w:r>
        <w:rPr>
          <w:sz w:val="24"/>
        </w:rPr>
        <w:t>Gaboury</w:t>
      </w:r>
      <w:r>
        <w:rPr>
          <w:spacing w:val="-2"/>
          <w:sz w:val="24"/>
        </w:rPr>
        <w:t> </w:t>
      </w:r>
      <w:r>
        <w:rPr>
          <w:sz w:val="24"/>
        </w:rPr>
        <w:t>I, Passi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-3"/>
          <w:sz w:val="24"/>
        </w:rPr>
        <w:t> </w:t>
      </w:r>
      <w:r>
        <w:rPr>
          <w:sz w:val="24"/>
        </w:rPr>
        <w:t>(2007). "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randomized,</w:t>
        <w:tab/>
        <w:t>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acetaminophen,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ibuprofen,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codeine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acute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pain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relief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 musculoskeletal trauma"</w:t>
      </w:r>
      <w:r>
        <w:rPr>
          <w:sz w:val="24"/>
        </w:rPr>
        <w:t>. </w:t>
      </w:r>
      <w:r>
        <w:rPr>
          <w:i/>
          <w:sz w:val="24"/>
        </w:rPr>
        <w:t>Pediatrics </w:t>
      </w:r>
      <w:r>
        <w:rPr>
          <w:b/>
          <w:sz w:val="24"/>
        </w:rPr>
        <w:t>119</w:t>
      </w:r>
      <w:r>
        <w:rPr>
          <w:b/>
          <w:spacing w:val="-1"/>
          <w:sz w:val="24"/>
        </w:rPr>
        <w:t> </w:t>
      </w:r>
      <w:r>
        <w:rPr>
          <w:sz w:val="24"/>
        </w:rPr>
        <w:t>(3): 460–7.</w:t>
      </w:r>
    </w:p>
    <w:p>
      <w:pPr>
        <w:spacing w:line="482" w:lineRule="auto" w:before="200"/>
        <w:ind w:left="2225" w:right="1417" w:hanging="900"/>
        <w:jc w:val="left"/>
        <w:rPr>
          <w:sz w:val="24"/>
        </w:rPr>
      </w:pPr>
      <w:r>
        <w:rPr>
          <w:sz w:val="24"/>
        </w:rPr>
        <w:t>Daniel</w:t>
      </w:r>
      <w:r>
        <w:rPr>
          <w:spacing w:val="56"/>
          <w:sz w:val="24"/>
        </w:rPr>
        <w:t> </w:t>
      </w:r>
      <w:r>
        <w:rPr>
          <w:sz w:val="24"/>
        </w:rPr>
        <w:t>S</w:t>
      </w:r>
      <w:r>
        <w:rPr>
          <w:spacing w:val="58"/>
          <w:sz w:val="24"/>
        </w:rPr>
        <w:t> </w:t>
      </w:r>
      <w:r>
        <w:rPr>
          <w:sz w:val="24"/>
        </w:rPr>
        <w:t>Goldberg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Summer</w:t>
      </w:r>
      <w:r>
        <w:rPr>
          <w:spacing w:val="55"/>
          <w:sz w:val="24"/>
        </w:rPr>
        <w:t> </w:t>
      </w:r>
      <w:r>
        <w:rPr>
          <w:sz w:val="24"/>
        </w:rPr>
        <w:t>J</w:t>
      </w:r>
      <w:r>
        <w:rPr>
          <w:spacing w:val="59"/>
          <w:sz w:val="24"/>
        </w:rPr>
        <w:t> </w:t>
      </w:r>
      <w:r>
        <w:rPr>
          <w:sz w:val="24"/>
        </w:rPr>
        <w:t>McGee</w:t>
      </w:r>
      <w:r>
        <w:rPr>
          <w:spacing w:val="39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2011</w:t>
      </w:r>
      <w:r>
        <w:rPr>
          <w:b/>
          <w:sz w:val="24"/>
        </w:rPr>
        <w:t>)</w:t>
      </w:r>
      <w:r>
        <w:rPr>
          <w:b/>
          <w:spacing w:val="56"/>
          <w:sz w:val="24"/>
        </w:rPr>
        <w:t> </w:t>
      </w:r>
      <w:r>
        <w:rPr>
          <w:b/>
          <w:i/>
          <w:sz w:val="24"/>
        </w:rPr>
        <w:t>“</w:t>
      </w:r>
      <w:r>
        <w:rPr>
          <w:i/>
          <w:sz w:val="24"/>
        </w:rPr>
        <w:t>Pain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global  public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priority” </w:t>
      </w:r>
      <w:r>
        <w:rPr>
          <w:sz w:val="24"/>
        </w:rPr>
        <w:t>BMC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2001,</w:t>
      </w:r>
      <w:r>
        <w:rPr>
          <w:spacing w:val="-1"/>
          <w:sz w:val="24"/>
        </w:rPr>
        <w:t> </w:t>
      </w:r>
      <w:r>
        <w:rPr>
          <w:sz w:val="24"/>
        </w:rPr>
        <w:t>11: 770</w:t>
      </w:r>
      <w:r>
        <w:rPr>
          <w:spacing w:val="-1"/>
          <w:sz w:val="24"/>
        </w:rPr>
        <w:t> </w:t>
      </w:r>
      <w:r>
        <w:rPr>
          <w:sz w:val="24"/>
        </w:rPr>
        <w:t>doi:</w:t>
      </w:r>
      <w:r>
        <w:rPr>
          <w:spacing w:val="-1"/>
          <w:sz w:val="24"/>
        </w:rPr>
        <w:t> </w:t>
      </w:r>
      <w:r>
        <w:rPr>
          <w:sz w:val="24"/>
        </w:rPr>
        <w:t>10.1186/1471-2458-11:770</w:t>
      </w:r>
    </w:p>
    <w:p>
      <w:pPr>
        <w:pStyle w:val="BodyText"/>
        <w:spacing w:line="482" w:lineRule="auto" w:before="194"/>
        <w:ind w:left="2225" w:right="1417" w:hanging="900"/>
      </w:pPr>
      <w:r>
        <w:rPr/>
        <w:t>Derry</w:t>
      </w:r>
      <w:r>
        <w:rPr>
          <w:spacing w:val="33"/>
        </w:rPr>
        <w:t> </w:t>
      </w:r>
      <w:r>
        <w:rPr/>
        <w:t>S,</w:t>
      </w:r>
      <w:r>
        <w:rPr>
          <w:spacing w:val="40"/>
        </w:rPr>
        <w:t> </w:t>
      </w:r>
      <w:r>
        <w:rPr/>
        <w:t>Moore</w:t>
      </w:r>
      <w:r>
        <w:rPr>
          <w:spacing w:val="38"/>
        </w:rPr>
        <w:t> </w:t>
      </w:r>
      <w:r>
        <w:rPr/>
        <w:t>RA</w:t>
      </w:r>
      <w:r>
        <w:rPr>
          <w:spacing w:val="37"/>
        </w:rPr>
        <w:t> </w:t>
      </w:r>
      <w:r>
        <w:rPr/>
        <w:t>(2013).</w:t>
      </w:r>
      <w:r>
        <w:rPr>
          <w:spacing w:val="40"/>
        </w:rPr>
        <w:t> </w:t>
      </w:r>
      <w:r>
        <w:rPr/>
        <w:t>"Paracetamol</w:t>
      </w:r>
      <w:r>
        <w:rPr>
          <w:spacing w:val="38"/>
        </w:rPr>
        <w:t> </w:t>
      </w:r>
      <w:r>
        <w:rPr/>
        <w:t>(acetaminophen)</w:t>
      </w:r>
      <w:r>
        <w:rPr>
          <w:spacing w:val="39"/>
        </w:rPr>
        <w:t> </w:t>
      </w:r>
      <w:r>
        <w:rPr/>
        <w:t>with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/>
        <w:t>without</w:t>
      </w:r>
      <w:r>
        <w:rPr>
          <w:spacing w:val="38"/>
        </w:rPr>
        <w:t> </w:t>
      </w:r>
      <w:r>
        <w:rPr/>
        <w:t>an</w:t>
      </w:r>
      <w:r>
        <w:rPr>
          <w:spacing w:val="-57"/>
        </w:rPr>
        <w:t> </w:t>
      </w:r>
      <w:r>
        <w:rPr/>
        <w:t>antiemetic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acute migraine headaches in adults".</w:t>
      </w:r>
    </w:p>
    <w:p>
      <w:pPr>
        <w:tabs>
          <w:tab w:pos="9246" w:val="left" w:leader="none"/>
        </w:tabs>
        <w:spacing w:line="482" w:lineRule="auto" w:before="197"/>
        <w:ind w:left="2225" w:right="1565" w:hanging="900"/>
        <w:jc w:val="left"/>
        <w:rPr>
          <w:sz w:val="24"/>
        </w:rPr>
      </w:pPr>
      <w:r>
        <w:rPr>
          <w:sz w:val="24"/>
        </w:rPr>
        <w:t>Dukes,</w:t>
      </w:r>
      <w:r>
        <w:rPr>
          <w:spacing w:val="-1"/>
          <w:sz w:val="24"/>
        </w:rPr>
        <w:t> </w:t>
      </w:r>
      <w:r>
        <w:rPr>
          <w:sz w:val="24"/>
        </w:rPr>
        <w:t>M N</w:t>
      </w:r>
      <w:r>
        <w:rPr>
          <w:spacing w:val="-2"/>
          <w:sz w:val="24"/>
        </w:rPr>
        <w:t> </w:t>
      </w:r>
      <w:r>
        <w:rPr>
          <w:sz w:val="24"/>
        </w:rPr>
        <w:t>G; Jeffrey</w:t>
      </w:r>
      <w:r>
        <w:rPr>
          <w:spacing w:val="-3"/>
          <w:sz w:val="24"/>
        </w:rPr>
        <w:t> </w:t>
      </w:r>
      <w:r>
        <w:rPr>
          <w:sz w:val="24"/>
        </w:rPr>
        <w:t>K Aronson (2000).</w:t>
      </w:r>
      <w:r>
        <w:rPr>
          <w:spacing w:val="2"/>
          <w:sz w:val="24"/>
        </w:rPr>
        <w:t> </w:t>
      </w:r>
      <w:r>
        <w:rPr>
          <w:i/>
          <w:sz w:val="24"/>
        </w:rPr>
        <w:t>Meyler's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Drugs, Vol</w:t>
        <w:tab/>
      </w:r>
      <w:r>
        <w:rPr>
          <w:i/>
          <w:spacing w:val="-1"/>
          <w:sz w:val="24"/>
        </w:rPr>
        <w:t>XIV</w:t>
      </w:r>
      <w:r>
        <w:rPr>
          <w:spacing w:val="-1"/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Elsevier.</w:t>
      </w:r>
      <w:r>
        <w:rPr>
          <w:spacing w:val="1"/>
          <w:sz w:val="24"/>
        </w:rPr>
        <w:t> </w:t>
      </w:r>
      <w:hyperlink r:id="rId68">
        <w:r>
          <w:rPr>
            <w:sz w:val="24"/>
            <w:u w:val="single"/>
          </w:rPr>
          <w:t>ISBN</w:t>
        </w:r>
      </w:hyperlink>
      <w:r>
        <w:rPr>
          <w:sz w:val="24"/>
        </w:rPr>
        <w:t> </w:t>
      </w:r>
      <w:r>
        <w:rPr>
          <w:sz w:val="24"/>
          <w:u w:val="single"/>
        </w:rPr>
        <w:t>9780444500939</w:t>
      </w:r>
      <w:r>
        <w:rPr>
          <w:sz w:val="24"/>
        </w:rPr>
        <w:t>.</w:t>
      </w:r>
    </w:p>
    <w:p>
      <w:pPr>
        <w:pStyle w:val="BodyText"/>
        <w:spacing w:before="196"/>
        <w:ind w:left="1325"/>
      </w:pPr>
      <w:r>
        <w:rPr/>
        <w:t>Eadie,</w:t>
      </w:r>
      <w:r>
        <w:rPr>
          <w:spacing w:val="-1"/>
        </w:rPr>
        <w:t> </w:t>
      </w:r>
      <w:r>
        <w:rPr/>
        <w:t>M. J.,</w:t>
      </w:r>
      <w:r>
        <w:rPr>
          <w:spacing w:val="-1"/>
        </w:rPr>
        <w:t> </w:t>
      </w:r>
      <w:r>
        <w:rPr/>
        <w:t>Sutherland, J.</w:t>
      </w:r>
      <w:r>
        <w:rPr>
          <w:spacing w:val="-1"/>
        </w:rPr>
        <w:t> </w:t>
      </w:r>
      <w:r>
        <w:rPr/>
        <w:t>M and</w:t>
      </w:r>
      <w:r>
        <w:rPr>
          <w:spacing w:val="-1"/>
        </w:rPr>
        <w:t> </w:t>
      </w:r>
      <w:r>
        <w:rPr/>
        <w:t>Tyer, J.</w:t>
      </w:r>
      <w:r>
        <w:rPr>
          <w:spacing w:val="-1"/>
        </w:rPr>
        <w:t> </w:t>
      </w:r>
      <w:r>
        <w:rPr/>
        <w:t>H (1968)</w:t>
      </w:r>
      <w:r>
        <w:rPr>
          <w:spacing w:val="-1"/>
        </w:rPr>
        <w:t> </w:t>
      </w:r>
      <w:r>
        <w:rPr/>
        <w:t>Med.</w:t>
      </w:r>
      <w:r>
        <w:rPr>
          <w:spacing w:val="-1"/>
        </w:rPr>
        <w:t> </w:t>
      </w:r>
      <w:r>
        <w:rPr/>
        <w:t>J. Aust.,</w:t>
      </w:r>
      <w:r>
        <w:rPr>
          <w:spacing w:val="-1"/>
        </w:rPr>
        <w:t> </w:t>
      </w:r>
      <w:r>
        <w:rPr/>
        <w:t>2: 515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526" w:val="left" w:leader="none"/>
        </w:tabs>
        <w:spacing w:line="480" w:lineRule="auto" w:before="174"/>
        <w:ind w:left="2225" w:right="1418" w:hanging="900"/>
      </w:pPr>
      <w:r>
        <w:rPr/>
        <w:t>Ebrahimi,</w:t>
      </w:r>
      <w:r>
        <w:rPr>
          <w:spacing w:val="-2"/>
        </w:rPr>
        <w:t> </w:t>
      </w:r>
      <w:r>
        <w:rPr/>
        <w:t>Sedigheh;</w:t>
      </w:r>
      <w:r>
        <w:rPr>
          <w:spacing w:val="-1"/>
        </w:rPr>
        <w:t> </w:t>
      </w:r>
      <w:r>
        <w:rPr/>
        <w:t>Soheil</w:t>
      </w:r>
      <w:r>
        <w:rPr>
          <w:spacing w:val="-1"/>
        </w:rPr>
        <w:t> </w:t>
      </w:r>
      <w:r>
        <w:rPr/>
        <w:t>Ashkani</w:t>
      </w:r>
      <w:r>
        <w:rPr>
          <w:spacing w:val="-1"/>
        </w:rPr>
        <w:t> </w:t>
      </w:r>
      <w:r>
        <w:rPr/>
        <w:t>Esfahani,</w:t>
      </w:r>
      <w:r>
        <w:rPr>
          <w:spacing w:val="-1"/>
        </w:rPr>
        <w:t> </w:t>
      </w:r>
      <w:r>
        <w:rPr/>
        <w:t>Hamid</w:t>
      </w:r>
      <w:r>
        <w:rPr>
          <w:spacing w:val="-1"/>
        </w:rPr>
        <w:t> </w:t>
      </w:r>
      <w:r>
        <w:rPr/>
        <w:t>Reza</w:t>
      </w:r>
      <w:r>
        <w:rPr>
          <w:spacing w:val="-2"/>
        </w:rPr>
        <w:t> </w:t>
      </w:r>
      <w:r>
        <w:rPr/>
        <w:t>Ghaffarian,</w:t>
        <w:tab/>
        <w:t>Mahsima</w:t>
      </w:r>
      <w:r>
        <w:rPr>
          <w:spacing w:val="1"/>
        </w:rPr>
        <w:t> </w:t>
      </w:r>
      <w:r>
        <w:rPr/>
        <w:t>Khoshneviszade</w:t>
      </w:r>
      <w:r>
        <w:rPr>
          <w:spacing w:val="2"/>
        </w:rPr>
        <w:t> </w:t>
      </w:r>
      <w:r>
        <w:rPr/>
        <w:t>(2010).</w:t>
      </w:r>
      <w:r>
        <w:rPr>
          <w:spacing w:val="5"/>
        </w:rPr>
        <w:t> </w:t>
      </w:r>
      <w:hyperlink r:id="rId69">
        <w:r>
          <w:rPr/>
          <w:t>"Comparison</w:t>
        </w:r>
        <w:r>
          <w:rPr>
            <w:spacing w:val="5"/>
          </w:rPr>
          <w:t> </w:t>
        </w:r>
        <w:r>
          <w:rPr/>
          <w:t>of</w:t>
        </w:r>
        <w:r>
          <w:rPr>
            <w:spacing w:val="2"/>
          </w:rPr>
          <w:t> </w:t>
        </w:r>
        <w:r>
          <w:rPr/>
          <w:t>efficacy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4"/>
          </w:rPr>
          <w:t> </w:t>
        </w:r>
        <w:r>
          <w:rPr/>
          <w:t>safety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3"/>
          </w:rPr>
          <w:t> </w:t>
        </w:r>
        <w:r>
          <w:rPr/>
          <w:t>acetaminophen</w:t>
        </w:r>
      </w:hyperlink>
      <w:r>
        <w:rPr>
          <w:spacing w:val="-57"/>
        </w:rPr>
        <w:t> </w:t>
      </w:r>
      <w:hyperlink r:id="rId69">
        <w:r>
          <w:rPr/>
          <w:t>and</w:t>
        </w:r>
        <w:r>
          <w:rPr>
            <w:spacing w:val="-1"/>
          </w:rPr>
          <w:t> </w:t>
        </w:r>
        <w:r>
          <w:rPr/>
          <w:t>ibuprofen</w:t>
        </w:r>
        <w:r>
          <w:rPr>
            <w:spacing w:val="1"/>
          </w:rPr>
          <w:t> </w:t>
        </w:r>
        <w:r>
          <w:rPr/>
          <w:t>administration</w:t>
        </w:r>
        <w:r>
          <w:rPr>
            <w:spacing w:val="-1"/>
          </w:rPr>
          <w:t> </w:t>
        </w:r>
        <w:r>
          <w:rPr/>
          <w:t>as</w:t>
        </w:r>
        <w:r>
          <w:rPr>
            <w:spacing w:val="-1"/>
          </w:rPr>
          <w:t> </w:t>
        </w:r>
        <w:r>
          <w:rPr/>
          <w:t>single</w:t>
        </w:r>
        <w:r>
          <w:rPr>
            <w:spacing w:val="-1"/>
          </w:rPr>
          <w:t> </w:t>
        </w:r>
        <w:r>
          <w:rPr/>
          <w:t>dose</w:t>
        </w:r>
        <w:r>
          <w:rPr>
            <w:spacing w:val="-3"/>
          </w:rPr>
          <w:t> </w:t>
        </w:r>
        <w:r>
          <w:rPr/>
          <w:t>to</w:t>
        </w:r>
        <w:r>
          <w:rPr>
            <w:spacing w:val="-1"/>
          </w:rPr>
          <w:t> </w:t>
        </w:r>
        <w:r>
          <w:rPr/>
          <w:t>reduce</w:t>
        </w:r>
        <w:r>
          <w:rPr>
            <w:spacing w:val="-2"/>
          </w:rPr>
          <w:t> </w:t>
        </w:r>
        <w:r>
          <w:rPr/>
          <w:t>fever</w:t>
        </w:r>
        <w:r>
          <w:rPr>
            <w:spacing w:val="-1"/>
          </w:rPr>
          <w:t> </w:t>
        </w:r>
        <w:r>
          <w:rPr/>
          <w:t>in</w:t>
          <w:tab/>
          <w:t>children.".</w:t>
        </w:r>
      </w:hyperlink>
    </w:p>
    <w:p>
      <w:pPr>
        <w:spacing w:before="3"/>
        <w:ind w:left="2225" w:right="0" w:firstLine="0"/>
        <w:jc w:val="left"/>
        <w:rPr>
          <w:sz w:val="24"/>
        </w:rPr>
      </w:pPr>
      <w:r>
        <w:rPr>
          <w:i/>
          <w:sz w:val="24"/>
        </w:rPr>
        <w:t>Iranian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Pediatrics </w:t>
      </w:r>
      <w:r>
        <w:rPr>
          <w:b/>
          <w:sz w:val="24"/>
        </w:rPr>
        <w:t>20 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500–501.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before="74"/>
        <w:ind w:left="1325"/>
      </w:pPr>
      <w:r>
        <w:rPr/>
        <w:t>Emdex: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Complete Drug</w:t>
      </w:r>
      <w:r>
        <w:rPr>
          <w:spacing w:val="-1"/>
        </w:rPr>
        <w:t> </w:t>
      </w:r>
      <w:r>
        <w:rPr/>
        <w:t>Formulary</w:t>
      </w:r>
      <w:r>
        <w:rPr>
          <w:spacing w:val="-5"/>
        </w:rPr>
        <w:t> </w:t>
      </w:r>
      <w:r>
        <w:rPr/>
        <w:t>(2010/2011)</w:t>
      </w:r>
      <w:r>
        <w:rPr>
          <w:spacing w:val="-1"/>
        </w:rPr>
        <w:t> </w:t>
      </w:r>
      <w:r>
        <w:rPr/>
        <w:t>52-54.</w:t>
      </w:r>
    </w:p>
    <w:p>
      <w:pPr>
        <w:pStyle w:val="BodyText"/>
        <w:rPr>
          <w:sz w:val="26"/>
        </w:rPr>
      </w:pPr>
    </w:p>
    <w:p>
      <w:pPr>
        <w:spacing w:line="480" w:lineRule="auto" w:before="174"/>
        <w:ind w:left="2225" w:right="1412" w:hanging="900"/>
        <w:jc w:val="both"/>
        <w:rPr>
          <w:sz w:val="24"/>
        </w:rPr>
      </w:pPr>
      <w:r>
        <w:rPr>
          <w:sz w:val="24"/>
        </w:rPr>
        <w:t>Flower, R. J., Moncada, S. and Vane, J. R (1985</w:t>
      </w:r>
      <w:r>
        <w:rPr>
          <w:i/>
          <w:sz w:val="24"/>
        </w:rPr>
        <w:t>). Analgesic – Antipyretics and Anti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inflammatory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gout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Therapeutics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Gilman,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A.G.,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Goodman,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L. S., Rall, T. W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Murad, F. pp 674-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715.</w:t>
      </w:r>
    </w:p>
    <w:p>
      <w:pPr>
        <w:tabs>
          <w:tab w:pos="9222" w:val="left" w:leader="none"/>
        </w:tabs>
        <w:spacing w:line="480" w:lineRule="auto" w:before="200"/>
        <w:ind w:left="2225" w:right="1413" w:hanging="900"/>
        <w:jc w:val="both"/>
        <w:rPr>
          <w:sz w:val="24"/>
        </w:rPr>
      </w:pPr>
      <w:r>
        <w:rPr>
          <w:sz w:val="24"/>
        </w:rPr>
        <w:t>García Rodríguez LA, Hernández-Díaz S (2000). </w:t>
      </w:r>
      <w:hyperlink r:id="rId70">
        <w:r>
          <w:rPr>
            <w:i/>
            <w:sz w:val="24"/>
          </w:rPr>
          <w:t>"The risk of upper gastrointestinal</w:t>
        </w:r>
      </w:hyperlink>
      <w:r>
        <w:rPr>
          <w:i/>
          <w:spacing w:val="1"/>
          <w:sz w:val="24"/>
        </w:rPr>
        <w:t> </w:t>
      </w:r>
      <w:hyperlink r:id="rId70">
        <w:r>
          <w:rPr>
            <w:i/>
            <w:sz w:val="24"/>
          </w:rPr>
          <w:t>complications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associated with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nonsteroidal anti-</w:t>
        </w:r>
        <w:r>
          <w:rPr>
            <w:i/>
            <w:spacing w:val="118"/>
            <w:sz w:val="24"/>
          </w:rPr>
          <w:t> </w:t>
        </w:r>
        <w:r>
          <w:rPr>
            <w:i/>
            <w:sz w:val="24"/>
          </w:rPr>
          <w:t>inflammatory</w:t>
          <w:tab/>
          <w:t>drugs,</w:t>
        </w:r>
      </w:hyperlink>
      <w:r>
        <w:rPr>
          <w:i/>
          <w:spacing w:val="-58"/>
          <w:sz w:val="24"/>
        </w:rPr>
        <w:t> </w:t>
      </w:r>
      <w:hyperlink r:id="rId70">
        <w:r>
          <w:rPr>
            <w:i/>
            <w:sz w:val="24"/>
          </w:rPr>
          <w:t>glucocorticoids, acetaminophen, and combinations of these agents</w:t>
        </w:r>
        <w:r>
          <w:rPr>
            <w:sz w:val="24"/>
          </w:rPr>
          <w:t>"</w:t>
        </w:r>
      </w:hyperlink>
      <w:r>
        <w:rPr>
          <w:sz w:val="24"/>
        </w:rPr>
        <w:t>. </w:t>
      </w:r>
      <w:r>
        <w:rPr>
          <w:i/>
          <w:sz w:val="24"/>
        </w:rPr>
        <w:t>Arthritis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Therapy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> </w:t>
      </w:r>
      <w:r>
        <w:rPr>
          <w:sz w:val="24"/>
        </w:rPr>
        <w:t>(2): 98–101.doi:10.1186/ar146</w:t>
      </w:r>
    </w:p>
    <w:p>
      <w:pPr>
        <w:pStyle w:val="BodyText"/>
        <w:spacing w:line="482" w:lineRule="auto" w:before="202"/>
        <w:ind w:left="2225" w:right="1418" w:hanging="900"/>
        <w:jc w:val="both"/>
      </w:pPr>
      <w:r>
        <w:rPr/>
        <w:t>Gardiner</w:t>
      </w:r>
      <w:r>
        <w:rPr>
          <w:spacing w:val="1"/>
        </w:rPr>
        <w:t> </w:t>
      </w:r>
      <w:r>
        <w:rPr/>
        <w:t>Harris</w:t>
      </w:r>
      <w:r>
        <w:rPr>
          <w:spacing w:val="1"/>
        </w:rPr>
        <w:t> </w:t>
      </w:r>
      <w:r>
        <w:rPr/>
        <w:t>(January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hyperlink r:id="rId71">
        <w:r>
          <w:rPr/>
          <w:t>"F.</w:t>
        </w:r>
        <w:r>
          <w:rPr>
            <w:spacing w:val="1"/>
          </w:rPr>
          <w:t> </w:t>
        </w:r>
        <w:r>
          <w:rPr/>
          <w:t>D.</w:t>
        </w:r>
        <w:r>
          <w:rPr>
            <w:spacing w:val="1"/>
          </w:rPr>
          <w:t> </w:t>
        </w:r>
        <w:r>
          <w:rPr/>
          <w:t>A.</w:t>
        </w:r>
        <w:r>
          <w:rPr>
            <w:spacing w:val="1"/>
          </w:rPr>
          <w:t> </w:t>
        </w:r>
        <w:r>
          <w:rPr/>
          <w:t>Plans</w:t>
        </w:r>
        <w:r>
          <w:rPr>
            <w:spacing w:val="1"/>
          </w:rPr>
          <w:t> </w:t>
        </w:r>
        <w:r>
          <w:rPr/>
          <w:t>New</w:t>
        </w:r>
        <w:r>
          <w:rPr>
            <w:spacing w:val="1"/>
          </w:rPr>
          <w:t> </w:t>
        </w:r>
        <w:r>
          <w:rPr/>
          <w:t>Limits</w:t>
        </w:r>
        <w:r>
          <w:rPr>
            <w:spacing w:val="1"/>
          </w:rPr>
          <w:t> </w:t>
        </w:r>
        <w:r>
          <w:rPr/>
          <w:t>on</w:t>
        </w:r>
        <w:r>
          <w:rPr>
            <w:spacing w:val="1"/>
          </w:rPr>
          <w:t> </w:t>
        </w:r>
        <w:r>
          <w:rPr/>
          <w:t>Prescription</w:t>
        </w:r>
      </w:hyperlink>
      <w:r>
        <w:rPr>
          <w:spacing w:val="1"/>
        </w:rPr>
        <w:t> </w:t>
      </w:r>
      <w:hyperlink r:id="rId71">
        <w:r>
          <w:rPr/>
          <w:t>Painkillers".</w:t>
        </w:r>
      </w:hyperlink>
      <w:r>
        <w:rPr>
          <w:spacing w:val="-1"/>
        </w:rPr>
        <w:t> </w:t>
      </w:r>
      <w:hyperlink r:id="rId72">
        <w:r>
          <w:rPr>
            <w:i/>
          </w:rPr>
          <w:t>The</w:t>
        </w:r>
        <w:r>
          <w:rPr>
            <w:i/>
            <w:spacing w:val="-1"/>
          </w:rPr>
          <w:t> </w:t>
        </w:r>
        <w:r>
          <w:rPr>
            <w:i/>
          </w:rPr>
          <w:t>New York</w:t>
        </w:r>
        <w:r>
          <w:rPr>
            <w:i/>
            <w:spacing w:val="-1"/>
          </w:rPr>
          <w:t> </w:t>
        </w:r>
        <w:r>
          <w:rPr>
            <w:i/>
          </w:rPr>
          <w:t>Times</w:t>
        </w:r>
      </w:hyperlink>
      <w:r>
        <w:rPr/>
        <w:t>. Retrieved January</w:t>
      </w:r>
      <w:r>
        <w:rPr>
          <w:spacing w:val="-5"/>
        </w:rPr>
        <w:t> </w:t>
      </w:r>
      <w:r>
        <w:rPr/>
        <w:t>13, 2011.</w:t>
      </w:r>
    </w:p>
    <w:p>
      <w:pPr>
        <w:pStyle w:val="BodyText"/>
        <w:spacing w:line="482" w:lineRule="auto" w:before="194"/>
        <w:ind w:left="2765" w:right="1414" w:hanging="1440"/>
        <w:jc w:val="both"/>
      </w:pPr>
      <w:r>
        <w:rPr/>
        <w:t>Glaxo</w:t>
      </w:r>
      <w:r>
        <w:rPr>
          <w:spacing w:val="1"/>
        </w:rPr>
        <w:t> </w:t>
      </w:r>
      <w:r>
        <w:rPr/>
        <w:t>Smith</w:t>
      </w:r>
      <w:r>
        <w:rPr>
          <w:spacing w:val="1"/>
        </w:rPr>
        <w:t> </w:t>
      </w:r>
      <w:r>
        <w:rPr/>
        <w:t>Kline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Healthcare.</w:t>
      </w:r>
      <w:r>
        <w:rPr>
          <w:spacing w:val="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spacing w:val="60"/>
        </w:rPr>
        <w:t> </w:t>
      </w:r>
      <w:r>
        <w:rPr/>
        <w:t>product</w:t>
      </w:r>
      <w:r>
        <w:rPr>
          <w:spacing w:val="60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9</w:t>
      </w:r>
      <w:r>
        <w:rPr>
          <w:spacing w:val="1"/>
        </w:rPr>
        <w:t> </w:t>
      </w:r>
      <w:r>
        <w:rPr/>
        <w:t>October</w:t>
      </w:r>
      <w:r>
        <w:rPr>
          <w:spacing w:val="-3"/>
        </w:rPr>
        <w:t> </w:t>
      </w:r>
      <w:r>
        <w:rPr/>
        <w:t>2009.</w:t>
      </w:r>
    </w:p>
    <w:p>
      <w:pPr>
        <w:spacing w:line="482" w:lineRule="auto" w:before="194"/>
        <w:ind w:left="2225" w:right="1412" w:hanging="900"/>
        <w:jc w:val="left"/>
        <w:rPr>
          <w:sz w:val="24"/>
        </w:rPr>
      </w:pPr>
      <w:r>
        <w:rPr>
          <w:sz w:val="24"/>
        </w:rPr>
        <w:t>Gibaldi,</w:t>
      </w:r>
      <w:r>
        <w:rPr>
          <w:spacing w:val="12"/>
          <w:sz w:val="24"/>
        </w:rPr>
        <w:t> </w:t>
      </w:r>
      <w:r>
        <w:rPr>
          <w:sz w:val="24"/>
        </w:rPr>
        <w:t>M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Perrier,</w:t>
      </w:r>
      <w:r>
        <w:rPr>
          <w:spacing w:val="13"/>
          <w:sz w:val="24"/>
        </w:rPr>
        <w:t> </w:t>
      </w:r>
      <w:r>
        <w:rPr>
          <w:sz w:val="24"/>
        </w:rPr>
        <w:t>D.</w:t>
      </w:r>
      <w:r>
        <w:rPr>
          <w:spacing w:val="12"/>
          <w:sz w:val="24"/>
        </w:rPr>
        <w:t> </w:t>
      </w:r>
      <w:r>
        <w:rPr>
          <w:sz w:val="24"/>
        </w:rPr>
        <w:t>(1975b).</w:t>
      </w:r>
      <w:r>
        <w:rPr>
          <w:spacing w:val="15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compartment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model.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Pharmacokinetics</w:t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Vol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Ed. Swarbrick, J. pp 1 – 43.</w:t>
      </w:r>
    </w:p>
    <w:p>
      <w:pPr>
        <w:pStyle w:val="BodyText"/>
        <w:spacing w:line="482" w:lineRule="auto" w:before="197"/>
        <w:ind w:left="2225" w:right="1417" w:hanging="900"/>
      </w:pPr>
      <w:r>
        <w:rPr/>
        <w:t>Gibaldi,</w:t>
      </w:r>
      <w:r>
        <w:rPr>
          <w:spacing w:val="14"/>
        </w:rPr>
        <w:t> </w:t>
      </w:r>
      <w:r>
        <w:rPr/>
        <w:t>M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Perrier,</w:t>
      </w:r>
      <w:r>
        <w:rPr>
          <w:spacing w:val="14"/>
        </w:rPr>
        <w:t> </w:t>
      </w:r>
      <w:r>
        <w:rPr/>
        <w:t>D.</w:t>
      </w:r>
      <w:r>
        <w:rPr>
          <w:spacing w:val="15"/>
        </w:rPr>
        <w:t> </w:t>
      </w:r>
      <w:r>
        <w:rPr/>
        <w:t>(1975c).</w:t>
      </w:r>
      <w:r>
        <w:rPr>
          <w:spacing w:val="13"/>
        </w:rPr>
        <w:t> </w:t>
      </w:r>
      <w:r>
        <w:rPr/>
        <w:t>Trapezoidal</w:t>
      </w:r>
      <w:r>
        <w:rPr>
          <w:spacing w:val="14"/>
        </w:rPr>
        <w:t> </w:t>
      </w:r>
      <w:r>
        <w:rPr/>
        <w:t>Rule.</w:t>
      </w:r>
      <w:r>
        <w:rPr>
          <w:spacing w:val="15"/>
        </w:rPr>
        <w:t> </w:t>
      </w:r>
      <w:r>
        <w:rPr/>
        <w:t>(Appendix</w:t>
      </w:r>
      <w:r>
        <w:rPr>
          <w:spacing w:val="17"/>
        </w:rPr>
        <w:t> </w:t>
      </w:r>
      <w:r>
        <w:rPr/>
        <w:t>4)</w:t>
      </w:r>
      <w:r>
        <w:rPr>
          <w:spacing w:val="12"/>
        </w:rPr>
        <w:t> </w:t>
      </w:r>
      <w:r>
        <w:rPr/>
        <w:t>Pharmacokinetics,</w:t>
      </w:r>
      <w:r>
        <w:rPr>
          <w:spacing w:val="-57"/>
        </w:rPr>
        <w:t> </w:t>
      </w:r>
      <w:r>
        <w:rPr/>
        <w:t>Vol</w:t>
      </w:r>
      <w:r>
        <w:rPr>
          <w:spacing w:val="-1"/>
        </w:rPr>
        <w:t> </w:t>
      </w:r>
      <w:r>
        <w:rPr/>
        <w:t>1. Ed. Swarbrick, J. pp 293 – 296.</w:t>
      </w:r>
    </w:p>
    <w:p>
      <w:pPr>
        <w:pStyle w:val="BodyText"/>
        <w:spacing w:line="482" w:lineRule="auto" w:before="194"/>
        <w:ind w:left="2225" w:right="1410" w:hanging="900"/>
      </w:pPr>
      <w:r>
        <w:rPr/>
        <w:t>Glynn,</w:t>
      </w:r>
      <w:r>
        <w:rPr>
          <w:spacing w:val="15"/>
        </w:rPr>
        <w:t> </w:t>
      </w:r>
      <w:r>
        <w:rPr/>
        <w:t>J.</w:t>
      </w:r>
      <w:r>
        <w:rPr>
          <w:spacing w:val="15"/>
        </w:rPr>
        <w:t> </w:t>
      </w:r>
      <w:r>
        <w:rPr/>
        <w:t>P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Kendal,</w:t>
      </w:r>
      <w:r>
        <w:rPr>
          <w:spacing w:val="13"/>
        </w:rPr>
        <w:t> </w:t>
      </w:r>
      <w:r>
        <w:rPr/>
        <w:t>S.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(1975)</w:t>
      </w:r>
      <w:r>
        <w:rPr>
          <w:spacing w:val="12"/>
        </w:rPr>
        <w:t> </w:t>
      </w:r>
      <w:r>
        <w:rPr/>
        <w:t>Paracetamol</w:t>
      </w:r>
      <w:r>
        <w:rPr>
          <w:spacing w:val="16"/>
        </w:rPr>
        <w:t> </w:t>
      </w:r>
      <w:r>
        <w:rPr/>
        <w:t>measurement.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Lancet.,</w:t>
      </w:r>
      <w:r>
        <w:rPr>
          <w:spacing w:val="16"/>
        </w:rPr>
        <w:t> </w:t>
      </w:r>
      <w:r>
        <w:rPr/>
        <w:t>1</w:t>
      </w:r>
      <w:r>
        <w:rPr>
          <w:spacing w:val="15"/>
        </w:rPr>
        <w:t> </w:t>
      </w:r>
      <w:r>
        <w:rPr/>
        <w:t>:</w:t>
      </w:r>
      <w:r>
        <w:rPr>
          <w:spacing w:val="13"/>
        </w:rPr>
        <w:t> </w:t>
      </w:r>
      <w:r>
        <w:rPr/>
        <w:t>1147-</w:t>
      </w:r>
      <w:r>
        <w:rPr>
          <w:spacing w:val="-57"/>
        </w:rPr>
        <w:t> </w:t>
      </w:r>
      <w:r>
        <w:rPr/>
        <w:t>1148.</w:t>
      </w:r>
    </w:p>
    <w:p>
      <w:pPr>
        <w:tabs>
          <w:tab w:pos="8526" w:val="left" w:leader="none"/>
        </w:tabs>
        <w:spacing w:line="480" w:lineRule="auto" w:before="193"/>
        <w:ind w:left="2225" w:right="2079" w:hanging="900"/>
        <w:jc w:val="left"/>
        <w:rPr>
          <w:sz w:val="24"/>
        </w:rPr>
      </w:pPr>
      <w:r>
        <w:rPr>
          <w:i/>
          <w:sz w:val="24"/>
        </w:rPr>
        <w:t>Guideline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106: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adults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cancer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Scotland:</w:t>
      </w:r>
      <w:r>
        <w:rPr>
          <w:spacing w:val="-1"/>
          <w:sz w:val="24"/>
        </w:rPr>
        <w:t> </w:t>
      </w:r>
      <w:r>
        <w:rPr>
          <w:sz w:val="24"/>
        </w:rPr>
        <w:t>National</w:t>
        <w:tab/>
      </w:r>
      <w:r>
        <w:rPr>
          <w:spacing w:val="-1"/>
          <w:sz w:val="24"/>
        </w:rPr>
        <w:t>Health</w:t>
      </w:r>
      <w:r>
        <w:rPr>
          <w:spacing w:val="-57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(NHS).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2225" w:right="1414" w:hanging="900"/>
        <w:jc w:val="both"/>
      </w:pPr>
      <w:r>
        <w:rPr/>
        <w:t>Harvison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Egan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W,</w:t>
      </w:r>
      <w:r>
        <w:rPr>
          <w:spacing w:val="1"/>
        </w:rPr>
        <w:t> </w:t>
      </w:r>
      <w:r>
        <w:rPr/>
        <w:t>Gale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Nelson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"Acetaminophen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cosubstrate and inhibitor of prostaglandin H synthase". </w:t>
      </w:r>
      <w:r>
        <w:rPr>
          <w:i/>
        </w:rPr>
        <w:t>Adv. Exp. Med. Biol.</w:t>
      </w:r>
      <w:r>
        <w:rPr>
          <w:i/>
          <w:spacing w:val="1"/>
        </w:rPr>
        <w:t> </w:t>
      </w:r>
      <w:r>
        <w:rPr>
          <w:b/>
        </w:rPr>
        <w:t>197</w:t>
      </w:r>
      <w:r>
        <w:rPr/>
        <w:t>: 739–47.</w:t>
      </w:r>
    </w:p>
    <w:p>
      <w:pPr>
        <w:pStyle w:val="BodyText"/>
        <w:ind w:left="1325"/>
        <w:jc w:val="both"/>
      </w:pPr>
      <w:r>
        <w:rPr/>
        <w:t>Hendrickson,</w:t>
      </w:r>
      <w:r>
        <w:rPr>
          <w:spacing w:val="-2"/>
        </w:rPr>
        <w:t> </w:t>
      </w:r>
      <w:r>
        <w:rPr/>
        <w:t>Robert</w:t>
      </w:r>
      <w:r>
        <w:rPr>
          <w:spacing w:val="-1"/>
        </w:rPr>
        <w:t> </w:t>
      </w:r>
      <w:r>
        <w:rPr/>
        <w:t>G.; Kenneth</w:t>
      </w:r>
      <w:r>
        <w:rPr>
          <w:spacing w:val="-1"/>
        </w:rPr>
        <w:t> </w:t>
      </w:r>
      <w:r>
        <w:rPr/>
        <w:t>E.</w:t>
      </w:r>
      <w:r>
        <w:rPr>
          <w:spacing w:val="1"/>
        </w:rPr>
        <w:t> </w:t>
      </w:r>
      <w:r>
        <w:rPr/>
        <w:t>Bizovi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"</w:t>
      </w:r>
      <w:hyperlink r:id="rId73">
        <w:r>
          <w:rPr/>
          <w:t>Acetaminophen</w:t>
        </w:r>
      </w:hyperlink>
      <w:r>
        <w:rPr/>
        <w:t>",</w:t>
      </w:r>
      <w:r>
        <w:rPr>
          <w:spacing w:val="-1"/>
        </w:rPr>
        <w:t> </w:t>
      </w:r>
      <w:r>
        <w:rPr/>
        <w:t>in</w:t>
      </w:r>
      <w:r>
        <w:rPr>
          <w:spacing w:val="39"/>
        </w:rPr>
        <w:t> </w:t>
      </w:r>
      <w:r>
        <w:rPr/>
        <w:t>Nelson,</w:t>
      </w:r>
    </w:p>
    <w:p>
      <w:pPr>
        <w:pStyle w:val="BodyText"/>
      </w:pPr>
    </w:p>
    <w:p>
      <w:pPr>
        <w:spacing w:line="480" w:lineRule="auto" w:before="0"/>
        <w:ind w:left="2765" w:right="1410" w:hanging="540"/>
        <w:jc w:val="left"/>
        <w:rPr>
          <w:sz w:val="24"/>
        </w:rPr>
      </w:pPr>
      <w:r>
        <w:rPr>
          <w:sz w:val="24"/>
        </w:rPr>
        <w:t>Lewis</w:t>
      </w:r>
      <w:r>
        <w:rPr>
          <w:spacing w:val="42"/>
          <w:sz w:val="24"/>
        </w:rPr>
        <w:t> </w:t>
      </w:r>
      <w:r>
        <w:rPr>
          <w:sz w:val="24"/>
        </w:rPr>
        <w:t>H.;</w:t>
      </w:r>
      <w:r>
        <w:rPr>
          <w:spacing w:val="42"/>
          <w:sz w:val="24"/>
        </w:rPr>
        <w:t> </w:t>
      </w:r>
      <w:r>
        <w:rPr>
          <w:sz w:val="24"/>
        </w:rPr>
        <w:t>Flomenbaum,</w:t>
      </w:r>
      <w:r>
        <w:rPr>
          <w:spacing w:val="42"/>
          <w:sz w:val="24"/>
        </w:rPr>
        <w:t> </w:t>
      </w:r>
      <w:r>
        <w:rPr>
          <w:sz w:val="24"/>
        </w:rPr>
        <w:t>Neal;</w:t>
      </w:r>
      <w:r>
        <w:rPr>
          <w:spacing w:val="42"/>
          <w:sz w:val="24"/>
        </w:rPr>
        <w:t> </w:t>
      </w:r>
      <w:r>
        <w:rPr>
          <w:sz w:val="24"/>
        </w:rPr>
        <w:t>Goldfrank,</w:t>
      </w:r>
      <w:r>
        <w:rPr>
          <w:spacing w:val="44"/>
          <w:sz w:val="24"/>
        </w:rPr>
        <w:t> </w:t>
      </w:r>
      <w:r>
        <w:rPr>
          <w:sz w:val="24"/>
        </w:rPr>
        <w:t>Lewis</w:t>
      </w:r>
      <w:r>
        <w:rPr>
          <w:spacing w:val="42"/>
          <w:sz w:val="24"/>
        </w:rPr>
        <w:t> </w:t>
      </w:r>
      <w:r>
        <w:rPr>
          <w:sz w:val="24"/>
        </w:rPr>
        <w:t>R.</w:t>
      </w:r>
      <w:r>
        <w:rPr>
          <w:spacing w:val="4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Goldfrank's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toxicologic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emergencies</w:t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p.</w:t>
      </w:r>
      <w:r>
        <w:rPr>
          <w:spacing w:val="10"/>
          <w:sz w:val="24"/>
        </w:rPr>
        <w:t> </w:t>
      </w:r>
      <w:r>
        <w:rPr>
          <w:sz w:val="24"/>
        </w:rPr>
        <w:t>525,</w:t>
      </w:r>
      <w:r>
        <w:rPr>
          <w:spacing w:val="13"/>
          <w:sz w:val="24"/>
        </w:rPr>
        <w:t> </w:t>
      </w:r>
      <w:r>
        <w:rPr>
          <w:sz w:val="24"/>
        </w:rPr>
        <w:t>New</w:t>
      </w:r>
      <w:r>
        <w:rPr>
          <w:spacing w:val="12"/>
          <w:sz w:val="24"/>
        </w:rPr>
        <w:t> </w:t>
      </w:r>
      <w:r>
        <w:rPr>
          <w:sz w:val="24"/>
        </w:rPr>
        <w:t>York:</w:t>
      </w:r>
      <w:r>
        <w:rPr>
          <w:spacing w:val="13"/>
          <w:sz w:val="24"/>
        </w:rPr>
        <w:t> </w:t>
      </w:r>
      <w:r>
        <w:rPr>
          <w:sz w:val="24"/>
        </w:rPr>
        <w:t>McGraw-Hill.</w:t>
      </w:r>
      <w:r>
        <w:rPr>
          <w:spacing w:val="10"/>
          <w:sz w:val="24"/>
        </w:rPr>
        <w:t> </w:t>
      </w:r>
      <w:r>
        <w:rPr>
          <w:sz w:val="24"/>
        </w:rPr>
        <w:t>Retrieved</w:t>
      </w:r>
      <w:r>
        <w:rPr>
          <w:spacing w:val="12"/>
          <w:sz w:val="24"/>
        </w:rPr>
        <w:t> </w:t>
      </w:r>
      <w:r>
        <w:rPr>
          <w:sz w:val="24"/>
        </w:rPr>
        <w:t>on</w:t>
      </w:r>
    </w:p>
    <w:p>
      <w:pPr>
        <w:pStyle w:val="BodyText"/>
        <w:spacing w:before="1"/>
        <w:ind w:left="2225"/>
      </w:pPr>
      <w:r>
        <w:rPr/>
        <w:t>January</w:t>
      </w:r>
      <w:r>
        <w:rPr>
          <w:spacing w:val="-5"/>
        </w:rPr>
        <w:t> </w:t>
      </w:r>
      <w:r>
        <w:rPr/>
        <w:t>18, 2009</w:t>
      </w:r>
    </w:p>
    <w:p>
      <w:pPr>
        <w:pStyle w:val="BodyText"/>
      </w:pPr>
    </w:p>
    <w:p>
      <w:pPr>
        <w:spacing w:line="480" w:lineRule="auto" w:before="0"/>
        <w:ind w:left="2225" w:right="1416" w:hanging="900"/>
        <w:jc w:val="right"/>
        <w:rPr>
          <w:i/>
          <w:sz w:val="24"/>
        </w:rPr>
      </w:pPr>
      <w:r>
        <w:rPr>
          <w:sz w:val="24"/>
        </w:rPr>
        <w:t>Hinz,</w:t>
      </w:r>
      <w:r>
        <w:rPr>
          <w:spacing w:val="27"/>
          <w:sz w:val="24"/>
        </w:rPr>
        <w:t> </w:t>
      </w:r>
      <w:r>
        <w:rPr>
          <w:sz w:val="24"/>
        </w:rPr>
        <w:t>B.;</w:t>
      </w:r>
      <w:r>
        <w:rPr>
          <w:spacing w:val="28"/>
          <w:sz w:val="24"/>
        </w:rPr>
        <w:t> </w:t>
      </w:r>
      <w:r>
        <w:rPr>
          <w:sz w:val="24"/>
        </w:rPr>
        <w:t>Cheremina,</w:t>
      </w:r>
      <w:r>
        <w:rPr>
          <w:spacing w:val="27"/>
          <w:sz w:val="24"/>
        </w:rPr>
        <w:t> </w:t>
      </w:r>
      <w:r>
        <w:rPr>
          <w:sz w:val="24"/>
        </w:rPr>
        <w:t>O.;</w:t>
      </w:r>
      <w:r>
        <w:rPr>
          <w:spacing w:val="27"/>
          <w:sz w:val="24"/>
        </w:rPr>
        <w:t> </w:t>
      </w:r>
      <w:r>
        <w:rPr>
          <w:sz w:val="24"/>
        </w:rPr>
        <w:t>Brune,</w:t>
      </w:r>
      <w:r>
        <w:rPr>
          <w:spacing w:val="27"/>
          <w:sz w:val="24"/>
        </w:rPr>
        <w:t> </w:t>
      </w:r>
      <w:r>
        <w:rPr>
          <w:sz w:val="24"/>
        </w:rPr>
        <w:t>K.</w:t>
      </w:r>
      <w:r>
        <w:rPr>
          <w:spacing w:val="27"/>
          <w:sz w:val="24"/>
        </w:rPr>
        <w:t> </w:t>
      </w:r>
      <w:r>
        <w:rPr>
          <w:sz w:val="24"/>
        </w:rPr>
        <w:t>(2008).</w:t>
      </w:r>
      <w:r>
        <w:rPr>
          <w:spacing w:val="29"/>
          <w:sz w:val="24"/>
        </w:rPr>
        <w:t> </w:t>
      </w:r>
      <w:r>
        <w:rPr>
          <w:sz w:val="24"/>
        </w:rPr>
        <w:t>"Acetaminophen</w:t>
      </w:r>
      <w:r>
        <w:rPr>
          <w:spacing w:val="27"/>
          <w:sz w:val="24"/>
        </w:rPr>
        <w:t> </w:t>
      </w:r>
      <w:r>
        <w:rPr>
          <w:sz w:val="24"/>
        </w:rPr>
        <w:t>(paracetamol)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selective</w:t>
      </w:r>
      <w:r>
        <w:rPr>
          <w:spacing w:val="52"/>
          <w:sz w:val="24"/>
        </w:rPr>
        <w:t> </w:t>
      </w:r>
      <w:r>
        <w:rPr>
          <w:sz w:val="24"/>
        </w:rPr>
        <w:t>cyclooxygenase-2</w:t>
      </w:r>
      <w:r>
        <w:rPr>
          <w:spacing w:val="53"/>
          <w:sz w:val="24"/>
        </w:rPr>
        <w:t> </w:t>
      </w:r>
      <w:r>
        <w:rPr>
          <w:sz w:val="24"/>
        </w:rPr>
        <w:t>inhibitor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man."</w:t>
      </w:r>
      <w:r>
        <w:rPr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FASEB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journal: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Societies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Experimental</w:t>
      </w:r>
    </w:p>
    <w:p>
      <w:pPr>
        <w:spacing w:before="0"/>
        <w:ind w:left="2225" w:right="0" w:firstLine="0"/>
        <w:jc w:val="left"/>
        <w:rPr>
          <w:sz w:val="24"/>
        </w:rPr>
      </w:pP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22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383–390.</w:t>
      </w:r>
    </w:p>
    <w:p>
      <w:pPr>
        <w:pStyle w:val="BodyText"/>
      </w:pPr>
    </w:p>
    <w:p>
      <w:pPr>
        <w:pStyle w:val="BodyText"/>
        <w:tabs>
          <w:tab w:pos="7806" w:val="left" w:leader="none"/>
        </w:tabs>
        <w:spacing w:line="480" w:lineRule="auto"/>
        <w:ind w:left="2225" w:right="1416" w:hanging="900"/>
        <w:jc w:val="both"/>
      </w:pPr>
      <w:r>
        <w:rPr/>
        <w:t>Högestätt ED, Jönsson BA, Ermund A (2005). "Conversion of acetaminophen to the</w:t>
      </w:r>
      <w:r>
        <w:rPr>
          <w:spacing w:val="1"/>
        </w:rPr>
        <w:t> </w:t>
      </w:r>
      <w:r>
        <w:rPr/>
        <w:t>bioactive</w:t>
      </w:r>
      <w:r>
        <w:rPr>
          <w:spacing w:val="-1"/>
        </w:rPr>
        <w:t> </w:t>
      </w:r>
      <w:r>
        <w:rPr/>
        <w:t>N-acylphenolamine</w:t>
      </w:r>
      <w:r>
        <w:rPr>
          <w:spacing w:val="-1"/>
        </w:rPr>
        <w:t> </w:t>
      </w:r>
      <w:r>
        <w:rPr/>
        <w:t>AM404 via fatty</w:t>
      </w:r>
      <w:r>
        <w:rPr>
          <w:spacing w:val="-5"/>
        </w:rPr>
        <w:t> </w:t>
      </w:r>
      <w:r>
        <w:rPr/>
        <w:t>acid</w:t>
        <w:tab/>
        <w:t>amide</w:t>
      </w:r>
      <w:r>
        <w:rPr>
          <w:spacing w:val="1"/>
        </w:rPr>
        <w:t> </w:t>
      </w:r>
      <w:r>
        <w:rPr/>
        <w:t>hydrolase-</w:t>
      </w:r>
      <w:r>
        <w:rPr>
          <w:spacing w:val="-57"/>
        </w:rPr>
        <w:t> </w:t>
      </w:r>
      <w:r>
        <w:rPr/>
        <w:t>dependent arachidonic acid conjugation in the nervous</w:t>
      </w:r>
      <w:r>
        <w:rPr>
          <w:spacing w:val="1"/>
        </w:rPr>
        <w:t> </w:t>
      </w:r>
      <w:r>
        <w:rPr/>
        <w:t>system".</w:t>
      </w:r>
      <w:r>
        <w:rPr>
          <w:spacing w:val="61"/>
        </w:rPr>
        <w:t> </w:t>
      </w:r>
      <w:r>
        <w:rPr>
          <w:i/>
        </w:rPr>
        <w:t>J.</w:t>
      </w:r>
      <w:r>
        <w:rPr>
          <w:i/>
          <w:spacing w:val="61"/>
        </w:rPr>
        <w:t> </w:t>
      </w:r>
      <w:r>
        <w:rPr>
          <w:i/>
        </w:rPr>
        <w:t>Biol.</w:t>
      </w:r>
      <w:r>
        <w:rPr>
          <w:i/>
          <w:spacing w:val="1"/>
        </w:rPr>
        <w:t> </w:t>
      </w:r>
      <w:r>
        <w:rPr>
          <w:i/>
        </w:rPr>
        <w:t>Chem.</w:t>
      </w:r>
      <w:r>
        <w:rPr>
          <w:i/>
          <w:spacing w:val="-1"/>
        </w:rPr>
        <w:t> </w:t>
      </w:r>
      <w:r>
        <w:rPr>
          <w:b/>
        </w:rPr>
        <w:t>280 </w:t>
      </w:r>
      <w:r>
        <w:rPr/>
        <w:t>(36): 31405–12.</w:t>
      </w:r>
    </w:p>
    <w:p>
      <w:pPr>
        <w:spacing w:before="202"/>
        <w:ind w:left="1325" w:right="0" w:firstLine="0"/>
        <w:jc w:val="both"/>
        <w:rPr>
          <w:sz w:val="24"/>
        </w:rPr>
      </w:pPr>
      <w:r>
        <w:rPr>
          <w:sz w:val="24"/>
        </w:rPr>
        <w:t>Jacob</w:t>
      </w:r>
      <w:r>
        <w:rPr>
          <w:spacing w:val="-2"/>
          <w:sz w:val="24"/>
        </w:rPr>
        <w:t> </w:t>
      </w:r>
      <w:r>
        <w:rPr>
          <w:sz w:val="24"/>
        </w:rPr>
        <w:t>Don</w:t>
      </w:r>
      <w:r>
        <w:rPr>
          <w:spacing w:val="-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Tablet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Friability,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Hardness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Dissolution”</w:t>
      </w:r>
      <w:r>
        <w:rPr>
          <w:i/>
          <w:spacing w:val="-2"/>
          <w:sz w:val="24"/>
        </w:rPr>
        <w:t> </w:t>
      </w:r>
      <w:r>
        <w:rPr>
          <w:sz w:val="24"/>
        </w:rPr>
        <w:t>Slideshare.net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2225" w:right="1414" w:hanging="900"/>
        <w:jc w:val="both"/>
      </w:pPr>
      <w:r>
        <w:rPr/>
        <w:t>Jaffe,</w:t>
      </w:r>
      <w:r>
        <w:rPr>
          <w:spacing w:val="1"/>
        </w:rPr>
        <w:t> </w:t>
      </w:r>
      <w:r>
        <w:rPr/>
        <w:t>J. M., Collaizzi, J. L., Barry, H. (1971). Effects of dietary components on G. I</w:t>
      </w:r>
      <w:r>
        <w:rPr>
          <w:spacing w:val="1"/>
        </w:rPr>
        <w:t> </w:t>
      </w:r>
      <w:r>
        <w:rPr/>
        <w:t>absorption of acetaminophen tablets in man. J. Pharm. Sci. 60(11) : 1646 –</w:t>
      </w:r>
      <w:r>
        <w:rPr>
          <w:spacing w:val="1"/>
        </w:rPr>
        <w:t> </w:t>
      </w:r>
      <w:r>
        <w:rPr/>
        <w:t>1650</w:t>
      </w:r>
    </w:p>
    <w:p>
      <w:pPr>
        <w:spacing w:line="480" w:lineRule="auto" w:before="192"/>
        <w:ind w:left="2225" w:right="1414" w:hanging="900"/>
        <w:jc w:val="both"/>
        <w:rPr>
          <w:sz w:val="24"/>
        </w:rPr>
      </w:pPr>
      <w:r>
        <w:rPr>
          <w:sz w:val="24"/>
        </w:rPr>
        <w:t>Kaplan, S. A and Jack, M. L (1980). </w:t>
      </w:r>
      <w:r>
        <w:rPr>
          <w:i/>
          <w:sz w:val="24"/>
        </w:rPr>
        <w:t>Pharmacokinetics as a tool in drug development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Progress in drug metabolism Ed. Bidges, J. W and Chasseaud, L.F. A Wiley-</w:t>
      </w:r>
      <w:r>
        <w:rPr>
          <w:spacing w:val="1"/>
          <w:sz w:val="24"/>
        </w:rPr>
        <w:t> </w:t>
      </w:r>
      <w:r>
        <w:rPr>
          <w:sz w:val="24"/>
        </w:rPr>
        <w:t>interscience</w:t>
      </w:r>
      <w:r>
        <w:rPr>
          <w:spacing w:val="-2"/>
          <w:sz w:val="24"/>
        </w:rPr>
        <w:t> </w:t>
      </w:r>
      <w:r>
        <w:rPr>
          <w:sz w:val="24"/>
        </w:rPr>
        <w:t>Publication. J Wiley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sons</w:t>
      </w:r>
      <w:r>
        <w:rPr>
          <w:spacing w:val="2"/>
          <w:sz w:val="24"/>
        </w:rPr>
        <w:t> </w:t>
      </w:r>
      <w:r>
        <w:rPr>
          <w:sz w:val="24"/>
        </w:rPr>
        <w:t>Ltd., pp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3"/>
          <w:sz w:val="24"/>
        </w:rPr>
        <w:t> </w:t>
      </w:r>
      <w:r>
        <w:rPr>
          <w:sz w:val="24"/>
        </w:rPr>
        <w:t>-51.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13" w:hanging="900"/>
        <w:jc w:val="left"/>
        <w:rPr>
          <w:sz w:val="24"/>
        </w:rPr>
      </w:pPr>
      <w:r>
        <w:rPr>
          <w:sz w:val="24"/>
        </w:rPr>
        <w:t>Karthikeyan, M.; Glen, R. C.; Bender, A. (2005). "</w:t>
      </w:r>
      <w:r>
        <w:rPr>
          <w:i/>
          <w:sz w:val="24"/>
        </w:rPr>
        <w:t>General Melting Point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Prediction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Diverse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Compound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Artificial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Neural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".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Chemical Information and Modeling </w:t>
      </w:r>
      <w:r>
        <w:rPr>
          <w:b/>
          <w:sz w:val="24"/>
        </w:rPr>
        <w:t>45</w:t>
      </w:r>
      <w:r>
        <w:rPr>
          <w:b/>
          <w:spacing w:val="-1"/>
          <w:sz w:val="24"/>
        </w:rPr>
        <w:t> </w:t>
      </w:r>
      <w:r>
        <w:rPr>
          <w:sz w:val="24"/>
        </w:rPr>
        <w:t>(3): 581–590.</w:t>
      </w:r>
    </w:p>
    <w:p>
      <w:pPr>
        <w:pStyle w:val="BodyText"/>
        <w:spacing w:before="202"/>
        <w:ind w:left="1325"/>
      </w:pPr>
      <w:r>
        <w:rPr/>
        <w:t>Katz,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M., Pearson,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M. and</w:t>
      </w:r>
      <w:r>
        <w:rPr>
          <w:spacing w:val="-1"/>
        </w:rPr>
        <w:t> </w:t>
      </w:r>
      <w:r>
        <w:rPr/>
        <w:t>Kennedy,</w:t>
      </w:r>
      <w:r>
        <w:rPr>
          <w:spacing w:val="-1"/>
        </w:rPr>
        <w:t> </w:t>
      </w:r>
      <w:r>
        <w:rPr/>
        <w:t>J. M.</w:t>
      </w:r>
      <w:r>
        <w:rPr>
          <w:spacing w:val="-1"/>
        </w:rPr>
        <w:t> </w:t>
      </w:r>
      <w:r>
        <w:rPr/>
        <w:t>(1968).</w:t>
      </w:r>
      <w:r>
        <w:rPr>
          <w:spacing w:val="-1"/>
        </w:rPr>
        <w:t> </w:t>
      </w:r>
      <w:r>
        <w:rPr/>
        <w:t>Clin. Pharmacol</w:t>
      </w:r>
      <w:r>
        <w:rPr>
          <w:spacing w:val="-1"/>
        </w:rPr>
        <w:t> </w:t>
      </w:r>
      <w:r>
        <w:rPr/>
        <w:t>Ther.,</w:t>
      </w:r>
      <w:r>
        <w:rPr>
          <w:spacing w:val="-1"/>
        </w:rPr>
        <w:t> </w:t>
      </w:r>
      <w:r>
        <w:rPr/>
        <w:t>6 :</w:t>
      </w:r>
      <w:r>
        <w:rPr>
          <w:spacing w:val="-1"/>
        </w:rPr>
        <w:t> </w:t>
      </w:r>
      <w:r>
        <w:rPr/>
        <w:t>25</w:t>
      </w:r>
    </w:p>
    <w:p>
      <w:pPr>
        <w:pStyle w:val="BodyText"/>
        <w:rPr>
          <w:sz w:val="26"/>
        </w:rPr>
      </w:pPr>
    </w:p>
    <w:p>
      <w:pPr>
        <w:spacing w:line="482" w:lineRule="auto" w:before="174"/>
        <w:ind w:left="2225" w:right="1415" w:hanging="900"/>
        <w:jc w:val="both"/>
        <w:rPr>
          <w:sz w:val="24"/>
        </w:rPr>
      </w:pPr>
      <w:r>
        <w:rPr>
          <w:sz w:val="24"/>
        </w:rPr>
        <w:t>Khashab M, Tector AJ, Kwo PY (2007). "Epidemiology of acute liver failure". </w:t>
      </w:r>
      <w:r>
        <w:rPr>
          <w:i/>
          <w:sz w:val="24"/>
        </w:rPr>
        <w:t>Curr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 </w:t>
      </w:r>
      <w:r>
        <w:rPr>
          <w:b/>
          <w:sz w:val="24"/>
        </w:rPr>
        <w:t>9 </w:t>
      </w:r>
      <w:r>
        <w:rPr>
          <w:sz w:val="24"/>
        </w:rPr>
        <w:t>(1):</w:t>
      </w:r>
      <w:r>
        <w:rPr>
          <w:spacing w:val="2"/>
          <w:sz w:val="24"/>
        </w:rPr>
        <w:t> </w:t>
      </w:r>
      <w:r>
        <w:rPr>
          <w:sz w:val="24"/>
        </w:rPr>
        <w:t>66–73.</w:t>
      </w:r>
    </w:p>
    <w:p>
      <w:pPr>
        <w:pStyle w:val="BodyText"/>
        <w:spacing w:line="482" w:lineRule="auto" w:before="196"/>
        <w:ind w:left="2225" w:right="1546" w:hanging="900"/>
        <w:jc w:val="both"/>
      </w:pPr>
      <w:r>
        <w:rPr/>
        <w:t>Köfalvi A (2008). "9. Alternative interacting sites and novel receptors for</w:t>
      </w:r>
      <w:r>
        <w:rPr>
          <w:spacing w:val="1"/>
        </w:rPr>
        <w:t> </w:t>
      </w:r>
      <w:r>
        <w:rPr/>
        <w:t>cannabinoid</w:t>
      </w:r>
      <w:r>
        <w:rPr>
          <w:spacing w:val="-57"/>
        </w:rPr>
        <w:t> </w:t>
      </w:r>
      <w:r>
        <w:rPr>
          <w:spacing w:val="-1"/>
        </w:rPr>
        <w:t>ligands".</w:t>
      </w:r>
      <w:r>
        <w:rPr>
          <w:spacing w:val="1"/>
        </w:rPr>
        <w:t> </w:t>
      </w:r>
      <w:r>
        <w:rPr>
          <w:i/>
          <w:spacing w:val="-1"/>
        </w:rPr>
        <w:t>Cannabinoids</w:t>
      </w:r>
      <w:r>
        <w:rPr>
          <w:i/>
          <w:spacing w:val="1"/>
        </w:rPr>
        <w:t> </w:t>
      </w:r>
      <w:r>
        <w:rPr>
          <w:i/>
        </w:rPr>
        <w:t>and the Brain</w:t>
      </w:r>
      <w:r>
        <w:rPr/>
        <w:t>. Springer-Verlag.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131–</w:t>
      </w:r>
      <w:r>
        <w:rPr>
          <w:spacing w:val="-36"/>
        </w:rPr>
        <w:t> </w:t>
      </w:r>
      <w:r>
        <w:rPr/>
        <w:t>160.</w:t>
      </w:r>
    </w:p>
    <w:p>
      <w:pPr>
        <w:spacing w:line="482" w:lineRule="auto" w:before="194"/>
        <w:ind w:left="2225" w:right="1413" w:hanging="900"/>
        <w:jc w:val="both"/>
        <w:rPr>
          <w:sz w:val="24"/>
        </w:rPr>
      </w:pPr>
      <w:r>
        <w:rPr>
          <w:sz w:val="24"/>
        </w:rPr>
        <w:t>Larson A.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Polson J, Fontana R.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sz w:val="24"/>
        </w:rPr>
        <w:t>Davern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sz w:val="24"/>
        </w:rPr>
        <w:t>Lalani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Hynan</w:t>
      </w:r>
      <w:r>
        <w:rPr>
          <w:spacing w:val="1"/>
          <w:sz w:val="24"/>
        </w:rPr>
        <w:t> </w:t>
      </w:r>
      <w:r>
        <w:rPr>
          <w:sz w:val="24"/>
        </w:rPr>
        <w:t>L S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Acetaminophen-induced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failure: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multicenter,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prospective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". </w:t>
      </w:r>
      <w:r>
        <w:rPr>
          <w:i/>
          <w:sz w:val="24"/>
        </w:rPr>
        <w:t>Hepatology</w:t>
      </w:r>
      <w:r>
        <w:rPr>
          <w:i/>
          <w:spacing w:val="-2"/>
          <w:sz w:val="24"/>
        </w:rPr>
        <w:t> </w:t>
      </w:r>
      <w:r>
        <w:rPr>
          <w:sz w:val="24"/>
        </w:rPr>
        <w:t>2005,</w:t>
      </w:r>
      <w:r>
        <w:rPr>
          <w:spacing w:val="2"/>
          <w:sz w:val="24"/>
        </w:rPr>
        <w:t> </w:t>
      </w:r>
      <w:r>
        <w:rPr>
          <w:b/>
          <w:sz w:val="24"/>
        </w:rPr>
        <w:t>42 </w:t>
      </w:r>
      <w:r>
        <w:rPr>
          <w:sz w:val="24"/>
        </w:rPr>
        <w:t>(6): 1364–72.</w:t>
      </w:r>
    </w:p>
    <w:p>
      <w:pPr>
        <w:pStyle w:val="BodyText"/>
        <w:spacing w:line="480" w:lineRule="auto" w:before="192"/>
        <w:ind w:left="2225" w:right="1412" w:hanging="778"/>
        <w:jc w:val="both"/>
      </w:pPr>
      <w:r>
        <w:rPr/>
        <w:t>Laurence Toms, Sheena Derry, R Andrew Moore, Henry J McQuay (2009). "Single</w:t>
      </w:r>
      <w:r>
        <w:rPr>
          <w:spacing w:val="1"/>
        </w:rPr>
        <w:t> </w:t>
      </w:r>
      <w:r>
        <w:rPr/>
        <w:t>dose oral paracetamol (acetaminophen) with codeine for postoperative pain in</w:t>
      </w:r>
      <w:r>
        <w:rPr>
          <w:spacing w:val="1"/>
        </w:rPr>
        <w:t> </w:t>
      </w:r>
      <w:r>
        <w:rPr/>
        <w:t>adults". Cochrane Database of systematic reviews 2009, Issue I. Art no: CD</w:t>
      </w:r>
      <w:r>
        <w:rPr>
          <w:spacing w:val="1"/>
        </w:rPr>
        <w:t> </w:t>
      </w:r>
      <w:r>
        <w:rPr/>
        <w:t>00157. Doi:10.1002/14651858.CD 001547. Pub 2</w:t>
      </w:r>
    </w:p>
    <w:p>
      <w:pPr>
        <w:pStyle w:val="BodyText"/>
        <w:spacing w:line="482" w:lineRule="auto" w:before="202"/>
        <w:ind w:left="2225" w:right="1417" w:hanging="900"/>
        <w:jc w:val="both"/>
      </w:pPr>
      <w:r>
        <w:rPr/>
        <w:t>Lawrence, J.; Moore, E.; Port, L.; Danchin, M.; Connell, T. (2009). "Paracetamol as a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 for allergic</w:t>
      </w:r>
      <w:r>
        <w:rPr>
          <w:spacing w:val="-2"/>
        </w:rPr>
        <w:t> </w:t>
      </w:r>
      <w:r>
        <w:rPr/>
        <w:t>disorders".</w:t>
      </w:r>
      <w:r>
        <w:rPr>
          <w:spacing w:val="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Lancet </w:t>
      </w:r>
      <w:r>
        <w:rPr>
          <w:b/>
        </w:rPr>
        <w:t>373 </w:t>
      </w:r>
      <w:r>
        <w:rPr/>
        <w:t>(9658):</w:t>
      </w:r>
      <w:r>
        <w:rPr>
          <w:spacing w:val="6"/>
        </w:rPr>
        <w:t> </w:t>
      </w:r>
      <w:r>
        <w:rPr/>
        <w:t>119–119.</w:t>
      </w:r>
    </w:p>
    <w:p>
      <w:pPr>
        <w:pStyle w:val="BodyText"/>
        <w:spacing w:line="482" w:lineRule="auto" w:before="194"/>
        <w:ind w:left="2225" w:right="1423" w:hanging="900"/>
        <w:jc w:val="both"/>
      </w:pPr>
      <w:r>
        <w:rPr/>
        <w:t>Lee WM (2004). "Acetaminophen and the U. S. Acute Liver Failure Study Group:</w:t>
      </w:r>
      <w:r>
        <w:rPr>
          <w:spacing w:val="1"/>
        </w:rPr>
        <w:t> </w:t>
      </w:r>
      <w:r>
        <w:rPr/>
        <w:t>lowering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risks of hepatic</w:t>
      </w:r>
      <w:r>
        <w:rPr>
          <w:spacing w:val="-1"/>
        </w:rPr>
        <w:t> </w:t>
      </w:r>
      <w:r>
        <w:rPr/>
        <w:t>failure".</w:t>
      </w:r>
      <w:r>
        <w:rPr>
          <w:spacing w:val="2"/>
        </w:rPr>
        <w:t> </w:t>
      </w:r>
      <w:r>
        <w:rPr>
          <w:i/>
        </w:rPr>
        <w:t>Hepatology</w:t>
      </w:r>
      <w:r>
        <w:rPr>
          <w:i/>
          <w:spacing w:val="1"/>
        </w:rPr>
        <w:t> </w:t>
      </w:r>
      <w:r>
        <w:rPr>
          <w:b/>
        </w:rPr>
        <w:t>40 </w:t>
      </w:r>
      <w:r>
        <w:rPr/>
        <w:t>(1): 6–9.</w:t>
      </w:r>
    </w:p>
    <w:p>
      <w:pPr>
        <w:pStyle w:val="BodyText"/>
        <w:spacing w:line="480" w:lineRule="auto" w:before="194"/>
        <w:ind w:left="2225" w:right="1419" w:hanging="900"/>
        <w:jc w:val="both"/>
      </w:pPr>
      <w:r>
        <w:rPr/>
        <w:t>Lester D, Greenberg L. A, Carroll R. P (1947). </w:t>
      </w:r>
      <w:hyperlink r:id="rId74">
        <w:r>
          <w:rPr/>
          <w:t>"The metabolic fate of acetanilid and</w:t>
        </w:r>
      </w:hyperlink>
      <w:r>
        <w:rPr>
          <w:spacing w:val="1"/>
        </w:rPr>
        <w:t> </w:t>
      </w:r>
      <w:hyperlink r:id="rId74">
        <w:r>
          <w:rPr/>
          <w:t>other aniline derivatives: II. Major metabolites of acetanilid appearing in the</w:t>
        </w:r>
      </w:hyperlink>
      <w:r>
        <w:rPr>
          <w:spacing w:val="1"/>
        </w:rPr>
        <w:t> </w:t>
      </w:r>
      <w:hyperlink r:id="rId74">
        <w:r>
          <w:rPr/>
          <w:t>blood".</w:t>
        </w:r>
      </w:hyperlink>
      <w:r>
        <w:rPr>
          <w:spacing w:val="-1"/>
        </w:rPr>
        <w:t> </w:t>
      </w:r>
      <w:r>
        <w:rPr>
          <w:i/>
        </w:rPr>
        <w:t>J. Pharmacol. Exp. Ther.</w:t>
      </w:r>
      <w:r>
        <w:rPr>
          <w:i/>
          <w:spacing w:val="1"/>
        </w:rPr>
        <w:t> </w:t>
      </w:r>
      <w:r>
        <w:rPr>
          <w:b/>
        </w:rPr>
        <w:t>90 </w:t>
      </w:r>
      <w:r>
        <w:rPr/>
        <w:t>(1): 68–75.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2225" w:right="1415" w:hanging="900"/>
        <w:jc w:val="both"/>
      </w:pPr>
      <w:r>
        <w:rPr/>
        <w:t>Levy, G., Leonards, J. R and Procknol, J. A. (1965). Development of in vitro dissolution</w:t>
      </w:r>
      <w:r>
        <w:rPr>
          <w:spacing w:val="-57"/>
        </w:rPr>
        <w:t> </w:t>
      </w:r>
      <w:r>
        <w:rPr/>
        <w:t>test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quantitatively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limited</w:t>
      </w:r>
      <w:r>
        <w:rPr>
          <w:spacing w:val="60"/>
        </w:rPr>
        <w:t> </w:t>
      </w:r>
      <w:r>
        <w:rPr/>
        <w:t>drug</w:t>
      </w:r>
      <w:r>
        <w:rPr>
          <w:spacing w:val="1"/>
        </w:rPr>
        <w:t> </w:t>
      </w:r>
      <w:r>
        <w:rPr/>
        <w:t>bsorption</w:t>
      </w:r>
      <w:r>
        <w:rPr>
          <w:spacing w:val="-1"/>
        </w:rPr>
        <w:t> </w:t>
      </w:r>
      <w:r>
        <w:rPr/>
        <w:t>in man. J.</w:t>
      </w:r>
      <w:r>
        <w:rPr>
          <w:spacing w:val="-3"/>
        </w:rPr>
        <w:t> </w:t>
      </w:r>
      <w:r>
        <w:rPr/>
        <w:t>Pharm sci. 54 (12): 1719</w:t>
      </w:r>
      <w:r>
        <w:rPr>
          <w:spacing w:val="2"/>
        </w:rPr>
        <w:t> </w:t>
      </w:r>
      <w:r>
        <w:rPr/>
        <w:t>-1722.</w:t>
      </w:r>
    </w:p>
    <w:p>
      <w:pPr>
        <w:pStyle w:val="BodyText"/>
        <w:spacing w:line="482" w:lineRule="auto" w:before="199"/>
        <w:ind w:left="2225" w:right="1420" w:hanging="900"/>
        <w:jc w:val="both"/>
      </w:pPr>
      <w:r>
        <w:rPr/>
        <w:t>Linderbaum, J., Mellow, M. H., Blackstone, M.</w:t>
      </w:r>
      <w:r>
        <w:rPr>
          <w:spacing w:val="1"/>
        </w:rPr>
        <w:t> </w:t>
      </w:r>
      <w:r>
        <w:rPr/>
        <w:t>O., and</w:t>
      </w:r>
      <w:r>
        <w:rPr>
          <w:spacing w:val="1"/>
        </w:rPr>
        <w:t> </w:t>
      </w:r>
      <w:r>
        <w:rPr/>
        <w:t>Butler, V. P.,</w:t>
      </w:r>
      <w:r>
        <w:rPr>
          <w:spacing w:val="60"/>
        </w:rPr>
        <w:t> </w:t>
      </w:r>
      <w:r>
        <w:rPr/>
        <w:t>(1971). New</w:t>
      </w:r>
      <w:r>
        <w:rPr>
          <w:spacing w:val="1"/>
        </w:rPr>
        <w:t> </w:t>
      </w:r>
      <w:r>
        <w:rPr/>
        <w:t>Engl.</w:t>
      </w:r>
      <w:r>
        <w:rPr>
          <w:spacing w:val="-1"/>
        </w:rPr>
        <w:t> </w:t>
      </w:r>
      <w:r>
        <w:rPr/>
        <w:t>J. Med., 285: 1344</w:t>
      </w:r>
    </w:p>
    <w:p>
      <w:pPr>
        <w:pStyle w:val="BodyText"/>
        <w:spacing w:before="197"/>
        <w:ind w:left="1325"/>
      </w:pPr>
      <w:r>
        <w:rPr/>
        <w:t>Lozinski,</w:t>
      </w:r>
      <w:r>
        <w:rPr>
          <w:spacing w:val="-1"/>
        </w:rPr>
        <w:t> </w:t>
      </w:r>
      <w:r>
        <w:rPr/>
        <w:t>E,</w:t>
      </w:r>
      <w:r>
        <w:rPr>
          <w:spacing w:val="-1"/>
        </w:rPr>
        <w:t> </w:t>
      </w:r>
      <w:r>
        <w:rPr/>
        <w:t>(1960). J.</w:t>
      </w:r>
      <w:r>
        <w:rPr>
          <w:spacing w:val="-1"/>
        </w:rPr>
        <w:t> </w:t>
      </w:r>
      <w:r>
        <w:rPr/>
        <w:t>Canad. Med.</w:t>
      </w:r>
      <w:r>
        <w:rPr>
          <w:spacing w:val="-1"/>
        </w:rPr>
        <w:t> </w:t>
      </w:r>
      <w:r>
        <w:rPr/>
        <w:t>Assoc., 83:</w:t>
      </w:r>
      <w:r>
        <w:rPr>
          <w:spacing w:val="-1"/>
        </w:rPr>
        <w:t> </w:t>
      </w:r>
      <w:r>
        <w:rPr/>
        <w:t>177</w:t>
      </w:r>
    </w:p>
    <w:p>
      <w:pPr>
        <w:pStyle w:val="BodyText"/>
        <w:rPr>
          <w:sz w:val="26"/>
        </w:rPr>
      </w:pPr>
    </w:p>
    <w:p>
      <w:pPr>
        <w:spacing w:line="482" w:lineRule="auto" w:before="176"/>
        <w:ind w:left="2225" w:right="1943" w:hanging="900"/>
        <w:jc w:val="both"/>
        <w:rPr>
          <w:sz w:val="24"/>
        </w:rPr>
      </w:pPr>
      <w:r>
        <w:rPr>
          <w:sz w:val="24"/>
        </w:rPr>
        <w:t>Maddison, Jill E.; Stephen W. Page, David Church (2002). </w:t>
      </w:r>
      <w:r>
        <w:rPr>
          <w:i/>
          <w:sz w:val="24"/>
        </w:rPr>
        <w:t>Small 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Elsevier</w:t>
      </w:r>
      <w:r>
        <w:rPr>
          <w:spacing w:val="1"/>
          <w:sz w:val="24"/>
        </w:rPr>
        <w:t> </w:t>
      </w:r>
      <w:r>
        <w:rPr>
          <w:sz w:val="24"/>
        </w:rPr>
        <w:t>Health Sciences. pp.</w:t>
      </w:r>
      <w:r>
        <w:rPr>
          <w:spacing w:val="1"/>
          <w:sz w:val="24"/>
        </w:rPr>
        <w:t> </w:t>
      </w:r>
      <w:r>
        <w:rPr>
          <w:sz w:val="24"/>
        </w:rPr>
        <w:t>260.</w:t>
      </w:r>
    </w:p>
    <w:p>
      <w:pPr>
        <w:pStyle w:val="BodyText"/>
        <w:spacing w:line="482" w:lineRule="auto" w:before="194"/>
        <w:ind w:left="2225" w:right="1413" w:hanging="900"/>
        <w:jc w:val="both"/>
      </w:pPr>
      <w:r>
        <w:rPr/>
        <w:t>MHRA-UKPAR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Agency.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Extra/Plus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PL16028/0141-2.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MHRA,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(MHRA-UKPAR</w:t>
      </w:r>
      <w:r>
        <w:rPr>
          <w:spacing w:val="-1"/>
        </w:rPr>
        <w:t> </w:t>
      </w:r>
      <w:r>
        <w:rPr/>
        <w:t>(2010))</w:t>
      </w:r>
      <w:r>
        <w:rPr>
          <w:spacing w:val="-2"/>
        </w:rPr>
        <w:t> </w:t>
      </w:r>
      <w:r>
        <w:rPr/>
        <w:t>– Paracetamol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Caffeine 500mg/65mg</w:t>
      </w:r>
      <w:r>
        <w:rPr>
          <w:spacing w:val="-4"/>
        </w:rPr>
        <w:t> </w:t>
      </w:r>
      <w:r>
        <w:rPr/>
        <w:t>Tablets.</w:t>
      </w:r>
    </w:p>
    <w:p>
      <w:pPr>
        <w:pStyle w:val="BodyText"/>
        <w:tabs>
          <w:tab w:pos="8526" w:val="left" w:leader="none"/>
        </w:tabs>
        <w:spacing w:line="480" w:lineRule="auto" w:before="192"/>
        <w:ind w:left="2225" w:right="1418" w:hanging="900"/>
      </w:pPr>
      <w:hyperlink r:id="rId75">
        <w:r>
          <w:rPr/>
          <w:t>Medicines</w:t>
        </w:r>
        <w:r>
          <w:rPr>
            <w:spacing w:val="-1"/>
          </w:rPr>
          <w:t> </w:t>
        </w:r>
        <w:r>
          <w:rPr/>
          <w:t>and Healthcare</w:t>
        </w:r>
        <w:r>
          <w:rPr>
            <w:spacing w:val="-2"/>
          </w:rPr>
          <w:t> </w:t>
        </w:r>
        <w:r>
          <w:rPr/>
          <w:t>products Regulatory</w:t>
        </w:r>
        <w:r>
          <w:rPr>
            <w:spacing w:val="-6"/>
          </w:rPr>
          <w:t> </w:t>
        </w:r>
        <w:r>
          <w:rPr/>
          <w:t>Agency</w:t>
        </w:r>
      </w:hyperlink>
      <w:r>
        <w:rPr/>
        <w:t>; </w:t>
      </w:r>
      <w:hyperlink r:id="rId76">
        <w:r>
          <w:rPr/>
          <w:t>Commission</w:t>
        </w:r>
        <w:r>
          <w:rPr>
            <w:spacing w:val="-1"/>
          </w:rPr>
          <w:t> </w:t>
        </w:r>
        <w:r>
          <w:rPr/>
          <w:t>on</w:t>
          <w:tab/>
          <w:t>Human</w:t>
        </w:r>
      </w:hyperlink>
      <w:r>
        <w:rPr>
          <w:spacing w:val="1"/>
        </w:rPr>
        <w:t> </w:t>
      </w:r>
      <w:hyperlink r:id="rId76">
        <w:r>
          <w:rPr/>
          <w:t>Medicines</w:t>
        </w:r>
        <w:r>
          <w:rPr>
            <w:spacing w:val="6"/>
          </w:rPr>
          <w:t> </w:t>
        </w:r>
      </w:hyperlink>
      <w:r>
        <w:rPr/>
        <w:t>(2008).</w:t>
      </w:r>
      <w:r>
        <w:rPr>
          <w:spacing w:val="7"/>
        </w:rPr>
        <w:t> </w:t>
      </w:r>
      <w:hyperlink r:id="rId77">
        <w:r>
          <w:rPr/>
          <w:t>"Paracetamol</w:t>
        </w:r>
        <w:r>
          <w:rPr>
            <w:spacing w:val="6"/>
          </w:rPr>
          <w:t> </w:t>
        </w:r>
        <w:r>
          <w:rPr/>
          <w:t>use</w:t>
        </w:r>
        <w:r>
          <w:rPr>
            <w:spacing w:val="5"/>
          </w:rPr>
          <w:t> </w:t>
        </w:r>
        <w:r>
          <w:rPr/>
          <w:t>in</w:t>
        </w:r>
        <w:r>
          <w:rPr>
            <w:spacing w:val="7"/>
          </w:rPr>
          <w:t> </w:t>
        </w:r>
        <w:r>
          <w:rPr/>
          <w:t>infancy:</w:t>
        </w:r>
        <w:r>
          <w:rPr>
            <w:spacing w:val="6"/>
          </w:rPr>
          <w:t> </w:t>
        </w:r>
        <w:r>
          <w:rPr/>
          <w:t>no</w:t>
        </w:r>
        <w:r>
          <w:rPr>
            <w:spacing w:val="5"/>
          </w:rPr>
          <w:t> </w:t>
        </w:r>
        <w:r>
          <w:rPr/>
          <w:t>strong</w:t>
        </w:r>
        <w:r>
          <w:rPr>
            <w:spacing w:val="5"/>
          </w:rPr>
          <w:t> </w:t>
        </w:r>
        <w:r>
          <w:rPr/>
          <w:t>evidence</w:t>
        </w:r>
        <w:r>
          <w:rPr>
            <w:spacing w:val="5"/>
          </w:rPr>
          <w:t> </w:t>
        </w:r>
        <w:r>
          <w:rPr/>
          <w:t>for</w:t>
        </w:r>
        <w:r>
          <w:rPr>
            <w:spacing w:val="7"/>
          </w:rPr>
          <w:t> </w:t>
        </w:r>
        <w:r>
          <w:rPr/>
          <w:t>asthma</w:t>
        </w:r>
      </w:hyperlink>
      <w:r>
        <w:rPr>
          <w:spacing w:val="-57"/>
        </w:rPr>
        <w:t> </w:t>
      </w:r>
      <w:hyperlink r:id="rId77">
        <w:r>
          <w:rPr/>
          <w:t>link".</w:t>
        </w:r>
      </w:hyperlink>
      <w:r>
        <w:rPr>
          <w:spacing w:val="-1"/>
        </w:rPr>
        <w:t> </w:t>
      </w:r>
      <w:r>
        <w:rPr>
          <w:i/>
        </w:rPr>
        <w:t>Drug Safety Update </w:t>
      </w:r>
      <w:r>
        <w:rPr>
          <w:b/>
        </w:rPr>
        <w:t>2 </w:t>
      </w:r>
      <w:r>
        <w:rPr/>
        <w:t>(4): 9. Retrieved May</w:t>
      </w:r>
      <w:r>
        <w:rPr>
          <w:spacing w:val="-3"/>
        </w:rPr>
        <w:t> </w:t>
      </w:r>
      <w:r>
        <w:rPr/>
        <w:t>1, 2009.</w:t>
      </w:r>
    </w:p>
    <w:p>
      <w:pPr>
        <w:pStyle w:val="BodyText"/>
        <w:spacing w:line="482" w:lineRule="auto"/>
        <w:ind w:left="2045" w:hanging="660"/>
      </w:pPr>
      <w:hyperlink r:id="rId78">
        <w:r>
          <w:rPr/>
          <w:t>Mehta </w:t>
        </w:r>
      </w:hyperlink>
      <w:r>
        <w:rPr/>
        <w:t>S. (2012)</w:t>
      </w:r>
      <w:hyperlink r:id="rId79">
        <w:r>
          <w:rPr/>
          <w:t>Medicinal Chemistry,</w:t>
        </w:r>
      </w:hyperlink>
      <w:hyperlink r:id="rId80">
        <w:r>
          <w:rPr/>
          <w:t>Notes,</w:t>
        </w:r>
      </w:hyperlink>
      <w:r>
        <w:rPr/>
        <w:t> </w:t>
      </w:r>
      <w:hyperlink r:id="rId81">
        <w:r>
          <w:rPr/>
          <w:t>Pharmacology</w:t>
        </w:r>
      </w:hyperlink>
      <w:r>
        <w:rPr>
          <w:spacing w:val="1"/>
        </w:rPr>
        <w:t> </w:t>
      </w:r>
      <w:r>
        <w:rPr/>
        <w:t>August, 25 2012.</w:t>
      </w:r>
      <w:r>
        <w:rPr>
          <w:spacing w:val="-57"/>
        </w:rPr>
        <w:t> </w:t>
      </w:r>
      <w:hyperlink r:id="rId82">
        <w:r>
          <w:rPr/>
          <w:t>http://pharmaxchange.info/press/2012/08</w:t>
        </w:r>
      </w:hyperlink>
    </w:p>
    <w:p>
      <w:pPr>
        <w:pStyle w:val="BodyText"/>
        <w:spacing w:line="480" w:lineRule="auto" w:before="197"/>
        <w:ind w:left="2225" w:right="1410" w:hanging="900"/>
      </w:pPr>
      <w:r>
        <w:rPr/>
        <w:t>Miller,</w:t>
      </w:r>
      <w:r>
        <w:rPr>
          <w:spacing w:val="10"/>
        </w:rPr>
        <w:t> </w:t>
      </w:r>
      <w:r>
        <w:rPr/>
        <w:t>R.</w:t>
      </w:r>
      <w:r>
        <w:rPr>
          <w:spacing w:val="11"/>
        </w:rPr>
        <w:t> </w:t>
      </w:r>
      <w:r>
        <w:rPr/>
        <w:t>P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Fischer,</w:t>
      </w:r>
      <w:r>
        <w:rPr>
          <w:spacing w:val="15"/>
        </w:rPr>
        <w:t> </w:t>
      </w:r>
      <w:r>
        <w:rPr/>
        <w:t>L.</w:t>
      </w:r>
      <w:r>
        <w:rPr>
          <w:spacing w:val="12"/>
        </w:rPr>
        <w:t> </w:t>
      </w:r>
      <w:r>
        <w:rPr/>
        <w:t>J.</w:t>
      </w:r>
      <w:r>
        <w:rPr>
          <w:spacing w:val="11"/>
        </w:rPr>
        <w:t> </w:t>
      </w:r>
      <w:r>
        <w:rPr/>
        <w:t>(1974).</w:t>
      </w:r>
      <w:r>
        <w:rPr>
          <w:spacing w:val="11"/>
        </w:rPr>
        <w:t> </w:t>
      </w:r>
      <w:r>
        <w:rPr/>
        <w:t>Urinary</w:t>
      </w:r>
      <w:r>
        <w:rPr>
          <w:spacing w:val="8"/>
        </w:rPr>
        <w:t> </w:t>
      </w:r>
      <w:r>
        <w:rPr/>
        <w:t>excretion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aceaminophen</w:t>
      </w:r>
      <w:r>
        <w:rPr>
          <w:spacing w:val="12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rat.</w:t>
      </w:r>
      <w:r>
        <w:rPr>
          <w:spacing w:val="11"/>
        </w:rPr>
        <w:t> </w:t>
      </w:r>
      <w:r>
        <w:rPr/>
        <w:t>J.</w:t>
      </w:r>
      <w:r>
        <w:rPr>
          <w:spacing w:val="-57"/>
        </w:rPr>
        <w:t> </w:t>
      </w:r>
      <w:r>
        <w:rPr/>
        <w:t>Pharm.</w:t>
      </w:r>
      <w:r>
        <w:rPr>
          <w:spacing w:val="-1"/>
        </w:rPr>
        <w:t> </w:t>
      </w:r>
      <w:r>
        <w:rPr/>
        <w:t>Sci. 63 (6): 969 – 970</w:t>
      </w:r>
    </w:p>
    <w:p>
      <w:pPr>
        <w:spacing w:line="480" w:lineRule="auto" w:before="57"/>
        <w:ind w:left="2225" w:right="1412" w:hanging="900"/>
        <w:jc w:val="left"/>
        <w:rPr>
          <w:sz w:val="24"/>
        </w:rPr>
      </w:pPr>
      <w:r>
        <w:rPr>
          <w:sz w:val="24"/>
        </w:rPr>
        <w:t>Milton</w:t>
      </w:r>
      <w:r>
        <w:rPr>
          <w:spacing w:val="52"/>
          <w:sz w:val="24"/>
        </w:rPr>
        <w:t> </w:t>
      </w:r>
      <w:r>
        <w:rPr>
          <w:sz w:val="24"/>
        </w:rPr>
        <w:t>Silverman,</w:t>
      </w:r>
      <w:r>
        <w:rPr>
          <w:spacing w:val="56"/>
          <w:sz w:val="24"/>
        </w:rPr>
        <w:t> </w:t>
      </w:r>
      <w:r>
        <w:rPr>
          <w:sz w:val="24"/>
        </w:rPr>
        <w:t>Mia</w:t>
      </w:r>
      <w:r>
        <w:rPr>
          <w:spacing w:val="53"/>
          <w:sz w:val="24"/>
        </w:rPr>
        <w:t> </w:t>
      </w:r>
      <w:r>
        <w:rPr>
          <w:sz w:val="24"/>
        </w:rPr>
        <w:t>Lydecker,</w:t>
      </w:r>
      <w:r>
        <w:rPr>
          <w:spacing w:val="54"/>
          <w:sz w:val="24"/>
        </w:rPr>
        <w:t> </w:t>
      </w:r>
      <w:r>
        <w:rPr>
          <w:sz w:val="24"/>
        </w:rPr>
        <w:t>Philip</w:t>
      </w:r>
      <w:r>
        <w:rPr>
          <w:spacing w:val="54"/>
          <w:sz w:val="24"/>
        </w:rPr>
        <w:t> </w:t>
      </w:r>
      <w:r>
        <w:rPr>
          <w:sz w:val="24"/>
        </w:rPr>
        <w:t>Randolph</w:t>
      </w:r>
      <w:r>
        <w:rPr>
          <w:spacing w:val="56"/>
          <w:sz w:val="24"/>
        </w:rPr>
        <w:t> </w:t>
      </w:r>
      <w:r>
        <w:rPr>
          <w:sz w:val="24"/>
        </w:rPr>
        <w:t>Lee</w:t>
      </w:r>
      <w:r>
        <w:rPr>
          <w:spacing w:val="55"/>
          <w:sz w:val="24"/>
        </w:rPr>
        <w:t> </w:t>
      </w:r>
      <w:r>
        <w:rPr>
          <w:sz w:val="24"/>
        </w:rPr>
        <w:t>(1992).</w:t>
      </w:r>
      <w:r>
        <w:rPr>
          <w:spacing w:val="3"/>
          <w:sz w:val="24"/>
        </w:rPr>
        <w:t> </w:t>
      </w:r>
      <w:r>
        <w:rPr>
          <w:i/>
          <w:sz w:val="24"/>
        </w:rPr>
        <w:t>Bad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Medicine: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Prescription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Industry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World</w:t>
      </w:r>
      <w:r>
        <w:rPr>
          <w:sz w:val="24"/>
        </w:rPr>
        <w:t>.</w:t>
      </w:r>
      <w:r>
        <w:rPr>
          <w:spacing w:val="52"/>
          <w:sz w:val="24"/>
        </w:rPr>
        <w:t> </w:t>
      </w:r>
      <w:r>
        <w:rPr>
          <w:sz w:val="24"/>
        </w:rPr>
        <w:t>Stanford</w:t>
      </w:r>
      <w:r>
        <w:rPr>
          <w:spacing w:val="52"/>
          <w:sz w:val="24"/>
        </w:rPr>
        <w:t> </w:t>
      </w:r>
      <w:r>
        <w:rPr>
          <w:sz w:val="24"/>
        </w:rPr>
        <w:t>University</w:t>
      </w:r>
      <w:r>
        <w:rPr>
          <w:spacing w:val="47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ind w:left="2765"/>
      </w:pPr>
      <w:r>
        <w:rPr/>
        <w:t>pp. 88–90.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18" w:hanging="900"/>
        <w:jc w:val="both"/>
        <w:rPr>
          <w:sz w:val="24"/>
        </w:rPr>
      </w:pPr>
      <w:r>
        <w:rPr>
          <w:sz w:val="24"/>
        </w:rPr>
        <w:t>Mitchell, J. R., Thorgeirsson, S. S., Potter, W. Z., Jolloiw, D. J. and Keiser, H. (1974).</w:t>
      </w:r>
      <w:r>
        <w:rPr>
          <w:spacing w:val="1"/>
          <w:sz w:val="24"/>
        </w:rPr>
        <w:t> </w:t>
      </w:r>
      <w:r>
        <w:rPr>
          <w:i/>
          <w:sz w:val="24"/>
        </w:rPr>
        <w:t>Acetaminophen induced hepatic injury: Protective role of glutathione in 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rational for therapy </w:t>
      </w:r>
      <w:r>
        <w:rPr>
          <w:sz w:val="24"/>
        </w:rPr>
        <w:t>Clin. Pharmacol. Ther. 16</w:t>
      </w:r>
      <w:r>
        <w:rPr>
          <w:spacing w:val="-1"/>
          <w:sz w:val="24"/>
        </w:rPr>
        <w:t> </w:t>
      </w:r>
      <w:r>
        <w:rPr>
          <w:sz w:val="24"/>
        </w:rPr>
        <w:t>: 676</w:t>
      </w:r>
      <w:r>
        <w:rPr>
          <w:spacing w:val="2"/>
          <w:sz w:val="24"/>
        </w:rPr>
        <w:t> </w:t>
      </w:r>
      <w:r>
        <w:rPr>
          <w:sz w:val="24"/>
        </w:rPr>
        <w:t>– 684.</w:t>
      </w:r>
    </w:p>
    <w:p>
      <w:pPr>
        <w:pStyle w:val="BodyText"/>
        <w:spacing w:line="480" w:lineRule="auto" w:before="60"/>
        <w:ind w:left="2225" w:right="1414" w:hanging="900"/>
        <w:jc w:val="both"/>
      </w:pPr>
      <w:r>
        <w:rPr/>
        <w:t>Moller, P.; Sindet-Pedersen, S.; Petersen, C.; Juhl, G.; Dillenschneider, A.; Skoglund, L.</w:t>
      </w:r>
      <w:r>
        <w:rPr>
          <w:spacing w:val="-57"/>
        </w:rPr>
        <w:t> </w:t>
      </w:r>
      <w:r>
        <w:rPr/>
        <w:t>(2005).</w:t>
      </w:r>
      <w:r>
        <w:rPr>
          <w:spacing w:val="1"/>
        </w:rPr>
        <w:t> </w:t>
      </w:r>
      <w:r>
        <w:rPr/>
        <w:t>"Onset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acetaminophen</w:t>
      </w:r>
      <w:r>
        <w:rPr>
          <w:spacing w:val="1"/>
        </w:rPr>
        <w:t> </w:t>
      </w:r>
      <w:r>
        <w:rPr/>
        <w:t>analgesia: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intravenous routes after third molar surgery". </w:t>
      </w:r>
      <w:r>
        <w:rPr>
          <w:i/>
        </w:rPr>
        <w:t>British journal of anaesthesia </w:t>
      </w:r>
      <w:r>
        <w:rPr>
          <w:b/>
        </w:rPr>
        <w:t>94</w:t>
      </w:r>
      <w:r>
        <w:rPr>
          <w:b/>
          <w:spacing w:val="-57"/>
        </w:rPr>
        <w:t> </w:t>
      </w:r>
      <w:r>
        <w:rPr/>
        <w:t>(5): 642–648.</w:t>
      </w:r>
    </w:p>
    <w:p>
      <w:pPr>
        <w:pStyle w:val="BodyText"/>
        <w:spacing w:line="480" w:lineRule="auto" w:before="61"/>
        <w:ind w:left="2225" w:right="1415" w:hanging="900"/>
        <w:jc w:val="both"/>
      </w:pPr>
      <w:r>
        <w:rPr/>
        <w:t>Morse</w:t>
      </w:r>
      <w:r>
        <w:rPr>
          <w:spacing w:val="33"/>
        </w:rPr>
        <w:t> </w:t>
      </w:r>
      <w:r>
        <w:rPr/>
        <w:t>H</w:t>
      </w:r>
      <w:r>
        <w:rPr>
          <w:spacing w:val="35"/>
        </w:rPr>
        <w:t> </w:t>
      </w:r>
      <w:r>
        <w:rPr/>
        <w:t>N</w:t>
      </w:r>
      <w:r>
        <w:rPr>
          <w:spacing w:val="35"/>
        </w:rPr>
        <w:t> </w:t>
      </w:r>
      <w:r>
        <w:rPr/>
        <w:t>(1878).</w:t>
      </w:r>
      <w:r>
        <w:rPr>
          <w:spacing w:val="36"/>
        </w:rPr>
        <w:t> </w:t>
      </w:r>
      <w:r>
        <w:rPr/>
        <w:t>"Ueber</w:t>
      </w:r>
      <w:r>
        <w:rPr>
          <w:spacing w:val="35"/>
        </w:rPr>
        <w:t> </w:t>
      </w:r>
      <w:r>
        <w:rPr/>
        <w:t>eine</w:t>
      </w:r>
      <w:r>
        <w:rPr>
          <w:spacing w:val="35"/>
        </w:rPr>
        <w:t> </w:t>
      </w:r>
      <w:r>
        <w:rPr/>
        <w:t>neue</w:t>
      </w:r>
      <w:r>
        <w:rPr>
          <w:spacing w:val="34"/>
        </w:rPr>
        <w:t> </w:t>
      </w:r>
      <w:r>
        <w:rPr/>
        <w:t>Darstellungsmethode</w:t>
      </w:r>
      <w:r>
        <w:rPr>
          <w:spacing w:val="34"/>
        </w:rPr>
        <w:t> </w:t>
      </w:r>
      <w:r>
        <w:rPr/>
        <w:t>der</w:t>
      </w:r>
      <w:r>
        <w:rPr>
          <w:spacing w:val="35"/>
        </w:rPr>
        <w:t> </w:t>
      </w:r>
      <w:r>
        <w:rPr/>
        <w:t>Acetylamidophenole"</w:t>
      </w:r>
      <w:r>
        <w:rPr>
          <w:spacing w:val="-57"/>
        </w:rPr>
        <w:t> </w:t>
      </w:r>
      <w:r>
        <w:rPr/>
        <w:t>(in</w:t>
      </w:r>
      <w:r>
        <w:rPr>
          <w:spacing w:val="-1"/>
        </w:rPr>
        <w:t> </w:t>
      </w:r>
      <w:r>
        <w:rPr/>
        <w:t>German).</w:t>
      </w:r>
    </w:p>
    <w:p>
      <w:pPr>
        <w:pStyle w:val="BodyText"/>
        <w:spacing w:line="480" w:lineRule="auto" w:before="60"/>
        <w:ind w:left="2225" w:right="1417" w:hanging="900"/>
        <w:jc w:val="both"/>
      </w:pPr>
      <w:r>
        <w:rPr/>
        <w:t>Murnion Bridin (2010). </w:t>
      </w:r>
      <w:hyperlink r:id="rId83">
        <w:r>
          <w:rPr/>
          <w:t>"Combination analgesics in adults". </w:t>
        </w:r>
      </w:hyperlink>
      <w:r>
        <w:rPr>
          <w:i/>
        </w:rPr>
        <w:t>Australian Prescriber </w:t>
      </w:r>
      <w:r>
        <w:rPr/>
        <w:t>(33):</w:t>
      </w:r>
      <w:r>
        <w:rPr>
          <w:spacing w:val="-57"/>
        </w:rPr>
        <w:t> </w:t>
      </w:r>
      <w:r>
        <w:rPr/>
        <w:t>113–5.</w:t>
      </w:r>
      <w:r>
        <w:rPr>
          <w:spacing w:val="-1"/>
        </w:rPr>
        <w:t> </w:t>
      </w:r>
      <w:r>
        <w:rPr/>
        <w:t>Retrieved 12 August 2010.</w:t>
      </w:r>
    </w:p>
    <w:p>
      <w:pPr>
        <w:spacing w:line="480" w:lineRule="auto" w:before="1"/>
        <w:ind w:left="2225" w:right="1417" w:hanging="900"/>
        <w:jc w:val="both"/>
        <w:rPr>
          <w:sz w:val="24"/>
        </w:rPr>
      </w:pPr>
      <w:r>
        <w:rPr>
          <w:sz w:val="24"/>
        </w:rPr>
        <w:t>Noyes, A.A and Whitney, W.R (1897). “</w:t>
      </w:r>
      <w:r>
        <w:rPr>
          <w:i/>
          <w:sz w:val="24"/>
        </w:rPr>
        <w:t>the rate of solution of solid substances in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solutions”</w:t>
      </w:r>
      <w:r>
        <w:rPr>
          <w:sz w:val="24"/>
        </w:rPr>
        <w:t>. Z. Physic. Chem., 23 : 689.</w:t>
      </w:r>
    </w:p>
    <w:p>
      <w:pPr>
        <w:pStyle w:val="BodyText"/>
        <w:spacing w:line="480" w:lineRule="auto"/>
        <w:ind w:left="2225" w:right="1420" w:hanging="900"/>
        <w:jc w:val="both"/>
      </w:pPr>
      <w:r>
        <w:rPr/>
        <w:t>Ohki S, Ogino N, Yamamoto S, Hayaishi O (1979). "Prostaglandin hydroperoxidase, an</w:t>
      </w:r>
      <w:r>
        <w:rPr>
          <w:spacing w:val="-57"/>
        </w:rPr>
        <w:t> </w:t>
      </w:r>
      <w:r>
        <w:rPr/>
        <w:t>integral part of prostaglandin endoperoxide synthetase from bovine vesicular</w:t>
      </w:r>
      <w:r>
        <w:rPr>
          <w:spacing w:val="1"/>
        </w:rPr>
        <w:t> </w:t>
      </w:r>
      <w:r>
        <w:rPr/>
        <w:t>gland</w:t>
      </w:r>
      <w:r>
        <w:rPr>
          <w:spacing w:val="-1"/>
        </w:rPr>
        <w:t> </w:t>
      </w:r>
      <w:r>
        <w:rPr/>
        <w:t>microsomes".</w:t>
      </w:r>
      <w:r>
        <w:rPr>
          <w:spacing w:val="3"/>
        </w:rPr>
        <w:t> </w:t>
      </w:r>
      <w:r>
        <w:rPr>
          <w:i/>
        </w:rPr>
        <w:t>J. Biol. Chem. </w:t>
      </w:r>
      <w:r>
        <w:rPr>
          <w:b/>
        </w:rPr>
        <w:t>254 </w:t>
      </w:r>
      <w:r>
        <w:rPr/>
        <w:t>(3): 829–36.</w:t>
      </w:r>
    </w:p>
    <w:p>
      <w:pPr>
        <w:pStyle w:val="BodyText"/>
        <w:spacing w:line="480" w:lineRule="auto"/>
        <w:ind w:left="2225" w:right="1414" w:hanging="900"/>
        <w:jc w:val="both"/>
      </w:pPr>
      <w:r>
        <w:rPr/>
        <w:t>Ottani A, Leone S, Sandrini M, Ferrari A, Bertolini A (2006). "The analgesic activity of</w:t>
      </w:r>
      <w:r>
        <w:rPr>
          <w:spacing w:val="1"/>
        </w:rPr>
        <w:t> </w:t>
      </w:r>
      <w:r>
        <w:rPr/>
        <w:t>paracetamol is prevented by the blockade of cannabinoid CB1 receptors". </w:t>
      </w:r>
      <w:r>
        <w:rPr>
          <w:i/>
        </w:rPr>
        <w:t>Eur.</w:t>
      </w:r>
      <w:r>
        <w:rPr>
          <w:i/>
          <w:spacing w:val="1"/>
        </w:rPr>
        <w:t> </w:t>
      </w:r>
      <w:r>
        <w:rPr>
          <w:i/>
        </w:rPr>
        <w:t>J.</w:t>
      </w:r>
      <w:r>
        <w:rPr>
          <w:i/>
          <w:spacing w:val="-1"/>
        </w:rPr>
        <w:t> </w:t>
      </w:r>
      <w:r>
        <w:rPr>
          <w:i/>
        </w:rPr>
        <w:t>Pharmacol.</w:t>
      </w:r>
      <w:r>
        <w:rPr>
          <w:i/>
          <w:spacing w:val="1"/>
        </w:rPr>
        <w:t> </w:t>
      </w:r>
      <w:r>
        <w:rPr>
          <w:b/>
        </w:rPr>
        <w:t>531 </w:t>
      </w:r>
      <w:r>
        <w:rPr/>
        <w:t>(1–3):</w:t>
      </w:r>
      <w:r>
        <w:rPr>
          <w:spacing w:val="2"/>
        </w:rPr>
        <w:t> </w:t>
      </w:r>
      <w:r>
        <w:rPr/>
        <w:t>280–1.</w:t>
      </w:r>
    </w:p>
    <w:p>
      <w:pPr>
        <w:spacing w:line="480" w:lineRule="auto" w:before="0"/>
        <w:ind w:left="2225" w:right="1412" w:hanging="900"/>
        <w:jc w:val="both"/>
        <w:rPr>
          <w:sz w:val="24"/>
        </w:rPr>
      </w:pPr>
      <w:r>
        <w:rPr>
          <w:sz w:val="24"/>
        </w:rPr>
        <w:t>Plankogiannis,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Saad,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(1978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acetaminophen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plasma. </w:t>
      </w:r>
      <w:r>
        <w:rPr>
          <w:sz w:val="24"/>
        </w:rPr>
        <w:t>J. pharm sci., 67 (4): 581.</w:t>
      </w:r>
    </w:p>
    <w:p>
      <w:pPr>
        <w:spacing w:line="480" w:lineRule="auto" w:before="0"/>
        <w:ind w:left="2225" w:right="1413" w:hanging="900"/>
        <w:jc w:val="both"/>
        <w:rPr>
          <w:sz w:val="24"/>
        </w:rPr>
      </w:pPr>
      <w:r>
        <w:rPr>
          <w:sz w:val="24"/>
        </w:rPr>
        <w:t>Poole, J.W. (1979) “</w:t>
      </w:r>
      <w:r>
        <w:rPr>
          <w:i/>
          <w:sz w:val="24"/>
        </w:rPr>
        <w:t>Effects of formulation and dosage form on drug bioavailability. In: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Bioavailability</w:t>
      </w:r>
      <w:r>
        <w:rPr>
          <w:sz w:val="24"/>
        </w:rPr>
        <w:t>”.</w:t>
      </w:r>
      <w:r>
        <w:rPr>
          <w:spacing w:val="1"/>
          <w:sz w:val="24"/>
        </w:rPr>
        <w:t> </w:t>
      </w:r>
      <w:r>
        <w:rPr>
          <w:sz w:val="24"/>
        </w:rPr>
        <w:t>Ed,</w:t>
      </w:r>
      <w:r>
        <w:rPr>
          <w:spacing w:val="1"/>
          <w:sz w:val="24"/>
        </w:rPr>
        <w:t> </w:t>
      </w:r>
      <w:r>
        <w:rPr>
          <w:sz w:val="24"/>
        </w:rPr>
        <w:t>Blanchard,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SAwchuk,</w:t>
      </w:r>
      <w:r>
        <w:rPr>
          <w:spacing w:val="8"/>
          <w:sz w:val="24"/>
        </w:rPr>
        <w:t> </w:t>
      </w:r>
      <w:r>
        <w:rPr>
          <w:sz w:val="24"/>
        </w:rPr>
        <w:t>R.</w:t>
      </w:r>
      <w:r>
        <w:rPr>
          <w:spacing w:val="8"/>
          <w:sz w:val="24"/>
        </w:rPr>
        <w:t> </w:t>
      </w:r>
      <w:r>
        <w:rPr>
          <w:sz w:val="24"/>
        </w:rPr>
        <w:t>J.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Brodie,</w:t>
      </w:r>
      <w:r>
        <w:rPr>
          <w:spacing w:val="8"/>
          <w:sz w:val="24"/>
        </w:rPr>
        <w:t> </w:t>
      </w:r>
      <w:r>
        <w:rPr>
          <w:sz w:val="24"/>
        </w:rPr>
        <w:t>B</w:t>
      </w:r>
      <w:r>
        <w:rPr>
          <w:spacing w:val="6"/>
          <w:sz w:val="24"/>
        </w:rPr>
        <w:t> </w:t>
      </w:r>
      <w:r>
        <w:rPr>
          <w:sz w:val="24"/>
        </w:rPr>
        <w:t>S.</w:t>
      </w:r>
      <w:r>
        <w:rPr>
          <w:spacing w:val="8"/>
          <w:sz w:val="24"/>
        </w:rPr>
        <w:t> </w:t>
      </w:r>
      <w:r>
        <w:rPr>
          <w:sz w:val="24"/>
        </w:rPr>
        <w:t>Karger</w:t>
      </w:r>
      <w:r>
        <w:rPr>
          <w:spacing w:val="8"/>
          <w:sz w:val="24"/>
        </w:rPr>
        <w:t> </w:t>
      </w:r>
      <w:r>
        <w:rPr>
          <w:sz w:val="24"/>
        </w:rPr>
        <w:t>A.</w:t>
      </w:r>
      <w:r>
        <w:rPr>
          <w:spacing w:val="7"/>
          <w:sz w:val="24"/>
        </w:rPr>
        <w:t> </w:t>
      </w:r>
      <w:r>
        <w:rPr>
          <w:sz w:val="24"/>
        </w:rPr>
        <w:t>G.</w:t>
      </w:r>
      <w:r>
        <w:rPr>
          <w:spacing w:val="7"/>
          <w:sz w:val="24"/>
        </w:rPr>
        <w:t> </w:t>
      </w:r>
      <w:r>
        <w:rPr>
          <w:sz w:val="24"/>
        </w:rPr>
        <w:t>4001</w:t>
      </w:r>
      <w:r>
        <w:rPr>
          <w:spacing w:val="8"/>
          <w:sz w:val="24"/>
        </w:rPr>
        <w:t> </w:t>
      </w:r>
      <w:r>
        <w:rPr>
          <w:sz w:val="24"/>
        </w:rPr>
        <w:t>Basle</w:t>
      </w:r>
      <w:r>
        <w:rPr>
          <w:spacing w:val="8"/>
          <w:sz w:val="24"/>
        </w:rPr>
        <w:t> </w:t>
      </w:r>
      <w:r>
        <w:rPr>
          <w:sz w:val="24"/>
        </w:rPr>
        <w:t>Switzerland</w:t>
      </w:r>
      <w:r>
        <w:rPr>
          <w:spacing w:val="25"/>
          <w:sz w:val="24"/>
        </w:rPr>
        <w:t> </w:t>
      </w:r>
      <w:r>
        <w:rPr>
          <w:sz w:val="24"/>
        </w:rPr>
        <w:t>pp</w:t>
      </w:r>
      <w:r>
        <w:rPr>
          <w:spacing w:val="8"/>
          <w:sz w:val="24"/>
        </w:rPr>
        <w:t> </w:t>
      </w:r>
      <w:r>
        <w:rPr>
          <w:sz w:val="24"/>
        </w:rPr>
        <w:t>59</w:t>
      </w:r>
    </w:p>
    <w:p>
      <w:pPr>
        <w:pStyle w:val="BodyText"/>
        <w:ind w:left="2225"/>
      </w:pPr>
      <w:r>
        <w:rPr/>
        <w:t>-89.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16" w:hanging="900"/>
        <w:jc w:val="both"/>
        <w:rPr>
          <w:sz w:val="24"/>
        </w:rPr>
      </w:pPr>
      <w:r>
        <w:rPr>
          <w:sz w:val="24"/>
        </w:rPr>
        <w:t>Rawlings, M. D (1979) “</w:t>
      </w:r>
      <w:r>
        <w:rPr>
          <w:i/>
          <w:sz w:val="24"/>
        </w:rPr>
        <w:t>Pharmacokinetics of paracetamol after itravenous and 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Eur. J.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Clin. Pharmacol</w:t>
      </w:r>
      <w:r>
        <w:rPr>
          <w:sz w:val="24"/>
        </w:rPr>
        <w:t>. 11: 283-</w:t>
      </w:r>
      <w:r>
        <w:rPr>
          <w:spacing w:val="-1"/>
          <w:sz w:val="24"/>
        </w:rPr>
        <w:t> </w:t>
      </w:r>
      <w:r>
        <w:rPr>
          <w:sz w:val="24"/>
        </w:rPr>
        <w:t>286</w:t>
      </w:r>
    </w:p>
    <w:p>
      <w:pPr>
        <w:spacing w:line="480" w:lineRule="auto" w:before="0"/>
        <w:ind w:left="2225" w:right="1413" w:hanging="900"/>
        <w:jc w:val="both"/>
        <w:rPr>
          <w:sz w:val="24"/>
        </w:rPr>
      </w:pPr>
      <w:r>
        <w:rPr>
          <w:sz w:val="24"/>
        </w:rPr>
        <w:t>Roberts, L.J. II. &amp; Marrow, J.D. (2001) "</w:t>
      </w:r>
      <w:r>
        <w:rPr>
          <w:i/>
          <w:sz w:val="24"/>
        </w:rPr>
        <w:t>Analgesic-antipyretic and Antiinflammatory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Gou</w:t>
      </w:r>
      <w:r>
        <w:rPr>
          <w:sz w:val="24"/>
        </w:rPr>
        <w:t>t"</w:t>
      </w:r>
      <w:r>
        <w:rPr>
          <w:spacing w:val="1"/>
          <w:sz w:val="24"/>
        </w:rPr>
        <w:t> </w:t>
      </w:r>
      <w:r>
        <w:rPr>
          <w:sz w:val="24"/>
        </w:rPr>
        <w:t>in,</w:t>
      </w:r>
      <w:r>
        <w:rPr>
          <w:spacing w:val="1"/>
          <w:sz w:val="24"/>
        </w:rPr>
        <w:t> </w:t>
      </w:r>
      <w:r>
        <w:rPr>
          <w:sz w:val="24"/>
        </w:rPr>
        <w:t>"Goodman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Gilman's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Pharmacological</w:t>
      </w:r>
      <w:r>
        <w:rPr>
          <w:spacing w:val="6"/>
          <w:sz w:val="24"/>
        </w:rPr>
        <w:t> </w:t>
      </w:r>
      <w:r>
        <w:rPr>
          <w:sz w:val="24"/>
        </w:rPr>
        <w:t>Basis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Therapeutics</w:t>
      </w:r>
      <w:r>
        <w:rPr>
          <w:spacing w:val="6"/>
          <w:sz w:val="24"/>
        </w:rPr>
        <w:t> </w:t>
      </w:r>
      <w:r>
        <w:rPr>
          <w:sz w:val="24"/>
        </w:rPr>
        <w:t>(10th</w:t>
      </w:r>
      <w:r>
        <w:rPr>
          <w:spacing w:val="6"/>
          <w:sz w:val="24"/>
        </w:rPr>
        <w:t> </w:t>
      </w:r>
      <w:r>
        <w:rPr>
          <w:sz w:val="24"/>
        </w:rPr>
        <w:t>Ed.)"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Hardman,</w:t>
      </w:r>
    </w:p>
    <w:p>
      <w:pPr>
        <w:pStyle w:val="BodyText"/>
        <w:ind w:left="2225"/>
        <w:jc w:val="both"/>
      </w:pPr>
      <w:r>
        <w:rPr/>
        <w:t>J.G.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Limbird,</w:t>
      </w:r>
      <w:r>
        <w:rPr>
          <w:spacing w:val="1"/>
        </w:rPr>
        <w:t> </w:t>
      </w:r>
      <w:r>
        <w:rPr/>
        <w:t>L.E.</w:t>
      </w:r>
      <w:r>
        <w:rPr>
          <w:spacing w:val="-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McGraw</w:t>
      </w:r>
      <w:r>
        <w:rPr>
          <w:spacing w:val="1"/>
        </w:rPr>
        <w:t> </w:t>
      </w:r>
      <w:r>
        <w:rPr/>
        <w:t>Hill,</w:t>
      </w:r>
      <w:r>
        <w:rPr>
          <w:spacing w:val="-1"/>
        </w:rPr>
        <w:t> </w:t>
      </w:r>
      <w:r>
        <w:rPr/>
        <w:t>2001, pp.687–731       </w:t>
      </w:r>
      <w:r>
        <w:rPr>
          <w:spacing w:val="10"/>
        </w:rPr>
        <w:t> </w:t>
      </w:r>
      <w:r>
        <w:rPr>
          <w:u w:val="single"/>
        </w:rPr>
        <w:t>ISBN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225"/>
      </w:pPr>
      <w:r>
        <w:rPr>
          <w:u w:val="single"/>
        </w:rPr>
        <w:t>0071354697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246" w:val="left" w:leader="none"/>
        </w:tabs>
        <w:spacing w:line="480" w:lineRule="auto" w:before="90"/>
        <w:ind w:left="2225" w:right="1413" w:hanging="900"/>
      </w:pPr>
      <w:r>
        <w:rPr/>
        <w:t>Roland</w:t>
      </w:r>
      <w:r>
        <w:rPr>
          <w:spacing w:val="-1"/>
        </w:rPr>
        <w:t> </w:t>
      </w:r>
      <w:r>
        <w:rPr/>
        <w:t>B. Walter, Filippo</w:t>
      </w:r>
      <w:r>
        <w:rPr>
          <w:spacing w:val="-1"/>
        </w:rPr>
        <w:t> </w:t>
      </w:r>
      <w:r>
        <w:rPr/>
        <w:t>Milano, Theodore</w:t>
      </w:r>
      <w:r>
        <w:rPr>
          <w:spacing w:val="-2"/>
        </w:rPr>
        <w:t> </w:t>
      </w:r>
      <w:r>
        <w:rPr/>
        <w:t>M.</w:t>
      </w:r>
      <w:r>
        <w:rPr>
          <w:spacing w:val="2"/>
        </w:rPr>
        <w:t> </w:t>
      </w:r>
      <w:r>
        <w:rPr/>
        <w:t>Brasky</w:t>
      </w:r>
      <w:r>
        <w:rPr>
          <w:spacing w:val="-4"/>
        </w:rPr>
        <w:t> </w:t>
      </w:r>
      <w:r>
        <w:rPr/>
        <w:t>and Emily</w:t>
      </w:r>
      <w:r>
        <w:rPr>
          <w:spacing w:val="-5"/>
        </w:rPr>
        <w:t> </w:t>
      </w:r>
      <w:r>
        <w:rPr/>
        <w:t>White</w:t>
      </w:r>
      <w:r>
        <w:rPr>
          <w:spacing w:val="18"/>
        </w:rPr>
        <w:t> </w:t>
      </w:r>
      <w:r>
        <w:rPr/>
        <w:t>(2011).</w:t>
      </w:r>
      <w:r>
        <w:rPr>
          <w:spacing w:val="1"/>
        </w:rPr>
        <w:t> </w:t>
      </w:r>
      <w:r>
        <w:rPr/>
        <w:t>"Long-Term</w:t>
      </w:r>
      <w:r>
        <w:rPr>
          <w:spacing w:val="41"/>
        </w:rPr>
        <w:t> </w:t>
      </w:r>
      <w:r>
        <w:rPr/>
        <w:t>Use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Acetaminophen,</w:t>
      </w:r>
      <w:r>
        <w:rPr>
          <w:spacing w:val="42"/>
        </w:rPr>
        <w:t> </w:t>
      </w:r>
      <w:r>
        <w:rPr/>
        <w:t>Aspirin,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Other</w:t>
      </w:r>
      <w:r>
        <w:rPr>
          <w:spacing w:val="41"/>
        </w:rPr>
        <w:t> </w:t>
      </w:r>
      <w:r>
        <w:rPr/>
        <w:t>Nonsteroidal</w:t>
      </w:r>
      <w:r>
        <w:rPr>
          <w:spacing w:val="45"/>
        </w:rPr>
        <w:t> </w:t>
      </w:r>
      <w:r>
        <w:rPr/>
        <w:t>Anti-</w:t>
      </w:r>
      <w:r>
        <w:rPr>
          <w:spacing w:val="-57"/>
        </w:rPr>
        <w:t> </w:t>
      </w:r>
      <w:r>
        <w:rPr/>
        <w:t>Inflammatory</w:t>
      </w:r>
      <w:r>
        <w:rPr>
          <w:spacing w:val="-7"/>
        </w:rPr>
        <w:t> </w:t>
      </w:r>
      <w:r>
        <w:rPr/>
        <w:t>Drugs</w:t>
      </w:r>
      <w:r>
        <w:rPr>
          <w:spacing w:val="1"/>
        </w:rPr>
        <w:t> </w:t>
      </w:r>
      <w:r>
        <w:rPr/>
        <w:t>and Risk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Hematologic</w:t>
      </w:r>
      <w:r>
        <w:rPr>
          <w:spacing w:val="-1"/>
        </w:rPr>
        <w:t> </w:t>
      </w:r>
      <w:r>
        <w:rPr/>
        <w:t>Malignancies:</w:t>
      </w:r>
      <w:r>
        <w:rPr>
          <w:spacing w:val="-2"/>
        </w:rPr>
        <w:t> </w:t>
      </w:r>
      <w:r>
        <w:rPr/>
        <w:t>Results</w:t>
        <w:tab/>
        <w:t>From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Prospective</w:t>
      </w:r>
      <w:r>
        <w:rPr>
          <w:spacing w:val="28"/>
        </w:rPr>
        <w:t> </w:t>
      </w:r>
      <w:r>
        <w:rPr/>
        <w:t>Vitamins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Lifestyle</w:t>
      </w:r>
      <w:r>
        <w:rPr>
          <w:spacing w:val="28"/>
        </w:rPr>
        <w:t> </w:t>
      </w:r>
      <w:r>
        <w:rPr/>
        <w:t>(VITAL)</w:t>
      </w:r>
      <w:r>
        <w:rPr>
          <w:spacing w:val="28"/>
        </w:rPr>
        <w:t> </w:t>
      </w:r>
      <w:r>
        <w:rPr/>
        <w:t>Study".</w:t>
      </w:r>
      <w:r>
        <w:rPr>
          <w:spacing w:val="34"/>
        </w:rPr>
        <w:t> </w:t>
      </w:r>
      <w:r>
        <w:rPr>
          <w:i/>
        </w:rPr>
        <w:t>Journal</w:t>
      </w:r>
      <w:r>
        <w:rPr>
          <w:i/>
          <w:spacing w:val="27"/>
        </w:rPr>
        <w:t> </w:t>
      </w:r>
      <w:r>
        <w:rPr>
          <w:i/>
        </w:rPr>
        <w:t>of</w:t>
      </w:r>
      <w:r>
        <w:rPr>
          <w:i/>
          <w:spacing w:val="27"/>
        </w:rPr>
        <w:t> </w:t>
      </w:r>
      <w:r>
        <w:rPr>
          <w:i/>
        </w:rPr>
        <w:t>Clinical</w:t>
      </w:r>
      <w:r>
        <w:rPr>
          <w:i/>
          <w:spacing w:val="-57"/>
        </w:rPr>
        <w:t> </w:t>
      </w:r>
      <w:r>
        <w:rPr>
          <w:i/>
        </w:rPr>
        <w:t>Oncology</w:t>
      </w:r>
      <w:r>
        <w:rPr/>
        <w:t>.</w:t>
      </w:r>
    </w:p>
    <w:p>
      <w:pPr>
        <w:pStyle w:val="BodyText"/>
        <w:spacing w:line="480" w:lineRule="auto" w:before="1"/>
        <w:ind w:left="2225" w:right="1410" w:hanging="900"/>
      </w:pPr>
      <w:r>
        <w:rPr/>
        <w:t>Ryder</w:t>
      </w:r>
      <w:r>
        <w:rPr>
          <w:spacing w:val="46"/>
        </w:rPr>
        <w:t> </w:t>
      </w:r>
      <w:r>
        <w:rPr/>
        <w:t>SD,</w:t>
      </w:r>
      <w:r>
        <w:rPr>
          <w:spacing w:val="47"/>
        </w:rPr>
        <w:t> </w:t>
      </w:r>
      <w:r>
        <w:rPr/>
        <w:t>Beckingham</w:t>
      </w:r>
      <w:r>
        <w:rPr>
          <w:spacing w:val="53"/>
        </w:rPr>
        <w:t> </w:t>
      </w:r>
      <w:r>
        <w:rPr/>
        <w:t>IJ</w:t>
      </w:r>
      <w:r>
        <w:rPr>
          <w:spacing w:val="50"/>
        </w:rPr>
        <w:t> </w:t>
      </w:r>
      <w:r>
        <w:rPr/>
        <w:t>(2001).</w:t>
      </w:r>
      <w:r>
        <w:rPr>
          <w:spacing w:val="50"/>
        </w:rPr>
        <w:t> </w:t>
      </w:r>
      <w:hyperlink r:id="rId84">
        <w:r>
          <w:rPr/>
          <w:t>"ABC</w:t>
        </w:r>
        <w:r>
          <w:rPr>
            <w:spacing w:val="48"/>
          </w:rPr>
          <w:t> </w:t>
        </w:r>
        <w:r>
          <w:rPr/>
          <w:t>of</w:t>
        </w:r>
        <w:r>
          <w:rPr>
            <w:spacing w:val="47"/>
          </w:rPr>
          <w:t> </w:t>
        </w:r>
        <w:r>
          <w:rPr/>
          <w:t>diseases</w:t>
        </w:r>
        <w:r>
          <w:rPr>
            <w:spacing w:val="48"/>
          </w:rPr>
          <w:t> </w:t>
        </w:r>
        <w:r>
          <w:rPr/>
          <w:t>of</w:t>
        </w:r>
        <w:r>
          <w:rPr>
            <w:spacing w:val="47"/>
          </w:rPr>
          <w:t> </w:t>
        </w:r>
        <w:r>
          <w:rPr/>
          <w:t>liver,</w:t>
        </w:r>
        <w:r>
          <w:rPr>
            <w:spacing w:val="47"/>
          </w:rPr>
          <w:t> </w:t>
        </w:r>
        <w:r>
          <w:rPr/>
          <w:t>pancreas,</w:t>
        </w:r>
        <w:r>
          <w:rPr>
            <w:spacing w:val="48"/>
          </w:rPr>
          <w:t> </w:t>
        </w:r>
        <w:r>
          <w:rPr/>
          <w:t>and</w:t>
        </w:r>
        <w:r>
          <w:rPr>
            <w:spacing w:val="48"/>
          </w:rPr>
          <w:t> </w:t>
        </w:r>
        <w:r>
          <w:rPr/>
          <w:t>biliary</w:t>
        </w:r>
      </w:hyperlink>
      <w:r>
        <w:rPr>
          <w:spacing w:val="-57"/>
        </w:rPr>
        <w:t> </w:t>
      </w:r>
      <w:hyperlink r:id="rId84">
        <w:r>
          <w:rPr/>
          <w:t>system.</w:t>
        </w:r>
        <w:r>
          <w:rPr>
            <w:spacing w:val="-1"/>
          </w:rPr>
          <w:t> </w:t>
        </w:r>
        <w:r>
          <w:rPr/>
          <w:t>Other</w:t>
        </w:r>
        <w:r>
          <w:rPr>
            <w:spacing w:val="-1"/>
          </w:rPr>
          <w:t> </w:t>
        </w:r>
        <w:r>
          <w:rPr/>
          <w:t>causes of parenchymal</w:t>
        </w:r>
        <w:r>
          <w:rPr>
            <w:spacing w:val="-1"/>
          </w:rPr>
          <w:t> </w:t>
        </w:r>
        <w:r>
          <w:rPr/>
          <w:t>liver</w:t>
        </w:r>
        <w:r>
          <w:rPr>
            <w:spacing w:val="-2"/>
          </w:rPr>
          <w:t> </w:t>
        </w:r>
        <w:r>
          <w:rPr/>
          <w:t>disease".</w:t>
        </w:r>
      </w:hyperlink>
      <w:r>
        <w:rPr>
          <w:spacing w:val="-1"/>
        </w:rPr>
        <w:t> </w:t>
      </w:r>
      <w:r>
        <w:rPr>
          <w:i/>
        </w:rPr>
        <w:t>BMJ</w:t>
      </w:r>
      <w:r>
        <w:rPr>
          <w:i/>
          <w:spacing w:val="-2"/>
        </w:rPr>
        <w:t> </w:t>
      </w:r>
      <w:r>
        <w:rPr>
          <w:b/>
        </w:rPr>
        <w:t>322 </w:t>
      </w:r>
      <w:r>
        <w:rPr/>
        <w:t>(7281):</w:t>
      </w:r>
      <w:r>
        <w:rPr>
          <w:spacing w:val="-1"/>
        </w:rPr>
        <w:t> </w:t>
      </w:r>
      <w:r>
        <w:rPr/>
        <w:t>290–92.</w:t>
      </w:r>
    </w:p>
    <w:p>
      <w:pPr>
        <w:pStyle w:val="BodyText"/>
        <w:ind w:left="1325"/>
      </w:pPr>
      <w:r>
        <w:rPr/>
        <w:t>Scottish</w:t>
      </w:r>
      <w:r>
        <w:rPr>
          <w:spacing w:val="-1"/>
        </w:rPr>
        <w:t> </w:t>
      </w:r>
      <w:r>
        <w:rPr/>
        <w:t>Intercollegiate</w:t>
      </w:r>
      <w:r>
        <w:rPr>
          <w:spacing w:val="-2"/>
        </w:rPr>
        <w:t> </w:t>
      </w:r>
      <w:r>
        <w:rPr/>
        <w:t>Guidelines</w:t>
      </w:r>
      <w:r>
        <w:rPr>
          <w:spacing w:val="-3"/>
        </w:rPr>
        <w:t> </w:t>
      </w:r>
      <w:r>
        <w:rPr/>
        <w:t>Network</w:t>
      </w:r>
      <w:r>
        <w:rPr>
          <w:spacing w:val="-3"/>
        </w:rPr>
        <w:t> </w:t>
      </w:r>
      <w:r>
        <w:rPr/>
        <w:t>(SIGN)</w:t>
      </w:r>
      <w:r>
        <w:rPr>
          <w:spacing w:val="-5"/>
        </w:rPr>
        <w:t> </w:t>
      </w:r>
      <w:r>
        <w:rPr/>
        <w:t>(2008).</w:t>
      </w:r>
    </w:p>
    <w:p>
      <w:pPr>
        <w:pStyle w:val="BodyText"/>
      </w:pPr>
    </w:p>
    <w:p>
      <w:pPr>
        <w:pStyle w:val="BodyText"/>
        <w:spacing w:line="480" w:lineRule="auto"/>
        <w:ind w:left="2225" w:right="1414" w:hanging="900"/>
        <w:jc w:val="both"/>
      </w:pPr>
      <w:r>
        <w:rPr/>
        <w:t>Shihana Fathima, Dhammika Menike, Dissanayeke, and Andrew Hamilton (2010) “ A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colourimetric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(Acetaminophen)</w:t>
      </w:r>
      <w:r>
        <w:rPr>
          <w:spacing w:val="-57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plasma”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toxicology</w:t>
      </w:r>
      <w:r>
        <w:rPr>
          <w:spacing w:val="-3"/>
        </w:rPr>
        <w:t> </w:t>
      </w:r>
      <w:r>
        <w:rPr/>
        <w:t>(Philadelphia,</w:t>
      </w:r>
      <w:r>
        <w:rPr>
          <w:spacing w:val="-1"/>
        </w:rPr>
        <w:t> </w:t>
      </w:r>
      <w:r>
        <w:rPr/>
        <w:t>Pa.)</w:t>
      </w:r>
    </w:p>
    <w:p>
      <w:pPr>
        <w:spacing w:line="480" w:lineRule="auto" w:before="0"/>
        <w:ind w:left="2225" w:right="1415" w:hanging="900"/>
        <w:jc w:val="both"/>
        <w:rPr>
          <w:sz w:val="24"/>
        </w:rPr>
      </w:pPr>
      <w:r>
        <w:rPr>
          <w:sz w:val="24"/>
        </w:rPr>
        <w:t>Silva</w:t>
      </w:r>
      <w:r>
        <w:rPr>
          <w:spacing w:val="1"/>
          <w:sz w:val="24"/>
        </w:rPr>
        <w:t> </w:t>
      </w:r>
      <w:r>
        <w:rPr>
          <w:sz w:val="24"/>
        </w:rPr>
        <w:t>Santos</w:t>
      </w:r>
      <w:r>
        <w:rPr>
          <w:spacing w:val="1"/>
          <w:sz w:val="24"/>
        </w:rPr>
        <w:t> </w:t>
      </w:r>
      <w:r>
        <w:rPr>
          <w:sz w:val="24"/>
        </w:rPr>
        <w:t>(1986)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cisapride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metoclopramide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digoxin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bioavailability” </w:t>
      </w:r>
      <w:r>
        <w:rPr>
          <w:sz w:val="24"/>
        </w:rPr>
        <w:t>European journal of drug metabolism and pharmacokinetics</w:t>
      </w:r>
      <w:r>
        <w:rPr>
          <w:spacing w:val="1"/>
          <w:sz w:val="24"/>
        </w:rPr>
        <w:t> </w:t>
      </w:r>
      <w:r>
        <w:rPr>
          <w:sz w:val="24"/>
        </w:rPr>
        <w:t>(impact</w:t>
      </w:r>
      <w:r>
        <w:rPr>
          <w:spacing w:val="-1"/>
          <w:sz w:val="24"/>
        </w:rPr>
        <w:t> </w:t>
      </w:r>
      <w:r>
        <w:rPr>
          <w:sz w:val="24"/>
        </w:rPr>
        <w:t>factor)</w:t>
      </w:r>
      <w:r>
        <w:rPr>
          <w:spacing w:val="-1"/>
          <w:sz w:val="24"/>
        </w:rPr>
        <w:t> </w:t>
      </w:r>
      <w:r>
        <w:rPr>
          <w:sz w:val="24"/>
        </w:rPr>
        <w:t>13110/1986), 11 (4): 249-50 doi: 10.1007/</w:t>
      </w:r>
      <w:r>
        <w:rPr>
          <w:spacing w:val="-1"/>
          <w:sz w:val="24"/>
        </w:rPr>
        <w:t> </w:t>
      </w:r>
      <w:r>
        <w:rPr>
          <w:sz w:val="24"/>
        </w:rPr>
        <w:t>B03189108</w:t>
      </w:r>
    </w:p>
    <w:p>
      <w:pPr>
        <w:pStyle w:val="BodyText"/>
        <w:ind w:left="1325"/>
        <w:jc w:val="both"/>
      </w:pPr>
      <w:r>
        <w:rPr/>
        <w:t>Skelly,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P. (1976).</w:t>
      </w:r>
      <w:r>
        <w:rPr>
          <w:spacing w:val="-1"/>
        </w:rPr>
        <w:t> </w:t>
      </w:r>
      <w:r>
        <w:rPr/>
        <w:t>J.</w:t>
      </w:r>
      <w:r>
        <w:rPr>
          <w:spacing w:val="-3"/>
        </w:rPr>
        <w:t> </w:t>
      </w:r>
      <w:r>
        <w:rPr/>
        <w:t>Clin.</w:t>
      </w:r>
      <w:r>
        <w:rPr>
          <w:spacing w:val="-1"/>
        </w:rPr>
        <w:t> </w:t>
      </w:r>
      <w:r>
        <w:rPr/>
        <w:t>Pharmacol.,</w:t>
      </w:r>
      <w:r>
        <w:rPr>
          <w:spacing w:val="-1"/>
        </w:rPr>
        <w:t> </w:t>
      </w:r>
      <w:r>
        <w:rPr/>
        <w:t>16 :</w:t>
      </w:r>
      <w:r>
        <w:rPr>
          <w:spacing w:val="-1"/>
        </w:rPr>
        <w:t> </w:t>
      </w:r>
      <w:r>
        <w:rPr/>
        <w:t>539.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325" w:right="0" w:firstLine="0"/>
        <w:jc w:val="both"/>
        <w:rPr>
          <w:sz w:val="24"/>
        </w:rPr>
      </w:pPr>
      <w:r>
        <w:rPr>
          <w:sz w:val="24"/>
        </w:rPr>
        <w:t>Suren,</w:t>
      </w:r>
      <w:r>
        <w:rPr>
          <w:spacing w:val="21"/>
          <w:sz w:val="24"/>
        </w:rPr>
        <w:t> </w:t>
      </w:r>
      <w:r>
        <w:rPr>
          <w:sz w:val="24"/>
        </w:rPr>
        <w:t>G</w:t>
      </w:r>
      <w:r>
        <w:rPr>
          <w:spacing w:val="79"/>
          <w:sz w:val="24"/>
        </w:rPr>
        <w:t> </w:t>
      </w:r>
      <w:r>
        <w:rPr>
          <w:sz w:val="24"/>
        </w:rPr>
        <w:t>(1970).</w:t>
      </w:r>
      <w:r>
        <w:rPr>
          <w:spacing w:val="83"/>
          <w:sz w:val="24"/>
        </w:rPr>
        <w:t> </w:t>
      </w:r>
      <w:r>
        <w:rPr>
          <w:i/>
          <w:sz w:val="24"/>
        </w:rPr>
        <w:t>Disintegration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8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amylobarbitione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tablets</w:t>
      </w:r>
      <w:r>
        <w:rPr>
          <w:sz w:val="24"/>
        </w:rPr>
        <w:t>.</w:t>
      </w:r>
      <w:r>
        <w:rPr>
          <w:spacing w:val="81"/>
          <w:sz w:val="24"/>
        </w:rPr>
        <w:t> </w:t>
      </w:r>
      <w:r>
        <w:rPr>
          <w:sz w:val="24"/>
        </w:rPr>
        <w:t>Acta</w:t>
      </w:r>
      <w:r>
        <w:rPr>
          <w:spacing w:val="79"/>
          <w:sz w:val="24"/>
        </w:rPr>
        <w:t> </w:t>
      </w:r>
      <w:r>
        <w:rPr>
          <w:sz w:val="24"/>
        </w:rPr>
        <w:t>Pharm.</w:t>
      </w:r>
    </w:p>
    <w:p>
      <w:pPr>
        <w:pStyle w:val="BodyText"/>
      </w:pPr>
    </w:p>
    <w:p>
      <w:pPr>
        <w:pStyle w:val="BodyText"/>
        <w:ind w:left="2225"/>
      </w:pPr>
      <w:r>
        <w:rPr/>
        <w:t>Suecica</w:t>
      </w:r>
    </w:p>
    <w:p>
      <w:pPr>
        <w:pStyle w:val="BodyText"/>
      </w:pPr>
    </w:p>
    <w:p>
      <w:pPr>
        <w:spacing w:before="0"/>
        <w:ind w:left="1325" w:right="0" w:firstLine="0"/>
        <w:jc w:val="both"/>
        <w:rPr>
          <w:sz w:val="24"/>
        </w:rPr>
      </w:pPr>
      <w:r>
        <w:rPr>
          <w:sz w:val="24"/>
        </w:rPr>
        <w:t>Thomas,</w:t>
      </w:r>
      <w:r>
        <w:rPr>
          <w:spacing w:val="-1"/>
          <w:sz w:val="24"/>
        </w:rPr>
        <w:t> </w:t>
      </w:r>
      <w:r>
        <w:rPr>
          <w:sz w:val="24"/>
        </w:rPr>
        <w:t>S. H.</w:t>
      </w:r>
      <w:r>
        <w:rPr>
          <w:spacing w:val="1"/>
          <w:sz w:val="24"/>
        </w:rPr>
        <w:t> </w:t>
      </w:r>
      <w:r>
        <w:rPr>
          <w:sz w:val="24"/>
        </w:rPr>
        <w:t>L</w:t>
      </w:r>
      <w:r>
        <w:rPr>
          <w:spacing w:val="-7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Paracetamol poisoning</w:t>
      </w:r>
      <w:r>
        <w:rPr>
          <w:sz w:val="24"/>
        </w:rPr>
        <w:t>”</w:t>
      </w:r>
      <w:r>
        <w:rPr>
          <w:spacing w:val="-2"/>
          <w:sz w:val="24"/>
        </w:rPr>
        <w:t> </w:t>
      </w:r>
      <w:r>
        <w:rPr>
          <w:i/>
          <w:sz w:val="24"/>
        </w:rPr>
        <w:t>J. Pharmacol. Ther</w:t>
      </w:r>
      <w:r>
        <w:rPr>
          <w:sz w:val="24"/>
        </w:rPr>
        <w:t>. 60:</w:t>
      </w:r>
      <w:r>
        <w:rPr>
          <w:spacing w:val="-1"/>
          <w:sz w:val="24"/>
        </w:rPr>
        <w:t> </w:t>
      </w:r>
      <w:r>
        <w:rPr>
          <w:sz w:val="24"/>
        </w:rPr>
        <w:t>91 -</w:t>
      </w:r>
      <w:r>
        <w:rPr>
          <w:spacing w:val="-1"/>
          <w:sz w:val="24"/>
        </w:rPr>
        <w:t> </w:t>
      </w:r>
      <w:r>
        <w:rPr>
          <w:sz w:val="24"/>
        </w:rPr>
        <w:t>120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tabs>
          <w:tab w:pos="2414" w:val="left" w:leader="none"/>
          <w:tab w:pos="3464" w:val="left" w:leader="none"/>
          <w:tab w:pos="5275" w:val="left" w:leader="none"/>
          <w:tab w:pos="5803" w:val="left" w:leader="none"/>
          <w:tab w:pos="7591" w:val="left" w:leader="none"/>
          <w:tab w:pos="8760" w:val="left" w:leader="none"/>
        </w:tabs>
        <w:spacing w:line="480" w:lineRule="auto" w:before="72"/>
        <w:ind w:left="2225" w:right="1415" w:hanging="900"/>
        <w:jc w:val="right"/>
      </w:pPr>
      <w:r>
        <w:rPr/>
        <w:t>Vinicio</w:t>
        <w:tab/>
        <w:tab/>
        <w:t>Granados-Soto,</w:t>
      </w:r>
      <w:r>
        <w:rPr>
          <w:spacing w:val="-2"/>
        </w:rPr>
        <w:t> </w:t>
      </w:r>
      <w:r>
        <w:rPr/>
        <w:t>Francisco</w:t>
        <w:tab/>
        <w:t>J.</w:t>
        <w:tab/>
        <w:t>López-Muñoz,</w:t>
        <w:tab/>
        <w:t>Gilberto</w:t>
        <w:tab/>
        <w:t>Castañeda-</w:t>
      </w:r>
      <w:r>
        <w:rPr>
          <w:spacing w:val="-57"/>
        </w:rPr>
        <w:t> </w:t>
      </w:r>
      <w:r>
        <w:rPr/>
        <w:t>Hernández,</w:t>
      </w:r>
      <w:r>
        <w:rPr>
          <w:spacing w:val="2"/>
        </w:rPr>
        <w:t> </w:t>
      </w:r>
      <w:r>
        <w:rPr/>
        <w:t>Luis</w:t>
      </w:r>
      <w:r>
        <w:rPr>
          <w:spacing w:val="6"/>
        </w:rPr>
        <w:t> </w:t>
      </w:r>
      <w:r>
        <w:rPr/>
        <w:t>A.</w:t>
      </w:r>
      <w:r>
        <w:rPr>
          <w:spacing w:val="5"/>
        </w:rPr>
        <w:t> </w:t>
      </w:r>
      <w:r>
        <w:rPr/>
        <w:t>Salazar, Julian</w:t>
      </w:r>
      <w:r>
        <w:rPr>
          <w:spacing w:val="6"/>
        </w:rPr>
        <w:t> </w:t>
      </w:r>
      <w:r>
        <w:rPr/>
        <w:t>E.</w:t>
      </w:r>
      <w:r>
        <w:rPr>
          <w:spacing w:val="5"/>
        </w:rPr>
        <w:t> </w:t>
      </w:r>
      <w:r>
        <w:rPr/>
        <w:t>Villarreal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Francisco</w:t>
      </w:r>
      <w:r>
        <w:rPr>
          <w:spacing w:val="6"/>
        </w:rPr>
        <w:t> </w:t>
      </w:r>
      <w:r>
        <w:rPr/>
        <w:t>J.</w:t>
      </w:r>
      <w:r>
        <w:rPr>
          <w:spacing w:val="5"/>
        </w:rPr>
        <w:t> </w:t>
      </w:r>
      <w:r>
        <w:rPr/>
        <w:t>Flores-</w:t>
      </w:r>
      <w:r>
        <w:rPr>
          <w:spacing w:val="1"/>
        </w:rPr>
        <w:t> </w:t>
      </w:r>
      <w:r>
        <w:rPr/>
        <w:t>Murrieta,</w:t>
        <w:tab/>
        <w:t>(2011).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Effects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Caffeine</w:t>
      </w:r>
      <w:r>
        <w:rPr>
          <w:spacing w:val="24"/>
        </w:rPr>
        <w:t> </w:t>
      </w:r>
      <w:r>
        <w:rPr/>
        <w:t>Combinations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Pain-Induced</w:t>
      </w:r>
      <w:r>
        <w:rPr>
          <w:spacing w:val="24"/>
        </w:rPr>
        <w:t> </w:t>
      </w:r>
      <w:r>
        <w:rPr/>
        <w:t>Functional</w:t>
      </w:r>
    </w:p>
    <w:p>
      <w:pPr>
        <w:pStyle w:val="BodyText"/>
        <w:ind w:left="2225"/>
      </w:pPr>
      <w:r>
        <w:rPr/>
        <w:t>Impairment</w:t>
      </w:r>
      <w:r>
        <w:rPr>
          <w:spacing w:val="-1"/>
        </w:rPr>
        <w:t> </w:t>
      </w:r>
      <w:r>
        <w:rPr/>
        <w:t>Model 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Rat.</w:t>
      </w:r>
    </w:p>
    <w:p>
      <w:pPr>
        <w:pStyle w:val="BodyText"/>
      </w:pPr>
    </w:p>
    <w:p>
      <w:pPr>
        <w:pStyle w:val="BodyText"/>
        <w:spacing w:line="480" w:lineRule="auto"/>
        <w:ind w:left="2225" w:right="1416" w:hanging="900"/>
        <w:jc w:val="both"/>
      </w:pPr>
      <w:r>
        <w:rPr/>
        <w:t>Vranic Edina, Alija Uzunovic (2008) Study of the applicability of content Uniformity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Dissolution variation test on Ropinirole</w:t>
      </w:r>
      <w:r>
        <w:rPr>
          <w:spacing w:val="-3"/>
        </w:rPr>
        <w:t> </w:t>
      </w:r>
      <w:r>
        <w:rPr/>
        <w:t>Hydrochloride</w:t>
      </w:r>
      <w:r>
        <w:rPr>
          <w:spacing w:val="-1"/>
        </w:rPr>
        <w:t> </w:t>
      </w:r>
      <w:r>
        <w:rPr/>
        <w:t>tablets.</w:t>
      </w:r>
    </w:p>
    <w:p>
      <w:pPr>
        <w:spacing w:line="480" w:lineRule="auto" w:before="1"/>
        <w:ind w:left="2225" w:right="1414" w:hanging="900"/>
        <w:jc w:val="both"/>
        <w:rPr>
          <w:sz w:val="24"/>
        </w:rPr>
      </w:pPr>
      <w:r>
        <w:rPr>
          <w:sz w:val="24"/>
        </w:rPr>
        <w:t>Wade,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(1976).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products”.</w:t>
      </w:r>
      <w:r>
        <w:rPr>
          <w:i/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60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treatment,</w:t>
      </w:r>
      <w:r>
        <w:rPr>
          <w:spacing w:val="-1"/>
          <w:sz w:val="24"/>
        </w:rPr>
        <w:t> </w:t>
      </w:r>
      <w:r>
        <w:rPr>
          <w:sz w:val="24"/>
        </w:rPr>
        <w:t>Ed. Avery, S., Avis Press, Sydney</w:t>
      </w:r>
      <w:r>
        <w:rPr>
          <w:spacing w:val="-5"/>
          <w:sz w:val="24"/>
        </w:rPr>
        <w:t> </w:t>
      </w:r>
      <w:r>
        <w:rPr>
          <w:sz w:val="24"/>
        </w:rPr>
        <w:t>pp 143</w:t>
      </w:r>
      <w:r>
        <w:rPr>
          <w:spacing w:val="2"/>
          <w:sz w:val="24"/>
        </w:rPr>
        <w:t> </w:t>
      </w:r>
      <w:r>
        <w:rPr>
          <w:sz w:val="24"/>
        </w:rPr>
        <w:t>– 160.</w:t>
      </w:r>
    </w:p>
    <w:p>
      <w:pPr>
        <w:spacing w:line="480" w:lineRule="auto" w:before="0"/>
        <w:ind w:left="2225" w:right="1416" w:hanging="900"/>
        <w:jc w:val="both"/>
        <w:rPr>
          <w:sz w:val="24"/>
        </w:rPr>
      </w:pPr>
      <w:r>
        <w:rPr>
          <w:sz w:val="24"/>
        </w:rPr>
        <w:t>Wagner, J. G. (1967). </w:t>
      </w:r>
      <w:r>
        <w:rPr>
          <w:i/>
          <w:sz w:val="24"/>
        </w:rPr>
        <w:t>Method of estimating relative absorption of a drug in a series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measured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single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and/or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doses.</w:t>
      </w:r>
      <w:r>
        <w:rPr>
          <w:i/>
          <w:spacing w:val="1"/>
          <w:sz w:val="24"/>
        </w:rPr>
        <w:t> </w:t>
      </w:r>
      <w:r>
        <w:rPr>
          <w:sz w:val="24"/>
        </w:rPr>
        <w:t>J. Pharm.</w:t>
      </w:r>
      <w:r>
        <w:rPr>
          <w:spacing w:val="-3"/>
          <w:sz w:val="24"/>
        </w:rPr>
        <w:t> </w:t>
      </w:r>
      <w:r>
        <w:rPr>
          <w:sz w:val="24"/>
        </w:rPr>
        <w:t>Sci., 56: 652</w:t>
      </w:r>
    </w:p>
    <w:p>
      <w:pPr>
        <w:spacing w:line="480" w:lineRule="auto" w:before="1"/>
        <w:ind w:left="2765" w:right="1414" w:hanging="1440"/>
        <w:jc w:val="both"/>
        <w:rPr>
          <w:sz w:val="24"/>
        </w:rPr>
      </w:pPr>
      <w:r>
        <w:rPr>
          <w:sz w:val="24"/>
        </w:rPr>
        <w:t>Wagner</w:t>
      </w:r>
      <w:r>
        <w:rPr>
          <w:spacing w:val="1"/>
          <w:sz w:val="24"/>
        </w:rPr>
        <w:t> </w:t>
      </w:r>
      <w:r>
        <w:rPr>
          <w:sz w:val="24"/>
        </w:rPr>
        <w:t>J.G</w:t>
      </w:r>
      <w:r>
        <w:rPr>
          <w:spacing w:val="1"/>
          <w:sz w:val="24"/>
        </w:rPr>
        <w:t> </w:t>
      </w:r>
      <w:r>
        <w:rPr>
          <w:sz w:val="24"/>
        </w:rPr>
        <w:t>1971:</w:t>
      </w:r>
      <w:r>
        <w:rPr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relevant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Pharmacokinetics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sz w:val="24"/>
        </w:rPr>
        <w:t>Drug</w:t>
      </w:r>
      <w:r>
        <w:rPr>
          <w:spacing w:val="-57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Publications, Hamilton,</w:t>
      </w:r>
      <w:r>
        <w:rPr>
          <w:spacing w:val="1"/>
          <w:sz w:val="24"/>
        </w:rPr>
        <w:t> </w:t>
      </w:r>
      <w:r>
        <w:rPr>
          <w:sz w:val="24"/>
        </w:rPr>
        <w:t>IL, 1971, p.64</w:t>
      </w:r>
    </w:p>
    <w:p>
      <w:pPr>
        <w:spacing w:line="480" w:lineRule="auto" w:before="0"/>
        <w:ind w:left="2225" w:right="1410" w:hanging="900"/>
        <w:jc w:val="both"/>
        <w:rPr>
          <w:sz w:val="24"/>
        </w:rPr>
      </w:pPr>
      <w:r>
        <w:rPr>
          <w:sz w:val="24"/>
        </w:rPr>
        <w:t>Wagner,</w:t>
      </w:r>
      <w:r>
        <w:rPr>
          <w:spacing w:val="1"/>
          <w:sz w:val="24"/>
        </w:rPr>
        <w:t> </w:t>
      </w:r>
      <w:r>
        <w:rPr>
          <w:sz w:val="24"/>
        </w:rPr>
        <w:t>J.G.</w:t>
      </w:r>
      <w:r>
        <w:rPr>
          <w:spacing w:val="1"/>
          <w:sz w:val="24"/>
        </w:rPr>
        <w:t> </w:t>
      </w:r>
      <w:r>
        <w:rPr>
          <w:sz w:val="24"/>
        </w:rPr>
        <w:t>(1980).</w:t>
      </w:r>
      <w:r>
        <w:rPr>
          <w:spacing w:val="1"/>
          <w:sz w:val="24"/>
        </w:rPr>
        <w:t> </w:t>
      </w:r>
      <w:r>
        <w:rPr>
          <w:i/>
          <w:sz w:val="24"/>
        </w:rPr>
        <w:t>Bioavailability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trials: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Pharmacy</w:t>
      </w:r>
      <w:r>
        <w:rPr>
          <w:spacing w:val="1"/>
          <w:sz w:val="24"/>
        </w:rPr>
        <w:t> </w:t>
      </w:r>
      <w:r>
        <w:rPr>
          <w:sz w:val="24"/>
        </w:rPr>
        <w:t>International,</w:t>
      </w:r>
      <w:r>
        <w:rPr>
          <w:spacing w:val="-1"/>
          <w:sz w:val="24"/>
        </w:rPr>
        <w:t> </w:t>
      </w:r>
      <w:r>
        <w:rPr>
          <w:sz w:val="24"/>
        </w:rPr>
        <w:t>pp 184.</w:t>
      </w:r>
    </w:p>
    <w:p>
      <w:pPr>
        <w:pStyle w:val="BodyText"/>
        <w:spacing w:line="480" w:lineRule="auto"/>
        <w:ind w:left="2225" w:right="1420" w:hanging="900"/>
        <w:jc w:val="both"/>
      </w:pPr>
      <w:r>
        <w:rPr/>
        <w:t>Wallace,</w:t>
      </w:r>
      <w:r>
        <w:rPr>
          <w:spacing w:val="1"/>
        </w:rPr>
        <w:t> </w:t>
      </w:r>
      <w:r>
        <w:rPr/>
        <w:t>J. E, Biggs, J. D., Hamilton, E. H, Foster, L. L. and Blum, K (1973). U. V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phenacetin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specimens.</w:t>
      </w:r>
      <w:r>
        <w:rPr>
          <w:spacing w:val="-1"/>
        </w:rPr>
        <w:t> </w:t>
      </w:r>
      <w:r>
        <w:rPr/>
        <w:t>J. Pharm. Sci., 62 (4): 599 – 601.</w:t>
      </w:r>
    </w:p>
    <w:p>
      <w:pPr>
        <w:spacing w:line="480" w:lineRule="auto" w:before="0"/>
        <w:ind w:left="2225" w:right="1417" w:hanging="900"/>
        <w:jc w:val="both"/>
        <w:rPr>
          <w:sz w:val="24"/>
        </w:rPr>
      </w:pPr>
      <w:r>
        <w:rPr>
          <w:sz w:val="24"/>
        </w:rPr>
        <w:t>Ward</w:t>
      </w:r>
      <w:r>
        <w:rPr>
          <w:spacing w:val="1"/>
          <w:sz w:val="24"/>
        </w:rPr>
        <w:t> </w:t>
      </w:r>
      <w:r>
        <w:rPr>
          <w:sz w:val="24"/>
        </w:rPr>
        <w:t>N,</w:t>
      </w:r>
      <w:r>
        <w:rPr>
          <w:spacing w:val="1"/>
          <w:sz w:val="24"/>
        </w:rPr>
        <w:t> </w:t>
      </w:r>
      <w:r>
        <w:rPr>
          <w:sz w:val="24"/>
        </w:rPr>
        <w:t>Whitney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Avery</w:t>
      </w:r>
      <w:r>
        <w:rPr>
          <w:spacing w:val="1"/>
          <w:sz w:val="24"/>
        </w:rPr>
        <w:t> </w:t>
      </w:r>
      <w:r>
        <w:rPr>
          <w:sz w:val="24"/>
        </w:rPr>
        <w:t>D,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analgesic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caffeine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headache.</w:t>
      </w:r>
      <w:r>
        <w:rPr>
          <w:i/>
          <w:spacing w:val="-1"/>
          <w:sz w:val="24"/>
        </w:rPr>
        <w:t> </w:t>
      </w:r>
      <w:r>
        <w:rPr>
          <w:sz w:val="24"/>
        </w:rPr>
        <w:t>Pain 1991; 44:151–5</w:t>
      </w:r>
    </w:p>
    <w:p>
      <w:pPr>
        <w:spacing w:line="480" w:lineRule="auto" w:before="0"/>
        <w:ind w:left="2225" w:right="1414" w:hanging="900"/>
        <w:jc w:val="both"/>
        <w:rPr>
          <w:sz w:val="24"/>
        </w:rPr>
      </w:pPr>
      <w:r>
        <w:rPr>
          <w:sz w:val="24"/>
        </w:rPr>
        <w:t>Welling, P.G (1980). “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Bioavailability and 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 significance</w:t>
      </w:r>
      <w:r>
        <w:rPr>
          <w:sz w:val="24"/>
        </w:rPr>
        <w:t>”.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60"/>
          <w:sz w:val="24"/>
        </w:rPr>
        <w:t> </w:t>
      </w:r>
      <w:r>
        <w:rPr>
          <w:sz w:val="24"/>
        </w:rPr>
        <w:t>Progress</w:t>
      </w:r>
      <w:r>
        <w:rPr>
          <w:spacing w:val="-57"/>
          <w:sz w:val="24"/>
        </w:rPr>
        <w:t> </w:t>
      </w:r>
      <w:r>
        <w:rPr>
          <w:sz w:val="24"/>
        </w:rPr>
        <w:t>in drug metabolism, Vol. 4 ed. Bridges, J. W. and Chasseaud, L. F. A wiley –</w:t>
      </w:r>
      <w:r>
        <w:rPr>
          <w:spacing w:val="1"/>
          <w:sz w:val="24"/>
        </w:rPr>
        <w:t> </w:t>
      </w:r>
      <w:r>
        <w:rPr>
          <w:sz w:val="24"/>
        </w:rPr>
        <w:t>interscience</w:t>
      </w:r>
      <w:r>
        <w:rPr>
          <w:spacing w:val="-2"/>
          <w:sz w:val="24"/>
        </w:rPr>
        <w:t> </w:t>
      </w:r>
      <w:r>
        <w:rPr>
          <w:sz w:val="24"/>
        </w:rPr>
        <w:t>Publication. Pp 131</w:t>
      </w:r>
      <w:r>
        <w:rPr>
          <w:spacing w:val="2"/>
          <w:sz w:val="24"/>
        </w:rPr>
        <w:t> </w:t>
      </w:r>
      <w:r>
        <w:rPr>
          <w:sz w:val="24"/>
        </w:rPr>
        <w:t>– 163.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1"/>
        <w:rPr>
          <w:b/>
          <w:sz w:val="31"/>
        </w:rPr>
      </w:pPr>
    </w:p>
    <w:p>
      <w:pPr>
        <w:spacing w:line="237" w:lineRule="auto" w:before="0"/>
        <w:ind w:left="2525" w:right="0" w:hanging="120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saliva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healthy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subjects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administration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1g tablets</w:t>
      </w:r>
      <w:r>
        <w:rPr>
          <w:sz w:val="24"/>
        </w:rPr>
        <w:t>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1214"/>
        <w:gridCol w:w="1417"/>
        <w:gridCol w:w="1416"/>
        <w:gridCol w:w="1416"/>
        <w:gridCol w:w="1416"/>
        <w:gridCol w:w="1660"/>
      </w:tblGrid>
      <w:tr>
        <w:trPr>
          <w:trHeight w:val="379" w:hRule="atLeast"/>
        </w:trPr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</w:tr>
      <w:tr>
        <w:trPr>
          <w:trHeight w:val="1047" w:hRule="atLeast"/>
        </w:trPr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spacing w:before="19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</w:tr>
      <w:tr>
        <w:trPr>
          <w:trHeight w:val="376" w:hRule="atLeast"/>
        </w:trPr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6.35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7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2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</w:tr>
      <w:tr>
        <w:trPr>
          <w:trHeight w:val="476" w:hRule="atLeast"/>
        </w:trPr>
        <w:tc>
          <w:tcPr>
            <w:tcW w:w="1503" w:type="dxa"/>
          </w:tcPr>
          <w:p>
            <w:pPr>
              <w:pStyle w:val="TableParagraph"/>
              <w:spacing w:before="96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6"/>
              <w:ind w:left="235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6"/>
              <w:ind w:left="437"/>
              <w:rPr>
                <w:sz w:val="24"/>
              </w:rPr>
            </w:pPr>
            <w:r>
              <w:rPr>
                <w:sz w:val="24"/>
              </w:rPr>
              <w:t>11.60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6"/>
              <w:ind w:left="436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6"/>
              <w:ind w:left="434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6"/>
              <w:ind w:left="434"/>
              <w:rPr>
                <w:sz w:val="24"/>
              </w:rPr>
            </w:pPr>
            <w:r>
              <w:rPr>
                <w:sz w:val="24"/>
              </w:rPr>
              <w:t>10.90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6"/>
              <w:ind w:left="432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</w:tr>
      <w:tr>
        <w:trPr>
          <w:trHeight w:val="477" w:hRule="atLeast"/>
        </w:trPr>
        <w:tc>
          <w:tcPr>
            <w:tcW w:w="1503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14" w:type="dxa"/>
          </w:tcPr>
          <w:p>
            <w:pPr>
              <w:pStyle w:val="TableParagraph"/>
              <w:spacing w:before="94"/>
              <w:ind w:left="235"/>
              <w:rPr>
                <w:sz w:val="24"/>
              </w:rPr>
            </w:pPr>
            <w:r>
              <w:rPr>
                <w:sz w:val="24"/>
              </w:rPr>
              <w:t>14.80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4"/>
              <w:ind w:left="437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6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4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4"/>
              <w:ind w:left="432"/>
              <w:rPr>
                <w:sz w:val="24"/>
              </w:rPr>
            </w:pPr>
            <w:r>
              <w:rPr>
                <w:sz w:val="24"/>
              </w:rPr>
              <w:t>15.70</w:t>
            </w:r>
          </w:p>
        </w:tc>
      </w:tr>
      <w:tr>
        <w:trPr>
          <w:trHeight w:val="478" w:hRule="atLeast"/>
        </w:trPr>
        <w:tc>
          <w:tcPr>
            <w:tcW w:w="1503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7"/>
              <w:ind w:left="235"/>
              <w:rPr>
                <w:sz w:val="24"/>
              </w:rPr>
            </w:pPr>
            <w:r>
              <w:rPr>
                <w:sz w:val="24"/>
              </w:rPr>
              <w:t>20.80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7"/>
              <w:ind w:left="437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6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4"/>
              <w:rPr>
                <w:sz w:val="24"/>
              </w:rPr>
            </w:pPr>
            <w:r>
              <w:rPr>
                <w:sz w:val="24"/>
              </w:rPr>
              <w:t>23.90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4"/>
              <w:rPr>
                <w:sz w:val="24"/>
              </w:rPr>
            </w:pPr>
            <w:r>
              <w:rPr>
                <w:sz w:val="24"/>
              </w:rPr>
              <w:t>21.20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7"/>
              <w:ind w:left="432"/>
              <w:rPr>
                <w:sz w:val="24"/>
              </w:rPr>
            </w:pPr>
            <w:r>
              <w:rPr>
                <w:sz w:val="24"/>
              </w:rPr>
              <w:t>22.20</w:t>
            </w:r>
          </w:p>
        </w:tc>
      </w:tr>
      <w:tr>
        <w:trPr>
          <w:trHeight w:val="477" w:hRule="atLeast"/>
        </w:trPr>
        <w:tc>
          <w:tcPr>
            <w:tcW w:w="1503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5"/>
              <w:ind w:left="235"/>
              <w:rPr>
                <w:sz w:val="24"/>
              </w:rPr>
            </w:pPr>
            <w:r>
              <w:rPr>
                <w:sz w:val="24"/>
              </w:rPr>
              <w:t>18.20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5"/>
              <w:ind w:left="437"/>
              <w:rPr>
                <w:sz w:val="24"/>
              </w:rPr>
            </w:pPr>
            <w:r>
              <w:rPr>
                <w:sz w:val="24"/>
              </w:rPr>
              <w:t>18.60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18.40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5"/>
              <w:ind w:left="432"/>
              <w:rPr>
                <w:sz w:val="24"/>
              </w:rPr>
            </w:pPr>
            <w:r>
              <w:rPr>
                <w:sz w:val="24"/>
              </w:rPr>
              <w:t>19.30</w:t>
            </w:r>
          </w:p>
        </w:tc>
      </w:tr>
      <w:tr>
        <w:trPr>
          <w:trHeight w:val="477" w:hRule="atLeast"/>
        </w:trPr>
        <w:tc>
          <w:tcPr>
            <w:tcW w:w="1503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5"/>
              <w:ind w:left="235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5"/>
              <w:ind w:left="437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15.70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5"/>
              <w:ind w:left="432"/>
              <w:rPr>
                <w:sz w:val="24"/>
              </w:rPr>
            </w:pPr>
            <w:r>
              <w:rPr>
                <w:sz w:val="24"/>
              </w:rPr>
              <w:t>16.70</w:t>
            </w:r>
          </w:p>
        </w:tc>
      </w:tr>
      <w:tr>
        <w:trPr>
          <w:trHeight w:val="476" w:hRule="atLeast"/>
        </w:trPr>
        <w:tc>
          <w:tcPr>
            <w:tcW w:w="1503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5"/>
              <w:ind w:left="235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5"/>
              <w:ind w:left="437"/>
              <w:rPr>
                <w:sz w:val="24"/>
              </w:rPr>
            </w:pPr>
            <w:r>
              <w:rPr>
                <w:sz w:val="24"/>
              </w:rPr>
              <w:t>13.80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5"/>
              <w:ind w:left="432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</w:tr>
      <w:tr>
        <w:trPr>
          <w:trHeight w:val="477" w:hRule="atLeast"/>
        </w:trPr>
        <w:tc>
          <w:tcPr>
            <w:tcW w:w="1503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4"/>
              <w:ind w:left="235"/>
              <w:rPr>
                <w:sz w:val="24"/>
              </w:rPr>
            </w:pPr>
            <w:r>
              <w:rPr>
                <w:sz w:val="24"/>
              </w:rPr>
              <w:t>12.80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4"/>
              <w:ind w:left="437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6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4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4"/>
              <w:rPr>
                <w:sz w:val="24"/>
              </w:rPr>
            </w:pPr>
            <w:r>
              <w:rPr>
                <w:sz w:val="24"/>
              </w:rPr>
              <w:t>11.70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4"/>
              <w:ind w:left="432"/>
              <w:rPr>
                <w:sz w:val="24"/>
              </w:rPr>
            </w:pPr>
            <w:r>
              <w:rPr>
                <w:sz w:val="24"/>
              </w:rPr>
              <w:t>11.60</w:t>
            </w:r>
          </w:p>
        </w:tc>
      </w:tr>
      <w:tr>
        <w:trPr>
          <w:trHeight w:val="478" w:hRule="atLeast"/>
        </w:trPr>
        <w:tc>
          <w:tcPr>
            <w:tcW w:w="1503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7"/>
              <w:ind w:left="235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7"/>
              <w:ind w:left="437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6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4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4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7"/>
              <w:ind w:left="432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</w:tr>
      <w:tr>
        <w:trPr>
          <w:trHeight w:val="590" w:hRule="atLeast"/>
        </w:trPr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35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7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2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68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6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spacing w:line="242" w:lineRule="auto" w:before="215"/>
        <w:ind w:left="2525" w:right="0" w:hanging="120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saliva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healthy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subjects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administration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1g tablets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wash out).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1011"/>
        <w:gridCol w:w="1219"/>
        <w:gridCol w:w="1219"/>
        <w:gridCol w:w="1218"/>
        <w:gridCol w:w="1218"/>
        <w:gridCol w:w="1449"/>
      </w:tblGrid>
      <w:tr>
        <w:trPr>
          <w:trHeight w:val="379" w:hRule="atLeast"/>
        </w:trPr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</w:tr>
      <w:tr>
        <w:trPr>
          <w:trHeight w:val="1047" w:hRule="atLeast"/>
        </w:trPr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spacing w:before="20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</w:tr>
      <w:tr>
        <w:trPr>
          <w:trHeight w:val="376" w:hRule="atLeast"/>
        </w:trPr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9.90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9.80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6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6"/>
              <w:ind w:left="132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6"/>
              <w:ind w:left="338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6"/>
              <w:ind w:left="338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6"/>
              <w:ind w:left="336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6"/>
              <w:ind w:left="336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6"/>
              <w:ind w:left="335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16.80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16.70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4"/>
              <w:ind w:left="335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</w:tr>
      <w:tr>
        <w:trPr>
          <w:trHeight w:val="477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23.80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22.20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25.20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19.20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18.60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19.60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18.50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4"/>
              <w:ind w:left="335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14.90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13.60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14.60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11.70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11.90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11.80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4"/>
              <w:ind w:left="335"/>
              <w:rPr>
                <w:sz w:val="24"/>
              </w:rPr>
            </w:pPr>
            <w:r>
              <w:rPr>
                <w:sz w:val="24"/>
              </w:rPr>
              <w:t>10.90</w:t>
            </w:r>
          </w:p>
        </w:tc>
      </w:tr>
      <w:tr>
        <w:trPr>
          <w:trHeight w:val="477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</w:tr>
      <w:tr>
        <w:trPr>
          <w:trHeight w:val="578" w:hRule="atLeast"/>
        </w:trPr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68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6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10"/>
        <w:rPr>
          <w:b/>
          <w:sz w:val="30"/>
        </w:rPr>
      </w:pPr>
    </w:p>
    <w:p>
      <w:pPr>
        <w:spacing w:line="242" w:lineRule="auto" w:before="0"/>
        <w:ind w:left="2405" w:right="2246" w:hanging="1080"/>
        <w:jc w:val="left"/>
        <w:rPr>
          <w:b/>
          <w:sz w:val="24"/>
        </w:rPr>
      </w:pPr>
      <w:r>
        <w:rPr>
          <w:b/>
          <w:sz w:val="24"/>
        </w:rPr>
        <w:t>Table 3: Mean Pharmacokinetic Parameters for samples of Paracetamol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saliva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volunteers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administration of 1g Samples.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308"/>
        <w:gridCol w:w="1318"/>
        <w:gridCol w:w="1318"/>
        <w:gridCol w:w="1309"/>
        <w:gridCol w:w="1309"/>
        <w:gridCol w:w="1669"/>
      </w:tblGrid>
      <w:tr>
        <w:trPr>
          <w:trHeight w:val="379" w:hRule="atLeast"/>
        </w:trPr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8231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60" w:val="left" w:leader="none"/>
                <w:tab w:pos="3028" w:val="left" w:leader="none"/>
                <w:tab w:pos="4388" w:val="left" w:leader="none"/>
                <w:tab w:pos="6035" w:val="left" w:leader="none"/>
                <w:tab w:pos="7496" w:val="right" w:leader="none"/>
              </w:tabs>
              <w:spacing w:before="3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  <w:tab/>
              <w:t>II</w:t>
              <w:tab/>
              <w:t>III</w:t>
              <w:tab/>
              <w:t>IV</w:t>
              <w:tab/>
              <w:t>V</w:t>
              <w:tab/>
              <w:t>VI</w:t>
            </w:r>
          </w:p>
        </w:tc>
      </w:tr>
      <w:tr>
        <w:trPr>
          <w:trHeight w:val="1323" w:hRule="atLeast"/>
        </w:trPr>
        <w:tc>
          <w:tcPr>
            <w:tcW w:w="1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spacing w:line="242" w:lineRule="auto" w:before="197"/>
              <w:ind w:left="11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Pharmacokinetic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AI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58" w:right="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</w:tr>
      <w:tr>
        <w:trPr>
          <w:trHeight w:val="375" w:hRule="atLeast"/>
        </w:trPr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Lag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 (min)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5.00±0.45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4.00±0.22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5.00±0.45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4.00±0.22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5.00±0.45</w:t>
            </w:r>
          </w:p>
        </w:tc>
        <w:tc>
          <w:tcPr>
            <w:tcW w:w="1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4.00±0.22</w:t>
            </w:r>
          </w:p>
        </w:tc>
      </w:tr>
      <w:tr>
        <w:trPr>
          <w:trHeight w:val="483" w:hRule="atLeast"/>
        </w:trPr>
        <w:tc>
          <w:tcPr>
            <w:tcW w:w="1973" w:type="dxa"/>
          </w:tcPr>
          <w:p>
            <w:pPr>
              <w:pStyle w:val="TableParagraph"/>
              <w:spacing w:before="98"/>
              <w:ind w:left="11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(µg/ml)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20.80±0.18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24.10±0.60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20.60±0.18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23.90±0.60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21.20±0.18</w:t>
            </w:r>
          </w:p>
        </w:tc>
        <w:tc>
          <w:tcPr>
            <w:tcW w:w="1669" w:type="dxa"/>
          </w:tcPr>
          <w:p>
            <w:pPr>
              <w:pStyle w:val="TableParagraph"/>
              <w:spacing w:before="98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22.20±0.60</w:t>
            </w:r>
          </w:p>
        </w:tc>
      </w:tr>
      <w:tr>
        <w:trPr>
          <w:trHeight w:val="476" w:hRule="atLeast"/>
        </w:trPr>
        <w:tc>
          <w:tcPr>
            <w:tcW w:w="1973" w:type="dxa"/>
          </w:tcPr>
          <w:p>
            <w:pPr>
              <w:pStyle w:val="TableParagraph"/>
              <w:spacing w:before="92"/>
              <w:ind w:left="11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2"/>
              <w:ind w:left="11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2"/>
              <w:ind w:left="16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2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669" w:type="dxa"/>
          </w:tcPr>
          <w:p>
            <w:pPr>
              <w:pStyle w:val="TableParagraph"/>
              <w:spacing w:before="92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</w:tr>
      <w:tr>
        <w:trPr>
          <w:trHeight w:val="468" w:hRule="atLeast"/>
        </w:trPr>
        <w:tc>
          <w:tcPr>
            <w:tcW w:w="1973" w:type="dxa"/>
          </w:tcPr>
          <w:p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(µg/ml/hr)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0.98±0.01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0.62±0.04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17"/>
              <w:rPr>
                <w:sz w:val="24"/>
              </w:rPr>
            </w:pPr>
            <w:r>
              <w:rPr>
                <w:sz w:val="24"/>
              </w:rPr>
              <w:t>0.97±0.01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167"/>
              <w:rPr>
                <w:sz w:val="24"/>
              </w:rPr>
            </w:pPr>
            <w:r>
              <w:rPr>
                <w:sz w:val="24"/>
              </w:rPr>
              <w:t>0.76±0.04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0.95±0.01</w:t>
            </w:r>
          </w:p>
        </w:tc>
        <w:tc>
          <w:tcPr>
            <w:tcW w:w="1669" w:type="dxa"/>
          </w:tcPr>
          <w:p>
            <w:pPr>
              <w:pStyle w:val="TableParagraph"/>
              <w:spacing w:before="91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0.68±0.04</w:t>
            </w:r>
          </w:p>
        </w:tc>
      </w:tr>
      <w:tr>
        <w:trPr>
          <w:trHeight w:val="476" w:hRule="atLeast"/>
        </w:trPr>
        <w:tc>
          <w:tcPr>
            <w:tcW w:w="1973" w:type="dxa"/>
          </w:tcPr>
          <w:p>
            <w:pPr>
              <w:pStyle w:val="TableParagraph"/>
              <w:spacing w:before="98"/>
              <w:ind w:left="119"/>
              <w:rPr>
                <w:sz w:val="24"/>
              </w:rPr>
            </w:pPr>
            <w:r>
              <w:rPr>
                <w:sz w:val="24"/>
              </w:rPr>
              <w:t>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(µg/ml/hr)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10.80±0.78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13.18±2.36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11.21±0.78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167"/>
              <w:rPr>
                <w:sz w:val="24"/>
              </w:rPr>
            </w:pPr>
            <w:r>
              <w:rPr>
                <w:sz w:val="24"/>
              </w:rPr>
              <w:t>7.54±2.36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8.71±0.78</w:t>
            </w:r>
          </w:p>
        </w:tc>
        <w:tc>
          <w:tcPr>
            <w:tcW w:w="1669" w:type="dxa"/>
          </w:tcPr>
          <w:p>
            <w:pPr>
              <w:pStyle w:val="TableParagraph"/>
              <w:spacing w:before="98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15.47±2.36</w:t>
            </w:r>
          </w:p>
        </w:tc>
      </w:tr>
      <w:tr>
        <w:trPr>
          <w:trHeight w:val="483" w:hRule="atLeast"/>
        </w:trPr>
        <w:tc>
          <w:tcPr>
            <w:tcW w:w="1973" w:type="dxa"/>
          </w:tcPr>
          <w:p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1/2α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15.59±1.12</w:t>
            </w:r>
          </w:p>
        </w:tc>
        <w:tc>
          <w:tcPr>
            <w:tcW w:w="131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19.02±3.40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16.17±1.12</w:t>
            </w: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10.88±3.40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12.57±1.12</w:t>
            </w:r>
          </w:p>
        </w:tc>
        <w:tc>
          <w:tcPr>
            <w:tcW w:w="1669" w:type="dxa"/>
          </w:tcPr>
          <w:p>
            <w:pPr>
              <w:pStyle w:val="TableParagraph"/>
              <w:spacing w:before="99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22.32±3.40</w:t>
            </w:r>
          </w:p>
        </w:tc>
      </w:tr>
      <w:tr>
        <w:trPr>
          <w:trHeight w:val="475" w:hRule="atLeast"/>
        </w:trPr>
        <w:tc>
          <w:tcPr>
            <w:tcW w:w="1973" w:type="dxa"/>
          </w:tcPr>
          <w:p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1/2β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1.41±0.01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0.89±0.06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17"/>
              <w:rPr>
                <w:sz w:val="24"/>
              </w:rPr>
            </w:pPr>
            <w:r>
              <w:rPr>
                <w:sz w:val="24"/>
              </w:rPr>
              <w:t>1.40±0.01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167"/>
              <w:rPr>
                <w:sz w:val="24"/>
              </w:rPr>
            </w:pPr>
            <w:r>
              <w:rPr>
                <w:sz w:val="24"/>
              </w:rPr>
              <w:t>1.10±0.06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1.36±0.01</w:t>
            </w:r>
          </w:p>
        </w:tc>
        <w:tc>
          <w:tcPr>
            <w:tcW w:w="1669" w:type="dxa"/>
          </w:tcPr>
          <w:p>
            <w:pPr>
              <w:pStyle w:val="TableParagraph"/>
              <w:spacing w:before="91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0.98±0.06</w:t>
            </w:r>
          </w:p>
        </w:tc>
      </w:tr>
      <w:tr>
        <w:trPr>
          <w:trHeight w:val="469" w:hRule="atLeast"/>
        </w:trPr>
        <w:tc>
          <w:tcPr>
            <w:tcW w:w="1973" w:type="dxa"/>
          </w:tcPr>
          <w:p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sz w:val="24"/>
              </w:rPr>
              <w:t>Vd(ml)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17422.00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18654.11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17"/>
              <w:rPr>
                <w:sz w:val="24"/>
              </w:rPr>
            </w:pPr>
            <w:r>
              <w:rPr>
                <w:sz w:val="24"/>
              </w:rPr>
              <w:t>21834.41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203"/>
              <w:rPr>
                <w:sz w:val="24"/>
              </w:rPr>
            </w:pPr>
            <w:r>
              <w:rPr>
                <w:sz w:val="24"/>
              </w:rPr>
              <w:t>14010.77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17776.23</w:t>
            </w:r>
          </w:p>
        </w:tc>
        <w:tc>
          <w:tcPr>
            <w:tcW w:w="1669" w:type="dxa"/>
          </w:tcPr>
          <w:p>
            <w:pPr>
              <w:pStyle w:val="TableParagraph"/>
              <w:spacing w:before="91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20866.04</w:t>
            </w:r>
          </w:p>
        </w:tc>
      </w:tr>
      <w:tr>
        <w:trPr>
          <w:trHeight w:val="476" w:hRule="atLeast"/>
        </w:trPr>
        <w:tc>
          <w:tcPr>
            <w:tcW w:w="1973" w:type="dxa"/>
          </w:tcPr>
          <w:p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(ml/Hr)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17003.87</w:t>
            </w:r>
          </w:p>
        </w:tc>
        <w:tc>
          <w:tcPr>
            <w:tcW w:w="131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11466.70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21092.04</w:t>
            </w: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left="203"/>
              <w:rPr>
                <w:sz w:val="24"/>
              </w:rPr>
            </w:pPr>
            <w:r>
              <w:rPr>
                <w:sz w:val="24"/>
              </w:rPr>
              <w:t>10680.41</w:t>
            </w: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16791.42</w:t>
            </w:r>
          </w:p>
        </w:tc>
        <w:tc>
          <w:tcPr>
            <w:tcW w:w="1669" w:type="dxa"/>
          </w:tcPr>
          <w:p>
            <w:pPr>
              <w:pStyle w:val="TableParagraph"/>
              <w:spacing w:before="99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14128.40</w:t>
            </w:r>
          </w:p>
        </w:tc>
      </w:tr>
      <w:tr>
        <w:trPr>
          <w:trHeight w:val="482" w:hRule="atLeast"/>
        </w:trPr>
        <w:tc>
          <w:tcPr>
            <w:tcW w:w="1973" w:type="dxa"/>
          </w:tcPr>
          <w:p>
            <w:pPr>
              <w:pStyle w:val="TableParagraph"/>
              <w:spacing w:before="98"/>
              <w:ind w:left="119"/>
              <w:rPr>
                <w:sz w:val="24"/>
              </w:rPr>
            </w:pPr>
            <w:r>
              <w:rPr>
                <w:sz w:val="24"/>
              </w:rPr>
              <w:t>AUC</w:t>
            </w:r>
            <w:r>
              <w:rPr>
                <w:sz w:val="24"/>
                <w:vertAlign w:val="subscript"/>
              </w:rPr>
              <w:t>0-6hr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(µg/ml)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5308.75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5976.25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5127.25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263"/>
              <w:rPr>
                <w:sz w:val="24"/>
              </w:rPr>
            </w:pPr>
            <w:r>
              <w:rPr>
                <w:sz w:val="24"/>
              </w:rPr>
              <w:t>7124.00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7276.00</w:t>
            </w:r>
          </w:p>
        </w:tc>
        <w:tc>
          <w:tcPr>
            <w:tcW w:w="1669" w:type="dxa"/>
          </w:tcPr>
          <w:p>
            <w:pPr>
              <w:pStyle w:val="TableParagraph"/>
              <w:spacing w:before="98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5616.00</w:t>
            </w:r>
          </w:p>
        </w:tc>
      </w:tr>
      <w:tr>
        <w:trPr>
          <w:trHeight w:val="570" w:hRule="atLeast"/>
        </w:trPr>
        <w:tc>
          <w:tcPr>
            <w:tcW w:w="1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sz w:val="24"/>
              </w:rPr>
              <w:t>AUC</w:t>
            </w:r>
            <w:r>
              <w:rPr>
                <w:sz w:val="24"/>
                <w:vertAlign w:val="subscript"/>
              </w:rPr>
              <w:t>0-∞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(µg/ml)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5310.15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5978.79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17"/>
              <w:rPr>
                <w:sz w:val="24"/>
              </w:rPr>
            </w:pPr>
            <w:r>
              <w:rPr>
                <w:sz w:val="24"/>
              </w:rPr>
              <w:t>5128.70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263"/>
              <w:rPr>
                <w:sz w:val="24"/>
              </w:rPr>
            </w:pPr>
            <w:r>
              <w:rPr>
                <w:sz w:val="24"/>
              </w:rPr>
              <w:t>7126.02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7277.51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5618.17</w:t>
            </w:r>
          </w:p>
        </w:tc>
      </w:tr>
    </w:tbl>
    <w:p>
      <w:pPr>
        <w:pStyle w:val="BodyText"/>
        <w:spacing w:line="242" w:lineRule="auto"/>
        <w:ind w:left="1325" w:right="1417"/>
      </w:pPr>
      <w:r>
        <w:rPr/>
        <w:t>Data</w:t>
      </w:r>
      <w:r>
        <w:rPr>
          <w:spacing w:val="34"/>
        </w:rPr>
        <w:t> </w:t>
      </w:r>
      <w:r>
        <w:rPr/>
        <w:t>was</w:t>
      </w:r>
      <w:r>
        <w:rPr>
          <w:spacing w:val="36"/>
        </w:rPr>
        <w:t> </w:t>
      </w:r>
      <w:r>
        <w:rPr/>
        <w:t>analysed</w:t>
      </w:r>
      <w:r>
        <w:rPr>
          <w:spacing w:val="36"/>
        </w:rPr>
        <w:t> </w:t>
      </w:r>
      <w:r>
        <w:rPr/>
        <w:t>using</w:t>
      </w:r>
      <w:r>
        <w:rPr>
          <w:spacing w:val="34"/>
        </w:rPr>
        <w:t> </w:t>
      </w:r>
      <w:r>
        <w:rPr/>
        <w:t>independent</w:t>
      </w:r>
      <w:r>
        <w:rPr>
          <w:spacing w:val="35"/>
        </w:rPr>
        <w:t> </w:t>
      </w:r>
      <w:r>
        <w:rPr/>
        <w:t>student</w:t>
      </w:r>
      <w:r>
        <w:rPr>
          <w:spacing w:val="36"/>
        </w:rPr>
        <w:t> </w:t>
      </w:r>
      <w:r>
        <w:rPr/>
        <w:t>paired</w:t>
      </w:r>
      <w:r>
        <w:rPr>
          <w:spacing w:val="35"/>
        </w:rPr>
        <w:t> </w:t>
      </w:r>
      <w:r>
        <w:rPr/>
        <w:t>t-</w:t>
      </w:r>
      <w:r>
        <w:rPr>
          <w:spacing w:val="34"/>
        </w:rPr>
        <w:t> </w:t>
      </w:r>
      <w:r>
        <w:rPr/>
        <w:t>test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*</w:t>
      </w:r>
      <w:r>
        <w:rPr>
          <w:spacing w:val="35"/>
        </w:rPr>
        <w:t> </w:t>
      </w:r>
      <w:r>
        <w:rPr/>
        <w:t>p&lt;0.05,</w:t>
      </w:r>
      <w:r>
        <w:rPr>
          <w:spacing w:val="34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difference.</w:t>
      </w:r>
      <w:r>
        <w:rPr>
          <w:spacing w:val="-1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expressed as</w:t>
      </w:r>
      <w:r>
        <w:rPr>
          <w:spacing w:val="1"/>
        </w:rPr>
        <w:t> </w:t>
      </w:r>
      <w:r>
        <w:rPr/>
        <w:t>mean ± SEM.</w:t>
      </w:r>
    </w:p>
    <w:p>
      <w:pPr>
        <w:pStyle w:val="BodyText"/>
        <w:spacing w:before="189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1"/>
        <w:ind w:left="186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spacing w:line="242" w:lineRule="auto" w:before="215"/>
        <w:ind w:left="2405" w:right="1634" w:hanging="108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Pharmacokinetic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saliva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volunteers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(after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washout)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1"/>
        <w:gridCol w:w="1399"/>
        <w:gridCol w:w="1428"/>
        <w:gridCol w:w="1428"/>
        <w:gridCol w:w="1428"/>
        <w:gridCol w:w="1398"/>
        <w:gridCol w:w="1212"/>
      </w:tblGrid>
      <w:tr>
        <w:trPr>
          <w:trHeight w:val="379" w:hRule="atLeast"/>
        </w:trPr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8293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852" w:val="left" w:leader="none"/>
                <w:tab w:pos="3420" w:val="left" w:leader="none"/>
                <w:tab w:pos="4840" w:val="left" w:leader="none"/>
                <w:tab w:pos="6247" w:val="left" w:leader="none"/>
                <w:tab w:pos="7948" w:val="right" w:leader="none"/>
              </w:tabs>
              <w:spacing w:before="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  <w:tab/>
              <w:t>II</w:t>
              <w:tab/>
              <w:t>III</w:t>
              <w:tab/>
              <w:t>IV</w:t>
              <w:tab/>
              <w:t>V</w:t>
              <w:tab/>
              <w:t>VI</w:t>
            </w:r>
          </w:p>
        </w:tc>
      </w:tr>
      <w:tr>
        <w:trPr>
          <w:trHeight w:val="1323" w:hRule="atLeast"/>
        </w:trPr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spacing w:line="242" w:lineRule="auto" w:before="199"/>
              <w:ind w:left="117" w:right="1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Pharmacokinetic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AI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4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4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49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598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</w:tr>
      <w:tr>
        <w:trPr>
          <w:trHeight w:val="377" w:hRule="atLeast"/>
        </w:trPr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Lag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57" w:right="482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483" w:hRule="atLeast"/>
        </w:trPr>
        <w:tc>
          <w:tcPr>
            <w:tcW w:w="2001" w:type="dxa"/>
          </w:tcPr>
          <w:p>
            <w:pPr>
              <w:pStyle w:val="TableParagraph"/>
              <w:spacing w:before="10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z w:val="24"/>
                <w:vertAlign w:val="subscript"/>
              </w:rPr>
              <w:t>max</w:t>
            </w:r>
            <w:r>
              <w:rPr>
                <w:b/>
                <w:spacing w:val="-4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6"/>
              <w:ind w:left="139"/>
              <w:rPr>
                <w:sz w:val="24"/>
              </w:rPr>
            </w:pPr>
            <w:r>
              <w:rPr>
                <w:sz w:val="24"/>
              </w:rPr>
              <w:t>23.80±0.42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68"/>
              <w:rPr>
                <w:sz w:val="24"/>
              </w:rPr>
            </w:pPr>
            <w:r>
              <w:rPr>
                <w:sz w:val="24"/>
              </w:rPr>
              <w:t>22.50±0.88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24.20±0.42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69"/>
              <w:rPr>
                <w:sz w:val="24"/>
              </w:rPr>
            </w:pPr>
            <w:r>
              <w:rPr>
                <w:sz w:val="24"/>
              </w:rPr>
              <w:t>22.20±0.88</w:t>
            </w:r>
          </w:p>
        </w:tc>
        <w:tc>
          <w:tcPr>
            <w:tcW w:w="1398" w:type="dxa"/>
          </w:tcPr>
          <w:p>
            <w:pPr>
              <w:pStyle w:val="TableParagraph"/>
              <w:spacing w:before="96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25.20±0.42</w:t>
            </w:r>
          </w:p>
        </w:tc>
        <w:tc>
          <w:tcPr>
            <w:tcW w:w="1212" w:type="dxa"/>
          </w:tcPr>
          <w:p>
            <w:pPr>
              <w:pStyle w:val="TableParagraph"/>
              <w:spacing w:before="96"/>
              <w:ind w:left="140" w:right="-29"/>
              <w:rPr>
                <w:sz w:val="24"/>
              </w:rPr>
            </w:pPr>
            <w:r>
              <w:rPr>
                <w:sz w:val="24"/>
              </w:rPr>
              <w:t>22.30±0.88</w:t>
            </w:r>
          </w:p>
        </w:tc>
      </w:tr>
      <w:tr>
        <w:trPr>
          <w:trHeight w:val="476" w:hRule="atLeast"/>
        </w:trPr>
        <w:tc>
          <w:tcPr>
            <w:tcW w:w="2001" w:type="dxa"/>
          </w:tcPr>
          <w:p>
            <w:pPr>
              <w:pStyle w:val="TableParagraph"/>
              <w:spacing w:before="9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max</w:t>
            </w:r>
            <w:r>
              <w:rPr>
                <w:b/>
                <w:spacing w:val="-3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0"/>
              <w:ind w:left="199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0"/>
              <w:ind w:left="228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0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0"/>
              <w:ind w:left="229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98" w:type="dxa"/>
          </w:tcPr>
          <w:p>
            <w:pPr>
              <w:pStyle w:val="TableParagraph"/>
              <w:spacing w:before="90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212" w:type="dxa"/>
          </w:tcPr>
          <w:p>
            <w:pPr>
              <w:pStyle w:val="TableParagraph"/>
              <w:spacing w:before="90"/>
              <w:ind w:left="140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</w:tr>
      <w:tr>
        <w:trPr>
          <w:trHeight w:val="468" w:hRule="atLeast"/>
        </w:trPr>
        <w:tc>
          <w:tcPr>
            <w:tcW w:w="2001" w:type="dxa"/>
          </w:tcPr>
          <w:p>
            <w:pPr>
              <w:pStyle w:val="TableParagraph"/>
              <w:spacing w:before="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(µg/ml/hr)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89"/>
              <w:ind w:left="199"/>
              <w:rPr>
                <w:sz w:val="24"/>
              </w:rPr>
            </w:pPr>
            <w:r>
              <w:rPr>
                <w:sz w:val="24"/>
              </w:rPr>
              <w:t>0.73±0.05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28"/>
              <w:rPr>
                <w:sz w:val="24"/>
              </w:rPr>
            </w:pPr>
            <w:r>
              <w:rPr>
                <w:sz w:val="24"/>
              </w:rPr>
              <w:t>0.95±0.01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0.66±0.05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29"/>
              <w:rPr>
                <w:sz w:val="24"/>
              </w:rPr>
            </w:pPr>
            <w:r>
              <w:rPr>
                <w:sz w:val="24"/>
              </w:rPr>
              <w:t>0.92±0.01</w:t>
            </w:r>
          </w:p>
        </w:tc>
        <w:tc>
          <w:tcPr>
            <w:tcW w:w="1398" w:type="dxa"/>
          </w:tcPr>
          <w:p>
            <w:pPr>
              <w:pStyle w:val="TableParagraph"/>
              <w:spacing w:before="8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0.82±0.05</w:t>
            </w:r>
          </w:p>
        </w:tc>
        <w:tc>
          <w:tcPr>
            <w:tcW w:w="1212" w:type="dxa"/>
          </w:tcPr>
          <w:p>
            <w:pPr>
              <w:pStyle w:val="TableParagraph"/>
              <w:spacing w:before="89"/>
              <w:ind w:left="140"/>
              <w:rPr>
                <w:sz w:val="24"/>
              </w:rPr>
            </w:pPr>
            <w:r>
              <w:rPr>
                <w:sz w:val="24"/>
              </w:rPr>
              <w:t>0.91±0.01</w:t>
            </w:r>
          </w:p>
        </w:tc>
      </w:tr>
      <w:tr>
        <w:trPr>
          <w:trHeight w:val="476" w:hRule="atLeast"/>
        </w:trPr>
        <w:tc>
          <w:tcPr>
            <w:tcW w:w="2001" w:type="dxa"/>
          </w:tcPr>
          <w:p>
            <w:pPr>
              <w:pStyle w:val="TableParagraph"/>
              <w:spacing w:before="10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(µg/ml/hr)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6"/>
              <w:ind w:left="199"/>
              <w:rPr>
                <w:sz w:val="24"/>
              </w:rPr>
            </w:pPr>
            <w:r>
              <w:rPr>
                <w:sz w:val="24"/>
              </w:rPr>
              <w:t>7.40±0.93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228"/>
              <w:rPr>
                <w:sz w:val="24"/>
              </w:rPr>
            </w:pPr>
            <w:r>
              <w:rPr>
                <w:sz w:val="24"/>
              </w:rPr>
              <w:t>6.89±1.22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9.59±0.93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69"/>
              <w:rPr>
                <w:sz w:val="24"/>
              </w:rPr>
            </w:pPr>
            <w:r>
              <w:rPr>
                <w:sz w:val="24"/>
              </w:rPr>
              <w:t>10.93±1.22</w:t>
            </w:r>
          </w:p>
        </w:tc>
        <w:tc>
          <w:tcPr>
            <w:tcW w:w="1398" w:type="dxa"/>
          </w:tcPr>
          <w:p>
            <w:pPr>
              <w:pStyle w:val="TableParagraph"/>
              <w:spacing w:before="96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10.49±0.93</w:t>
            </w:r>
          </w:p>
        </w:tc>
        <w:tc>
          <w:tcPr>
            <w:tcW w:w="1212" w:type="dxa"/>
          </w:tcPr>
          <w:p>
            <w:pPr>
              <w:pStyle w:val="TableParagraph"/>
              <w:spacing w:before="96"/>
              <w:ind w:left="140"/>
              <w:rPr>
                <w:sz w:val="24"/>
              </w:rPr>
            </w:pPr>
            <w:r>
              <w:rPr>
                <w:sz w:val="24"/>
              </w:rPr>
              <w:t>9.95±1.22</w:t>
            </w:r>
          </w:p>
        </w:tc>
      </w:tr>
      <w:tr>
        <w:trPr>
          <w:trHeight w:val="483" w:hRule="atLeast"/>
        </w:trPr>
        <w:tc>
          <w:tcPr>
            <w:tcW w:w="2001" w:type="dxa"/>
          </w:tcPr>
          <w:p>
            <w:pPr>
              <w:pStyle w:val="TableParagraph"/>
              <w:spacing w:before="10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i/>
                <w:sz w:val="24"/>
                <w:vertAlign w:val="subscript"/>
              </w:rPr>
              <w:t>1/2α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7"/>
              <w:ind w:left="139"/>
              <w:rPr>
                <w:sz w:val="24"/>
              </w:rPr>
            </w:pPr>
            <w:r>
              <w:rPr>
                <w:sz w:val="24"/>
              </w:rPr>
              <w:t>10.62±1.34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228"/>
              <w:rPr>
                <w:sz w:val="24"/>
              </w:rPr>
            </w:pPr>
            <w:r>
              <w:rPr>
                <w:sz w:val="24"/>
              </w:rPr>
              <w:t>9.94±1.76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13.83±1.34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169"/>
              <w:rPr>
                <w:sz w:val="24"/>
              </w:rPr>
            </w:pPr>
            <w:r>
              <w:rPr>
                <w:sz w:val="24"/>
              </w:rPr>
              <w:t>15.77±1.76</w:t>
            </w:r>
          </w:p>
        </w:tc>
        <w:tc>
          <w:tcPr>
            <w:tcW w:w="1398" w:type="dxa"/>
          </w:tcPr>
          <w:p>
            <w:pPr>
              <w:pStyle w:val="TableParagraph"/>
              <w:spacing w:before="97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15.13±1.34</w:t>
            </w:r>
          </w:p>
        </w:tc>
        <w:tc>
          <w:tcPr>
            <w:tcW w:w="1212" w:type="dxa"/>
          </w:tcPr>
          <w:p>
            <w:pPr>
              <w:pStyle w:val="TableParagraph"/>
              <w:spacing w:before="97"/>
              <w:ind w:left="140" w:right="-29"/>
              <w:rPr>
                <w:sz w:val="24"/>
              </w:rPr>
            </w:pPr>
            <w:r>
              <w:rPr>
                <w:sz w:val="24"/>
              </w:rPr>
              <w:t>14.36±1.76</w:t>
            </w:r>
          </w:p>
        </w:tc>
      </w:tr>
      <w:tr>
        <w:trPr>
          <w:trHeight w:val="475" w:hRule="atLeast"/>
        </w:trPr>
        <w:tc>
          <w:tcPr>
            <w:tcW w:w="2001" w:type="dxa"/>
          </w:tcPr>
          <w:p>
            <w:pPr>
              <w:pStyle w:val="TableParagraph"/>
              <w:spacing w:before="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i/>
                <w:sz w:val="24"/>
                <w:vertAlign w:val="subscript"/>
              </w:rPr>
              <w:t>1/2β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89"/>
              <w:ind w:left="199"/>
              <w:rPr>
                <w:sz w:val="24"/>
              </w:rPr>
            </w:pPr>
            <w:r>
              <w:rPr>
                <w:sz w:val="24"/>
              </w:rPr>
              <w:t>1.06±0.06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28"/>
              <w:rPr>
                <w:sz w:val="24"/>
              </w:rPr>
            </w:pPr>
            <w:r>
              <w:rPr>
                <w:sz w:val="24"/>
              </w:rPr>
              <w:t>1.36±0.01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0.96±0.06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29"/>
              <w:rPr>
                <w:sz w:val="24"/>
              </w:rPr>
            </w:pPr>
            <w:r>
              <w:rPr>
                <w:sz w:val="24"/>
              </w:rPr>
              <w:t>1.33±0.01</w:t>
            </w:r>
          </w:p>
        </w:tc>
        <w:tc>
          <w:tcPr>
            <w:tcW w:w="1398" w:type="dxa"/>
          </w:tcPr>
          <w:p>
            <w:pPr>
              <w:pStyle w:val="TableParagraph"/>
              <w:spacing w:before="8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1.18±0.06</w:t>
            </w:r>
          </w:p>
        </w:tc>
        <w:tc>
          <w:tcPr>
            <w:tcW w:w="1212" w:type="dxa"/>
          </w:tcPr>
          <w:p>
            <w:pPr>
              <w:pStyle w:val="TableParagraph"/>
              <w:spacing w:before="89"/>
              <w:ind w:left="140"/>
              <w:rPr>
                <w:sz w:val="24"/>
              </w:rPr>
            </w:pPr>
            <w:r>
              <w:rPr>
                <w:sz w:val="24"/>
              </w:rPr>
              <w:t>1.32±0.01</w:t>
            </w:r>
          </w:p>
        </w:tc>
      </w:tr>
      <w:tr>
        <w:trPr>
          <w:trHeight w:val="469" w:hRule="atLeast"/>
        </w:trPr>
        <w:tc>
          <w:tcPr>
            <w:tcW w:w="2001" w:type="dxa"/>
          </w:tcPr>
          <w:p>
            <w:pPr>
              <w:pStyle w:val="TableParagraph"/>
              <w:spacing w:before="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Vd(ml)</w:t>
            </w:r>
          </w:p>
        </w:tc>
        <w:tc>
          <w:tcPr>
            <w:tcW w:w="1399" w:type="dxa"/>
          </w:tcPr>
          <w:p>
            <w:pPr>
              <w:pStyle w:val="TableParagraph"/>
              <w:spacing w:before="89"/>
              <w:ind w:left="235"/>
              <w:rPr>
                <w:sz w:val="24"/>
              </w:rPr>
            </w:pPr>
            <w:r>
              <w:rPr>
                <w:sz w:val="24"/>
              </w:rPr>
              <w:t>14056.39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64"/>
              <w:rPr>
                <w:sz w:val="24"/>
              </w:rPr>
            </w:pPr>
            <w:r>
              <w:rPr>
                <w:sz w:val="24"/>
              </w:rPr>
              <w:t>18367.97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17025.50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65"/>
              <w:rPr>
                <w:sz w:val="24"/>
              </w:rPr>
            </w:pPr>
            <w:r>
              <w:rPr>
                <w:sz w:val="24"/>
              </w:rPr>
              <w:t>21794.98</w:t>
            </w:r>
          </w:p>
        </w:tc>
        <w:tc>
          <w:tcPr>
            <w:tcW w:w="1398" w:type="dxa"/>
          </w:tcPr>
          <w:p>
            <w:pPr>
              <w:pStyle w:val="TableParagraph"/>
              <w:spacing w:before="8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17190.42</w:t>
            </w:r>
          </w:p>
        </w:tc>
        <w:tc>
          <w:tcPr>
            <w:tcW w:w="1212" w:type="dxa"/>
          </w:tcPr>
          <w:p>
            <w:pPr>
              <w:pStyle w:val="TableParagraph"/>
              <w:spacing w:before="89"/>
              <w:ind w:left="140"/>
              <w:rPr>
                <w:sz w:val="24"/>
              </w:rPr>
            </w:pPr>
            <w:r>
              <w:rPr>
                <w:sz w:val="24"/>
              </w:rPr>
              <w:t>27652.94</w:t>
            </w:r>
          </w:p>
        </w:tc>
      </w:tr>
      <w:tr>
        <w:trPr>
          <w:trHeight w:val="476" w:hRule="atLeast"/>
        </w:trPr>
        <w:tc>
          <w:tcPr>
            <w:tcW w:w="2001" w:type="dxa"/>
          </w:tcPr>
          <w:p>
            <w:pPr>
              <w:pStyle w:val="TableParagraph"/>
              <w:spacing w:before="10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(ml/Hr)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7"/>
              <w:ind w:left="240"/>
              <w:rPr>
                <w:sz w:val="24"/>
              </w:rPr>
            </w:pPr>
            <w:r>
              <w:rPr>
                <w:sz w:val="24"/>
              </w:rPr>
              <w:t>10311.16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264"/>
              <w:rPr>
                <w:sz w:val="24"/>
              </w:rPr>
            </w:pPr>
            <w:r>
              <w:rPr>
                <w:sz w:val="24"/>
              </w:rPr>
              <w:t>17348.55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11279.41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265"/>
              <w:rPr>
                <w:sz w:val="24"/>
              </w:rPr>
            </w:pPr>
            <w:r>
              <w:rPr>
                <w:sz w:val="24"/>
              </w:rPr>
              <w:t>20127.67</w:t>
            </w:r>
          </w:p>
        </w:tc>
        <w:tc>
          <w:tcPr>
            <w:tcW w:w="1398" w:type="dxa"/>
          </w:tcPr>
          <w:p>
            <w:pPr>
              <w:pStyle w:val="TableParagraph"/>
              <w:spacing w:before="97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14068.64</w:t>
            </w:r>
          </w:p>
        </w:tc>
        <w:tc>
          <w:tcPr>
            <w:tcW w:w="1212" w:type="dxa"/>
          </w:tcPr>
          <w:p>
            <w:pPr>
              <w:pStyle w:val="TableParagraph"/>
              <w:spacing w:before="97"/>
              <w:ind w:left="140"/>
              <w:rPr>
                <w:sz w:val="24"/>
              </w:rPr>
            </w:pPr>
            <w:r>
              <w:rPr>
                <w:sz w:val="24"/>
              </w:rPr>
              <w:t>25213.95</w:t>
            </w:r>
          </w:p>
        </w:tc>
      </w:tr>
      <w:tr>
        <w:trPr>
          <w:trHeight w:val="482" w:hRule="atLeast"/>
        </w:trPr>
        <w:tc>
          <w:tcPr>
            <w:tcW w:w="2001" w:type="dxa"/>
          </w:tcPr>
          <w:p>
            <w:pPr>
              <w:pStyle w:val="TableParagraph"/>
              <w:spacing w:before="10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AUC</w:t>
            </w:r>
            <w:r>
              <w:rPr>
                <w:b/>
                <w:sz w:val="24"/>
                <w:vertAlign w:val="subscript"/>
              </w:rPr>
              <w:t>0-6hr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6"/>
              <w:ind w:left="295"/>
              <w:rPr>
                <w:sz w:val="24"/>
              </w:rPr>
            </w:pPr>
            <w:r>
              <w:rPr>
                <w:sz w:val="24"/>
              </w:rPr>
              <w:t>5727.00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324"/>
              <w:rPr>
                <w:sz w:val="24"/>
              </w:rPr>
            </w:pPr>
            <w:r>
              <w:rPr>
                <w:sz w:val="24"/>
              </w:rPr>
              <w:t>5343.75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5831.00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325"/>
              <w:rPr>
                <w:sz w:val="24"/>
              </w:rPr>
            </w:pPr>
            <w:r>
              <w:rPr>
                <w:sz w:val="24"/>
              </w:rPr>
              <w:t>4987.50</w:t>
            </w:r>
          </w:p>
        </w:tc>
        <w:tc>
          <w:tcPr>
            <w:tcW w:w="1398" w:type="dxa"/>
          </w:tcPr>
          <w:p>
            <w:pPr>
              <w:pStyle w:val="TableParagraph"/>
              <w:spacing w:before="96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5479.00</w:t>
            </w:r>
          </w:p>
        </w:tc>
        <w:tc>
          <w:tcPr>
            <w:tcW w:w="1212" w:type="dxa"/>
          </w:tcPr>
          <w:p>
            <w:pPr>
              <w:pStyle w:val="TableParagraph"/>
              <w:spacing w:before="96"/>
              <w:ind w:left="140"/>
              <w:rPr>
                <w:sz w:val="24"/>
              </w:rPr>
            </w:pPr>
            <w:r>
              <w:rPr>
                <w:sz w:val="24"/>
              </w:rPr>
              <w:t>4938.75</w:t>
            </w:r>
          </w:p>
        </w:tc>
      </w:tr>
      <w:tr>
        <w:trPr>
          <w:trHeight w:val="568" w:hRule="atLeast"/>
        </w:trPr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AUC</w:t>
            </w:r>
            <w:r>
              <w:rPr>
                <w:b/>
                <w:sz w:val="24"/>
                <w:vertAlign w:val="subscript"/>
              </w:rPr>
              <w:t>0-</w:t>
            </w:r>
            <w:r>
              <w:rPr>
                <w:b/>
                <w:i/>
                <w:sz w:val="24"/>
                <w:vertAlign w:val="subscript"/>
              </w:rPr>
              <w:t>∞</w:t>
            </w:r>
            <w:r>
              <w:rPr>
                <w:b/>
                <w:i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295"/>
              <w:rPr>
                <w:sz w:val="24"/>
              </w:rPr>
            </w:pPr>
            <w:r>
              <w:rPr>
                <w:sz w:val="24"/>
              </w:rPr>
              <w:t>5729.07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324"/>
              <w:rPr>
                <w:sz w:val="24"/>
              </w:rPr>
            </w:pPr>
            <w:r>
              <w:rPr>
                <w:sz w:val="24"/>
              </w:rPr>
              <w:t>5345.23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5833.23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325"/>
              <w:rPr>
                <w:sz w:val="24"/>
              </w:rPr>
            </w:pPr>
            <w:r>
              <w:rPr>
                <w:sz w:val="24"/>
              </w:rPr>
              <w:t>4989.08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5480.83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40"/>
              <w:rPr>
                <w:sz w:val="24"/>
              </w:rPr>
            </w:pPr>
            <w:r>
              <w:rPr>
                <w:sz w:val="24"/>
              </w:rPr>
              <w:t>4940.33</w:t>
            </w:r>
          </w:p>
        </w:tc>
      </w:tr>
    </w:tbl>
    <w:p>
      <w:pPr>
        <w:pStyle w:val="BodyText"/>
        <w:spacing w:line="242" w:lineRule="auto"/>
        <w:ind w:left="1325" w:right="1417"/>
      </w:pPr>
      <w:r>
        <w:rPr/>
        <w:t>Data</w:t>
      </w:r>
      <w:r>
        <w:rPr>
          <w:spacing w:val="34"/>
        </w:rPr>
        <w:t> </w:t>
      </w:r>
      <w:r>
        <w:rPr/>
        <w:t>was</w:t>
      </w:r>
      <w:r>
        <w:rPr>
          <w:spacing w:val="36"/>
        </w:rPr>
        <w:t> </w:t>
      </w:r>
      <w:r>
        <w:rPr/>
        <w:t>analysed</w:t>
      </w:r>
      <w:r>
        <w:rPr>
          <w:spacing w:val="36"/>
        </w:rPr>
        <w:t> </w:t>
      </w:r>
      <w:r>
        <w:rPr/>
        <w:t>using</w:t>
      </w:r>
      <w:r>
        <w:rPr>
          <w:spacing w:val="34"/>
        </w:rPr>
        <w:t> </w:t>
      </w:r>
      <w:r>
        <w:rPr/>
        <w:t>independent</w:t>
      </w:r>
      <w:r>
        <w:rPr>
          <w:spacing w:val="35"/>
        </w:rPr>
        <w:t> </w:t>
      </w:r>
      <w:r>
        <w:rPr/>
        <w:t>student</w:t>
      </w:r>
      <w:r>
        <w:rPr>
          <w:spacing w:val="36"/>
        </w:rPr>
        <w:t> </w:t>
      </w:r>
      <w:r>
        <w:rPr/>
        <w:t>paired</w:t>
      </w:r>
      <w:r>
        <w:rPr>
          <w:spacing w:val="35"/>
        </w:rPr>
        <w:t> </w:t>
      </w:r>
      <w:r>
        <w:rPr/>
        <w:t>t-</w:t>
      </w:r>
      <w:r>
        <w:rPr>
          <w:spacing w:val="34"/>
        </w:rPr>
        <w:t> </w:t>
      </w:r>
      <w:r>
        <w:rPr/>
        <w:t>test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*</w:t>
      </w:r>
      <w:r>
        <w:rPr>
          <w:spacing w:val="35"/>
        </w:rPr>
        <w:t> </w:t>
      </w:r>
      <w:r>
        <w:rPr/>
        <w:t>p&lt;0.05,</w:t>
      </w:r>
      <w:r>
        <w:rPr>
          <w:spacing w:val="34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difference.</w:t>
      </w:r>
      <w:r>
        <w:rPr>
          <w:spacing w:val="-1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expressed as mean ± SEM.</w:t>
      </w:r>
    </w:p>
    <w:p>
      <w:pPr>
        <w:pStyle w:val="BodyText"/>
        <w:spacing w:before="189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1"/>
        <w:ind w:left="186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1466341</wp:posOffset>
            </wp:positionH>
            <wp:positionV relativeFrom="paragraph">
              <wp:posOffset>227725</wp:posOffset>
            </wp:positionV>
            <wp:extent cx="5023646" cy="4984146"/>
            <wp:effectExtent l="0" t="0" r="0" b="0"/>
            <wp:wrapTopAndBottom/>
            <wp:docPr id="3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646" cy="4984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1325"/>
      </w:pPr>
      <w:r>
        <w:rPr/>
        <w:t>Semi – 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concentration time</w:t>
      </w:r>
      <w:r>
        <w:rPr>
          <w:spacing w:val="-1"/>
        </w:rPr>
        <w:t> </w:t>
      </w:r>
      <w:r>
        <w:rPr/>
        <w:t>curve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before="130"/>
        <w:ind w:left="1325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1265237</wp:posOffset>
            </wp:positionH>
            <wp:positionV relativeFrom="paragraph">
              <wp:posOffset>-6501979</wp:posOffset>
            </wp:positionV>
            <wp:extent cx="6295326" cy="6156960"/>
            <wp:effectExtent l="0" t="0" r="0" b="0"/>
            <wp:wrapNone/>
            <wp:docPr id="3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26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Semi – 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concentration time curve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(A2)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ind w:left="1325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1265237</wp:posOffset>
            </wp:positionH>
            <wp:positionV relativeFrom="paragraph">
              <wp:posOffset>-7490038</wp:posOffset>
            </wp:positionV>
            <wp:extent cx="6295326" cy="7265034"/>
            <wp:effectExtent l="0" t="0" r="0" b="0"/>
            <wp:wrapNone/>
            <wp:docPr id="3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26" cy="726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Semi – 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concentration time curve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(A3)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1265237</wp:posOffset>
            </wp:positionH>
            <wp:positionV relativeFrom="paragraph">
              <wp:posOffset>452794</wp:posOffset>
            </wp:positionV>
            <wp:extent cx="6295326" cy="6516370"/>
            <wp:effectExtent l="0" t="0" r="0" b="0"/>
            <wp:wrapNone/>
            <wp:docPr id="3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26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2"/>
        </w:rPr>
        <w:t> </w:t>
      </w:r>
      <w:r>
        <w:rPr/>
        <w:t>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325"/>
      </w:pPr>
      <w:r>
        <w:rPr/>
        <w:t>Semi -</w:t>
      </w:r>
      <w:r>
        <w:rPr>
          <w:spacing w:val="-1"/>
        </w:rPr>
        <w:t> </w:t>
      </w:r>
      <w:r>
        <w:rPr/>
        <w:t>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concentration time</w:t>
      </w:r>
      <w:r>
        <w:rPr>
          <w:spacing w:val="-1"/>
        </w:rPr>
        <w:t> </w:t>
      </w:r>
      <w:r>
        <w:rPr/>
        <w:t>curve</w:t>
      </w:r>
      <w:r>
        <w:rPr>
          <w:spacing w:val="-1"/>
        </w:rPr>
        <w:t> </w:t>
      </w:r>
      <w:r>
        <w:rPr/>
        <w:t>of Panadol Extra® tablets (B1)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before="90"/>
        <w:ind w:left="1988" w:right="2084"/>
        <w:jc w:val="center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1265237</wp:posOffset>
            </wp:positionH>
            <wp:positionV relativeFrom="paragraph">
              <wp:posOffset>-6623518</wp:posOffset>
            </wp:positionV>
            <wp:extent cx="6295326" cy="6254750"/>
            <wp:effectExtent l="0" t="0" r="0" b="0"/>
            <wp:wrapNone/>
            <wp:docPr id="4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26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Semi –</w:t>
      </w:r>
      <w:r>
        <w:rPr>
          <w:spacing w:val="-1"/>
        </w:rPr>
        <w:t> </w:t>
      </w:r>
      <w:r>
        <w:rPr/>
        <w:t>log</w:t>
      </w:r>
      <w:r>
        <w:rPr>
          <w:spacing w:val="-2"/>
        </w:rPr>
        <w:t> </w:t>
      </w:r>
      <w:r>
        <w:rPr/>
        <w:t>saliva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time curve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 Extra®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(B2)</w:t>
      </w:r>
    </w:p>
    <w:p>
      <w:pPr>
        <w:spacing w:after="0"/>
        <w:jc w:val="center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1655698</wp:posOffset>
            </wp:positionH>
            <wp:positionV relativeFrom="paragraph">
              <wp:posOffset>206185</wp:posOffset>
            </wp:positionV>
            <wp:extent cx="4283738" cy="5113972"/>
            <wp:effectExtent l="0" t="0" r="0" b="0"/>
            <wp:wrapTopAndBottom/>
            <wp:docPr id="4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738" cy="511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313" w:right="1404"/>
        <w:jc w:val="center"/>
      </w:pPr>
      <w:r>
        <w:rPr/>
        <w:t>Semi – 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concentration time curve</w:t>
      </w:r>
      <w:r>
        <w:rPr>
          <w:spacing w:val="-1"/>
        </w:rPr>
        <w:t> </w:t>
      </w:r>
      <w:r>
        <w:rPr/>
        <w:t>of 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(B3)</w:t>
      </w:r>
    </w:p>
    <w:sectPr>
      <w:pgSz w:w="11910" w:h="16840"/>
      <w:pgMar w:header="0" w:footer="1007" w:top="1320" w:bottom="1200" w:left="6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510010pt;margin-top:780.562073pt;width:20.75pt;height:14.25pt;mso-position-horizontal-relative:page;mso-position-vertical-relative:page;z-index:-176153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562073pt;width:17.05pt;height:14.25pt;mso-position-horizontal-relative:page;mso-position-vertical-relative:page;z-index:-176148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6"/>
      <w:numFmt w:val="decimal"/>
      <w:lvlText w:val="%1"/>
      <w:lvlJc w:val="left"/>
      <w:pPr>
        <w:ind w:left="398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8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5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5240" w:hanging="4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40" w:hanging="4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41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41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42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43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43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44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5" w:hanging="4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righ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04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48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416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6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9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865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6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5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4172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4172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3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04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48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685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85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04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48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443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3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04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79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9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90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06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966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66" w:hanging="420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9" w:hanging="4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90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0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45" w:hanging="881"/>
        <w:jc w:val="righ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5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8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261" w:hanging="49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261" w:hanging="49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61" w:hanging="49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5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4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0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9" w:hanging="49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95" w:hanging="33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95" w:hanging="332"/>
        <w:jc w:val="right"/>
      </w:pPr>
      <w:rPr>
        <w:rFonts w:hint="default"/>
        <w:w w:val="100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645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5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8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08" w:hanging="3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08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45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5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8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08" w:hanging="3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08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45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5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881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01"/>
      <w:ind w:left="1325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99"/>
      <w:ind w:left="1906" w:hanging="3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98"/>
      <w:ind w:left="1906" w:hanging="54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01"/>
      <w:ind w:left="2645" w:hanging="88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02"/>
      <w:ind w:left="2645" w:hanging="88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6" w:type="paragraph">
    <w:name w:val="TOC 6"/>
    <w:basedOn w:val="Normal"/>
    <w:uiPriority w:val="1"/>
    <w:qFormat/>
    <w:pPr>
      <w:spacing w:line="252" w:lineRule="exact"/>
      <w:ind w:left="8476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98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04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pharmax/" TargetMode="External"/><Relationship Id="rId7" Type="http://schemas.openxmlformats.org/officeDocument/2006/relationships/footer" Target="footer2.xml"/><Relationship Id="rId8" Type="http://schemas.openxmlformats.org/officeDocument/2006/relationships/hyperlink" Target="http://en.wikipedia.org/wiki/Headache" TargetMode="External"/><Relationship Id="rId9" Type="http://schemas.openxmlformats.org/officeDocument/2006/relationships/hyperlink" Target="http://en.wikipedia.org/wiki/Common_cold" TargetMode="External"/><Relationship Id="rId10" Type="http://schemas.openxmlformats.org/officeDocument/2006/relationships/hyperlink" Target="http://en.wikipedia.org/wiki/Influenza" TargetMode="External"/><Relationship Id="rId11" Type="http://schemas.openxmlformats.org/officeDocument/2006/relationships/hyperlink" Target="http://en.wikipedia.org/wiki/Opioid_analgesic" TargetMode="External"/><Relationship Id="rId12" Type="http://schemas.openxmlformats.org/officeDocument/2006/relationships/hyperlink" Target="http://en.wikipedia.org/wiki/Palliative_care" TargetMode="External"/><Relationship Id="rId13" Type="http://schemas.openxmlformats.org/officeDocument/2006/relationships/hyperlink" Target="http://en.wikipedia.org/wiki/Gastric_acid" TargetMode="External"/><Relationship Id="rId14" Type="http://schemas.openxmlformats.org/officeDocument/2006/relationships/hyperlink" Target="http://en.wikipedia.org/wiki/Oral_administration" TargetMode="External"/><Relationship Id="rId15" Type="http://schemas.openxmlformats.org/officeDocument/2006/relationships/hyperlink" Target="http://en.wikipedia.org/wiki/Biological_half-life" TargetMode="External"/><Relationship Id="rId16" Type="http://schemas.openxmlformats.org/officeDocument/2006/relationships/hyperlink" Target="http://en.wikipedia.org/wiki/Tablet_%28pharmacy%29" TargetMode="External"/><Relationship Id="rId17" Type="http://schemas.openxmlformats.org/officeDocument/2006/relationships/hyperlink" Target="http://en.wikipedia.org/wiki/Capsule_%28pharmacy%29" TargetMode="External"/><Relationship Id="rId18" Type="http://schemas.openxmlformats.org/officeDocument/2006/relationships/hyperlink" Target="http://en.wikipedia.org/wiki/Suppository" TargetMode="External"/><Relationship Id="rId19" Type="http://schemas.openxmlformats.org/officeDocument/2006/relationships/hyperlink" Target="http://en.wikipedia.org/wiki/Intravenous" TargetMode="External"/><Relationship Id="rId20" Type="http://schemas.openxmlformats.org/officeDocument/2006/relationships/hyperlink" Target="http://en.wikipedia.org/wiki/Intramuscular" TargetMode="External"/><Relationship Id="rId21" Type="http://schemas.openxmlformats.org/officeDocument/2006/relationships/image" Target="media/image1.jpeg"/><Relationship Id="rId22" Type="http://schemas.openxmlformats.org/officeDocument/2006/relationships/hyperlink" Target="http://en.wikipedia.org/wiki/Benzene" TargetMode="External"/><Relationship Id="rId23" Type="http://schemas.openxmlformats.org/officeDocument/2006/relationships/hyperlink" Target="http://en.wikipedia.org/wiki/Substituent" TargetMode="External"/><Relationship Id="rId24" Type="http://schemas.openxmlformats.org/officeDocument/2006/relationships/hyperlink" Target="http://en.wikipedia.org/wiki/Hydroxyl" TargetMode="External"/><Relationship Id="rId25" Type="http://schemas.openxmlformats.org/officeDocument/2006/relationships/hyperlink" Target="http://en.wikipedia.org/wiki/Nitrogen" TargetMode="External"/><Relationship Id="rId26" Type="http://schemas.openxmlformats.org/officeDocument/2006/relationships/hyperlink" Target="http://en.wikipedia.org/wiki/Amide" TargetMode="External"/><Relationship Id="rId27" Type="http://schemas.openxmlformats.org/officeDocument/2006/relationships/hyperlink" Target="http://en.wikipedia.org/wiki/Arene_substitution_patterns" TargetMode="External"/><Relationship Id="rId28" Type="http://schemas.openxmlformats.org/officeDocument/2006/relationships/hyperlink" Target="http://en.wikipedia.org/wiki/Acetamide" TargetMode="External"/><Relationship Id="rId29" Type="http://schemas.openxmlformats.org/officeDocument/2006/relationships/hyperlink" Target="http://en.wikipedia.org/wiki/Conjugated_system" TargetMode="External"/><Relationship Id="rId30" Type="http://schemas.openxmlformats.org/officeDocument/2006/relationships/hyperlink" Target="http://en.wikipedia.org/wiki/Lone_pair" TargetMode="External"/><Relationship Id="rId31" Type="http://schemas.openxmlformats.org/officeDocument/2006/relationships/hyperlink" Target="http://en.wikipedia.org/wiki/Atomic_orbital" TargetMode="External"/><Relationship Id="rId32" Type="http://schemas.openxmlformats.org/officeDocument/2006/relationships/hyperlink" Target="http://en.wikipedia.org/wiki/Carbonyl" TargetMode="External"/><Relationship Id="rId33" Type="http://schemas.openxmlformats.org/officeDocument/2006/relationships/hyperlink" Target="http://en.wikipedia.org/wiki/Electrophile" TargetMode="External"/><Relationship Id="rId34" Type="http://schemas.openxmlformats.org/officeDocument/2006/relationships/hyperlink" Target="http://en.wikipedia.org/wiki/Base_%28chemistry%29" TargetMode="External"/><Relationship Id="rId35" Type="http://schemas.openxmlformats.org/officeDocument/2006/relationships/hyperlink" Target="http://en.wikipedia.org/wiki/Phenol" TargetMode="External"/><Relationship Id="rId36" Type="http://schemas.openxmlformats.org/officeDocument/2006/relationships/hyperlink" Target="http://en.wikipedia.org/wiki/Ion" TargetMode="External"/><Relationship Id="rId37" Type="http://schemas.openxmlformats.org/officeDocument/2006/relationships/hyperlink" Target="http://en.wikipedia.org/wiki/Nitration" TargetMode="External"/><Relationship Id="rId38" Type="http://schemas.openxmlformats.org/officeDocument/2006/relationships/hyperlink" Target="http://en.wikipedia.org/wiki/Sodium_nitrate" TargetMode="External"/><Relationship Id="rId39" Type="http://schemas.openxmlformats.org/officeDocument/2006/relationships/hyperlink" Target="http://en.wikipedia.org/wiki/Nitro_group" TargetMode="External"/><Relationship Id="rId40" Type="http://schemas.openxmlformats.org/officeDocument/2006/relationships/hyperlink" Target="http://en.wikipedia.org/wiki/Sodium_borohydride" TargetMode="External"/><Relationship Id="rId41" Type="http://schemas.openxmlformats.org/officeDocument/2006/relationships/hyperlink" Target="http://en.wikipedia.org/wiki/4-aminophenol" TargetMode="External"/><Relationship Id="rId42" Type="http://schemas.openxmlformats.org/officeDocument/2006/relationships/hyperlink" Target="http://en.wikipedia.org/wiki/Acetic_anhydride" TargetMode="External"/><Relationship Id="rId43" Type="http://schemas.openxmlformats.org/officeDocument/2006/relationships/image" Target="media/image2.png"/><Relationship Id="rId44" Type="http://schemas.openxmlformats.org/officeDocument/2006/relationships/hyperlink" Target="http://en.wikipedia.org/wiki/Ketoxime" TargetMode="External"/><Relationship Id="rId45" Type="http://schemas.openxmlformats.org/officeDocument/2006/relationships/hyperlink" Target="http://en.wikipedia.org/wiki/Hydroxylamine" TargetMode="External"/><Relationship Id="rId46" Type="http://schemas.openxmlformats.org/officeDocument/2006/relationships/hyperlink" Target="http://en.wikipedia.org/wiki/Beckmann_rearrangement" TargetMode="External"/><Relationship Id="rId47" Type="http://schemas.openxmlformats.org/officeDocument/2006/relationships/image" Target="media/image3.png"/><Relationship Id="rId48" Type="http://schemas.openxmlformats.org/officeDocument/2006/relationships/hyperlink" Target="http://en.wikipedia.org/wiki/Drug_metabolism" TargetMode="External"/><Relationship Id="rId49" Type="http://schemas.openxmlformats.org/officeDocument/2006/relationships/hyperlink" Target="http://en.wikipedia.org/wiki/Liver" TargetMode="External"/><Relationship Id="rId50" Type="http://schemas.openxmlformats.org/officeDocument/2006/relationships/hyperlink" Target="http://en.wikipedia.org/wiki/Metabolic_pathway" TargetMode="External"/><Relationship Id="rId51" Type="http://schemas.openxmlformats.org/officeDocument/2006/relationships/hyperlink" Target="http://en.wikipedia.org/wiki/Glucuronidation" TargetMode="External"/><Relationship Id="rId52" Type="http://schemas.openxmlformats.org/officeDocument/2006/relationships/hyperlink" Target="http://en.wikipedia.org/wiki/Cytochrome_P450" TargetMode="External"/><Relationship Id="rId53" Type="http://schemas.openxmlformats.org/officeDocument/2006/relationships/hyperlink" Target="http://en.wikipedia.org/wiki/NAPQI" TargetMode="External"/><Relationship Id="rId54" Type="http://schemas.openxmlformats.org/officeDocument/2006/relationships/hyperlink" Target="http://en.wikipedia.org/wiki/Thiol" TargetMode="External"/><Relationship Id="rId55" Type="http://schemas.openxmlformats.org/officeDocument/2006/relationships/hyperlink" Target="http://en.wikipedia.org/wiki/Glutathione" TargetMode="External"/><Relationship Id="rId56" Type="http://schemas.openxmlformats.org/officeDocument/2006/relationships/hyperlink" Target="http://en.wikipedia.org/wiki/Paracetamol#Toxicity" TargetMode="External"/><Relationship Id="rId57" Type="http://schemas.openxmlformats.org/officeDocument/2006/relationships/hyperlink" Target="http://en.wikipedia.org/wiki/Toxication" TargetMode="External"/><Relationship Id="rId58" Type="http://schemas.openxmlformats.org/officeDocument/2006/relationships/image" Target="media/image4.png"/><Relationship Id="rId59" Type="http://schemas.openxmlformats.org/officeDocument/2006/relationships/image" Target="media/image5.jpeg"/><Relationship Id="rId60" Type="http://schemas.openxmlformats.org/officeDocument/2006/relationships/image" Target="media/image6.png"/><Relationship Id="rId61" Type="http://schemas.openxmlformats.org/officeDocument/2006/relationships/image" Target="media/image7.png"/><Relationship Id="rId62" Type="http://schemas.openxmlformats.org/officeDocument/2006/relationships/image" Target="media/image8.png"/><Relationship Id="rId63" Type="http://schemas.openxmlformats.org/officeDocument/2006/relationships/image" Target="media/image9.png"/><Relationship Id="rId64" Type="http://schemas.openxmlformats.org/officeDocument/2006/relationships/image" Target="media/image10.png"/><Relationship Id="rId65" Type="http://schemas.openxmlformats.org/officeDocument/2006/relationships/hyperlink" Target="http://en.wikipedia.org/wiki/The_Lancet" TargetMode="External"/><Relationship Id="rId66" Type="http://schemas.openxmlformats.org/officeDocument/2006/relationships/hyperlink" Target="http://www.ncbi.nlm.nih.gov/pmc/articles/PMC2351967/" TargetMode="External"/><Relationship Id="rId67" Type="http://schemas.openxmlformats.org/officeDocument/2006/relationships/hyperlink" Target="http://www.drugs.com/monograph/acetaminophen.html" TargetMode="External"/><Relationship Id="rId68" Type="http://schemas.openxmlformats.org/officeDocument/2006/relationships/hyperlink" Target="http://en.wikipedia.org/wiki/International_Standard_Book_Number" TargetMode="External"/><Relationship Id="rId69" Type="http://schemas.openxmlformats.org/officeDocument/2006/relationships/hyperlink" Target="http://journals.tums.ac.ir/abs/17188" TargetMode="External"/><Relationship Id="rId70" Type="http://schemas.openxmlformats.org/officeDocument/2006/relationships/hyperlink" Target="http://www.ncbi.nlm.nih.gov/pmc/articles/PMC128885/" TargetMode="External"/><Relationship Id="rId71" Type="http://schemas.openxmlformats.org/officeDocument/2006/relationships/hyperlink" Target="http://www.nytimes.com/2011/01/14/health/policy/14fda.html" TargetMode="External"/><Relationship Id="rId72" Type="http://schemas.openxmlformats.org/officeDocument/2006/relationships/hyperlink" Target="http://en.wikipedia.org/wiki/The_New_York_Times" TargetMode="External"/><Relationship Id="rId73" Type="http://schemas.openxmlformats.org/officeDocument/2006/relationships/hyperlink" Target="http://books.google.com/books?id=cvJuLqBxGUcC&amp;pg=PA525" TargetMode="External"/><Relationship Id="rId74" Type="http://schemas.openxmlformats.org/officeDocument/2006/relationships/hyperlink" Target="http://jpet.aspetjournals.org/cgi/reprint/90/1/68" TargetMode="External"/><Relationship Id="rId75" Type="http://schemas.openxmlformats.org/officeDocument/2006/relationships/hyperlink" Target="http://en.wikipedia.org/wiki/Medicines_and_Healthcare_products_Regulatory_Agency" TargetMode="External"/><Relationship Id="rId76" Type="http://schemas.openxmlformats.org/officeDocument/2006/relationships/hyperlink" Target="http://en.wikipedia.org/wiki/Commission_on_Human_Medicines" TargetMode="External"/><Relationship Id="rId77" Type="http://schemas.openxmlformats.org/officeDocument/2006/relationships/hyperlink" Target="http://www.mhra.gov.uk/Publications/Safetyguidance/DrugSafetyUpdate/CON030923" TargetMode="External"/><Relationship Id="rId78" Type="http://schemas.openxmlformats.org/officeDocument/2006/relationships/hyperlink" Target="http://pharmaxchange.info/press/author/sweety/" TargetMode="External"/><Relationship Id="rId79" Type="http://schemas.openxmlformats.org/officeDocument/2006/relationships/hyperlink" Target="http://pharmaxchange.info/press/category/notes/medchem/" TargetMode="External"/><Relationship Id="rId80" Type="http://schemas.openxmlformats.org/officeDocument/2006/relationships/hyperlink" Target="http://pharmaxchange.info/press/category/notes/" TargetMode="External"/><Relationship Id="rId81" Type="http://schemas.openxmlformats.org/officeDocument/2006/relationships/hyperlink" Target="http://pharmaxchange.info/press/category/notes/pharmacology/" TargetMode="External"/><Relationship Id="rId82" Type="http://schemas.openxmlformats.org/officeDocument/2006/relationships/hyperlink" Target="http://pharmaxchange.info/press/2012/08" TargetMode="External"/><Relationship Id="rId83" Type="http://schemas.openxmlformats.org/officeDocument/2006/relationships/hyperlink" Target="http://www.australianprescriber.com/magazine/33/4/113/5" TargetMode="External"/><Relationship Id="rId84" Type="http://schemas.openxmlformats.org/officeDocument/2006/relationships/hyperlink" Target="http://www.ncbi.nlm.nih.gov/pmc/articles/PMC1119531/" TargetMode="External"/><Relationship Id="rId85" Type="http://schemas.openxmlformats.org/officeDocument/2006/relationships/image" Target="media/image11.jpeg"/><Relationship Id="rId86" Type="http://schemas.openxmlformats.org/officeDocument/2006/relationships/image" Target="media/image12.jpeg"/><Relationship Id="rId87" Type="http://schemas.openxmlformats.org/officeDocument/2006/relationships/image" Target="media/image13.jpeg"/><Relationship Id="rId88" Type="http://schemas.openxmlformats.org/officeDocument/2006/relationships/image" Target="media/image14.jpeg"/><Relationship Id="rId89" Type="http://schemas.openxmlformats.org/officeDocument/2006/relationships/image" Target="media/image15.jpeg"/><Relationship Id="rId90" Type="http://schemas.openxmlformats.org/officeDocument/2006/relationships/image" Target="media/image16.jpeg"/><Relationship Id="rId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ELP_USSER</dc:creator>
  <dcterms:created xsi:type="dcterms:W3CDTF">2023-11-07T17:30:29Z</dcterms:created>
  <dcterms:modified xsi:type="dcterms:W3CDTF">2023-11-07T17:30:29Z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